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sz w:val="24"/>
          <w:szCs w:val="24"/>
        </w:rPr>
      </w:pPr>
      <w:r>
        <w:rPr>
          <w:rFonts w:ascii="Times New Roman" w:hAnsi="Times New Roman" w:cs="Times New Roman"/>
          <w:sz w:val="24"/>
          <w:szCs w:val="24"/>
        </w:rPr>
        <w:t xml:space="preserve">TABLE </w:t>
      </w:r>
      <w:r>
        <w:rPr>
          <w:rFonts w:hint="eastAsia" w:ascii="Times New Roman" w:hAnsi="Times New Roman" w:cs="Times New Roman"/>
          <w:sz w:val="24"/>
          <w:szCs w:val="24"/>
          <w:lang w:val="en-US" w:eastAsia="zh-CN"/>
        </w:rPr>
        <w:t>A.</w:t>
      </w:r>
      <w:r>
        <w:rPr>
          <w:rFonts w:ascii="Times New Roman" w:hAnsi="Times New Roman" w:cs="Times New Roman"/>
          <w:sz w:val="24"/>
          <w:szCs w:val="24"/>
        </w:rPr>
        <w:t>1. Patient and Tumor Characteristics.</w:t>
      </w:r>
    </w:p>
    <w:tbl>
      <w:tblPr>
        <w:tblStyle w:val="5"/>
        <w:tblW w:w="0" w:type="auto"/>
        <w:tblInd w:w="0" w:type="dxa"/>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autofit"/>
        <w:tblCellMar>
          <w:top w:w="0" w:type="dxa"/>
          <w:left w:w="108" w:type="dxa"/>
          <w:bottom w:w="0" w:type="dxa"/>
          <w:right w:w="108" w:type="dxa"/>
        </w:tblCellMar>
      </w:tblPr>
      <w:tblGrid>
        <w:gridCol w:w="2410"/>
        <w:gridCol w:w="2183"/>
        <w:gridCol w:w="2070"/>
        <w:gridCol w:w="1643"/>
      </w:tblGrid>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top w:val="single" w:color="auto" w:sz="12" w:space="0"/>
              <w:bottom w:val="single" w:color="auto" w:sz="12" w:space="0"/>
              <w:right w:val="nil"/>
            </w:tcBorders>
          </w:tcPr>
          <w:p>
            <w:pPr>
              <w:jc w:val="center"/>
              <w:rPr>
                <w:rFonts w:ascii="Times New Roman" w:hAnsi="Times New Roman" w:cs="Times New Roman"/>
                <w:sz w:val="24"/>
                <w:szCs w:val="24"/>
              </w:rPr>
            </w:pPr>
          </w:p>
        </w:tc>
        <w:tc>
          <w:tcPr>
            <w:tcW w:w="2183" w:type="dxa"/>
            <w:tcBorders>
              <w:top w:val="single" w:color="auto" w:sz="12" w:space="0"/>
              <w:left w:val="nil"/>
              <w:bottom w:val="single" w:color="auto" w:sz="12" w:space="0"/>
              <w:right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Atypical Meningiomas (N=132)</w:t>
            </w:r>
          </w:p>
        </w:tc>
        <w:tc>
          <w:tcPr>
            <w:tcW w:w="2070" w:type="dxa"/>
            <w:tcBorders>
              <w:top w:val="single" w:color="auto" w:sz="12" w:space="0"/>
              <w:left w:val="nil"/>
              <w:bottom w:val="single" w:color="auto" w:sz="12" w:space="0"/>
              <w:right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Solitary Fibrosis Tumors (N=50)</w:t>
            </w:r>
          </w:p>
        </w:tc>
        <w:tc>
          <w:tcPr>
            <w:tcW w:w="1643" w:type="dxa"/>
            <w:tcBorders>
              <w:top w:val="single" w:color="auto" w:sz="12" w:space="0"/>
              <w:left w:val="nil"/>
              <w:bottom w:val="single" w:color="auto" w:sz="12" w:space="0"/>
            </w:tcBorders>
            <w:vAlign w:val="center"/>
          </w:tcPr>
          <w:p>
            <w:pPr>
              <w:jc w:val="center"/>
              <w:rPr>
                <w:rFonts w:ascii="Times New Roman" w:hAnsi="Times New Roman" w:cs="Times New Roman"/>
                <w:sz w:val="24"/>
                <w:szCs w:val="24"/>
              </w:rPr>
            </w:pPr>
            <w:r>
              <w:rPr>
                <w:rFonts w:ascii="Times New Roman" w:hAnsi="Times New Roman" w:cs="Times New Roman"/>
                <w:i/>
                <w:sz w:val="24"/>
                <w:szCs w:val="24"/>
              </w:rPr>
              <w:t>P</w:t>
            </w:r>
            <w:r>
              <w:rPr>
                <w:rFonts w:ascii="Times New Roman" w:hAnsi="Times New Roman" w:cs="Times New Roman"/>
                <w:sz w:val="24"/>
                <w:szCs w:val="24"/>
              </w:rPr>
              <w:t xml:space="preserve"> Value</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top w:val="single" w:color="auto" w:sz="12" w:space="0"/>
              <w:right w:val="nil"/>
            </w:tcBorders>
          </w:tcPr>
          <w:p>
            <w:pPr>
              <w:rPr>
                <w:rFonts w:ascii="Times New Roman" w:hAnsi="Times New Roman" w:cs="Times New Roman"/>
                <w:sz w:val="24"/>
                <w:szCs w:val="24"/>
              </w:rPr>
            </w:pPr>
            <w:r>
              <w:rPr>
                <w:rFonts w:ascii="Times New Roman" w:hAnsi="Times New Roman" w:cs="Times New Roman"/>
                <w:sz w:val="24"/>
                <w:szCs w:val="24"/>
              </w:rPr>
              <w:t>Age (years)</w:t>
            </w:r>
          </w:p>
        </w:tc>
        <w:tc>
          <w:tcPr>
            <w:tcW w:w="2183" w:type="dxa"/>
            <w:tcBorders>
              <w:top w:val="single" w:color="auto" w:sz="12" w:space="0"/>
              <w:left w:val="nil"/>
              <w:right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54.07±11.27</w:t>
            </w:r>
          </w:p>
        </w:tc>
        <w:tc>
          <w:tcPr>
            <w:tcW w:w="2070" w:type="dxa"/>
            <w:tcBorders>
              <w:top w:val="single" w:color="auto" w:sz="12" w:space="0"/>
              <w:left w:val="nil"/>
              <w:right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47.44±12.93</w:t>
            </w:r>
          </w:p>
        </w:tc>
        <w:tc>
          <w:tcPr>
            <w:tcW w:w="1643" w:type="dxa"/>
            <w:tcBorders>
              <w:top w:val="single" w:color="auto" w:sz="12" w:space="0"/>
              <w:left w:val="nil"/>
              <w:bottom w:val="nil"/>
            </w:tcBorders>
          </w:tcPr>
          <w:p>
            <w:pPr>
              <w:jc w:val="center"/>
              <w:rPr>
                <w:rFonts w:ascii="Times New Roman" w:hAnsi="Times New Roman" w:cs="Times New Roman"/>
                <w:sz w:val="24"/>
                <w:szCs w:val="24"/>
              </w:rPr>
            </w:pPr>
            <w:r>
              <w:rPr>
                <w:rFonts w:ascii="Times New Roman" w:hAnsi="Times New Roman" w:cs="Times New Roman"/>
                <w:sz w:val="24"/>
                <w:szCs w:val="24"/>
              </w:rPr>
              <w:t>0.001</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right w:val="nil"/>
            </w:tcBorders>
          </w:tcPr>
          <w:p>
            <w:pPr>
              <w:rPr>
                <w:rFonts w:ascii="Times New Roman" w:hAnsi="Times New Roman" w:cs="Times New Roman"/>
                <w:sz w:val="24"/>
                <w:szCs w:val="24"/>
              </w:rPr>
            </w:pPr>
            <w:r>
              <w:rPr>
                <w:rFonts w:ascii="Times New Roman" w:hAnsi="Times New Roman" w:cs="Times New Roman"/>
                <w:sz w:val="24"/>
                <w:szCs w:val="24"/>
              </w:rPr>
              <w:t>Gender</w:t>
            </w:r>
          </w:p>
        </w:tc>
        <w:tc>
          <w:tcPr>
            <w:tcW w:w="2183" w:type="dxa"/>
            <w:tcBorders>
              <w:left w:val="nil"/>
              <w:right w:val="nil"/>
            </w:tcBorders>
            <w:vAlign w:val="center"/>
          </w:tcPr>
          <w:p>
            <w:pPr>
              <w:jc w:val="center"/>
              <w:rPr>
                <w:rFonts w:ascii="Times New Roman" w:hAnsi="Times New Roman" w:cs="Times New Roman"/>
                <w:sz w:val="24"/>
                <w:szCs w:val="24"/>
              </w:rPr>
            </w:pPr>
          </w:p>
        </w:tc>
        <w:tc>
          <w:tcPr>
            <w:tcW w:w="2070" w:type="dxa"/>
            <w:tcBorders>
              <w:left w:val="nil"/>
              <w:right w:val="nil"/>
            </w:tcBorders>
            <w:vAlign w:val="center"/>
          </w:tcPr>
          <w:p>
            <w:pPr>
              <w:jc w:val="center"/>
              <w:rPr>
                <w:rFonts w:ascii="Times New Roman" w:hAnsi="Times New Roman" w:cs="Times New Roman"/>
                <w:sz w:val="24"/>
                <w:szCs w:val="24"/>
              </w:rPr>
            </w:pPr>
          </w:p>
        </w:tc>
        <w:tc>
          <w:tcPr>
            <w:tcW w:w="1643" w:type="dxa"/>
            <w:tcBorders>
              <w:top w:val="nil"/>
              <w:left w:val="nil"/>
              <w:bottom w:val="nil"/>
            </w:tcBorders>
          </w:tcPr>
          <w:p>
            <w:pPr>
              <w:jc w:val="center"/>
              <w:rPr>
                <w:rFonts w:ascii="Times New Roman" w:hAnsi="Times New Roman" w:cs="Times New Roman"/>
                <w:sz w:val="24"/>
                <w:szCs w:val="24"/>
              </w:rPr>
            </w:pPr>
            <w:r>
              <w:rPr>
                <w:rFonts w:ascii="Times New Roman" w:hAnsi="Times New Roman" w:cs="Times New Roman"/>
                <w:sz w:val="24"/>
                <w:szCs w:val="24"/>
              </w:rPr>
              <w:t>0.01</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right w:val="nil"/>
            </w:tcBorders>
            <w:vAlign w:val="bottom"/>
          </w:tcPr>
          <w:p>
            <w:pPr>
              <w:widowControl/>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Male</w:t>
            </w:r>
          </w:p>
        </w:tc>
        <w:tc>
          <w:tcPr>
            <w:tcW w:w="2183" w:type="dxa"/>
            <w:tcBorders>
              <w:left w:val="nil"/>
              <w:right w:val="nil"/>
            </w:tcBorders>
            <w:vAlign w:val="center"/>
          </w:tcPr>
          <w:p>
            <w:pPr>
              <w:widowControl/>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46</w:t>
            </w:r>
          </w:p>
        </w:tc>
        <w:tc>
          <w:tcPr>
            <w:tcW w:w="2070" w:type="dxa"/>
            <w:tcBorders>
              <w:left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28</w:t>
            </w:r>
          </w:p>
        </w:tc>
        <w:tc>
          <w:tcPr>
            <w:tcW w:w="1643" w:type="dxa"/>
            <w:tcBorders>
              <w:top w:val="nil"/>
              <w:left w:val="nil"/>
              <w:bottom w:val="nil"/>
            </w:tcBorders>
          </w:tcPr>
          <w:p>
            <w:pPr>
              <w:jc w:val="center"/>
              <w:rPr>
                <w:rFonts w:ascii="Times New Roman" w:hAnsi="Times New Roman"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Female</w:t>
            </w:r>
          </w:p>
        </w:tc>
        <w:tc>
          <w:tcPr>
            <w:tcW w:w="2183" w:type="dxa"/>
            <w:tcBorders>
              <w:left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86</w:t>
            </w:r>
          </w:p>
        </w:tc>
        <w:tc>
          <w:tcPr>
            <w:tcW w:w="2070" w:type="dxa"/>
            <w:tcBorders>
              <w:left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22</w:t>
            </w:r>
          </w:p>
        </w:tc>
        <w:tc>
          <w:tcPr>
            <w:tcW w:w="1643" w:type="dxa"/>
            <w:tcBorders>
              <w:top w:val="nil"/>
              <w:left w:val="nil"/>
              <w:bottom w:val="nil"/>
            </w:tcBorders>
          </w:tcPr>
          <w:p>
            <w:pPr>
              <w:jc w:val="center"/>
              <w:rPr>
                <w:rFonts w:ascii="Times New Roman" w:hAnsi="Times New Roman"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right w:val="nil"/>
            </w:tcBorders>
            <w:vAlign w:val="bottom"/>
          </w:tcPr>
          <w:p>
            <w:pPr>
              <w:widowControl/>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Field Strength</w:t>
            </w:r>
          </w:p>
        </w:tc>
        <w:tc>
          <w:tcPr>
            <w:tcW w:w="2183" w:type="dxa"/>
            <w:tcBorders>
              <w:left w:val="nil"/>
              <w:right w:val="nil"/>
            </w:tcBorders>
            <w:vAlign w:val="center"/>
          </w:tcPr>
          <w:p>
            <w:pPr>
              <w:jc w:val="center"/>
              <w:rPr>
                <w:rFonts w:ascii="Times New Roman" w:hAnsi="Times New Roman" w:eastAsia="等线" w:cs="Times New Roman"/>
                <w:color w:val="000000"/>
                <w:sz w:val="24"/>
                <w:szCs w:val="24"/>
              </w:rPr>
            </w:pPr>
          </w:p>
        </w:tc>
        <w:tc>
          <w:tcPr>
            <w:tcW w:w="2070" w:type="dxa"/>
            <w:tcBorders>
              <w:left w:val="nil"/>
              <w:right w:val="nil"/>
            </w:tcBorders>
            <w:vAlign w:val="center"/>
          </w:tcPr>
          <w:p>
            <w:pPr>
              <w:jc w:val="center"/>
              <w:rPr>
                <w:rFonts w:ascii="Times New Roman" w:hAnsi="Times New Roman" w:eastAsia="Times New Roman" w:cs="Times New Roman"/>
                <w:sz w:val="24"/>
                <w:szCs w:val="24"/>
              </w:rPr>
            </w:pPr>
          </w:p>
        </w:tc>
        <w:tc>
          <w:tcPr>
            <w:tcW w:w="1643" w:type="dxa"/>
            <w:tcBorders>
              <w:top w:val="nil"/>
              <w:left w:val="nil"/>
              <w:bottom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0.079</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3.0T</w:t>
            </w:r>
          </w:p>
        </w:tc>
        <w:tc>
          <w:tcPr>
            <w:tcW w:w="2183" w:type="dxa"/>
            <w:tcBorders>
              <w:left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76</w:t>
            </w:r>
          </w:p>
        </w:tc>
        <w:tc>
          <w:tcPr>
            <w:tcW w:w="2070" w:type="dxa"/>
            <w:tcBorders>
              <w:left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34</w:t>
            </w:r>
          </w:p>
        </w:tc>
        <w:tc>
          <w:tcPr>
            <w:tcW w:w="1643" w:type="dxa"/>
            <w:tcBorders>
              <w:top w:val="nil"/>
              <w:left w:val="nil"/>
              <w:bottom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　</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1.5T</w:t>
            </w:r>
          </w:p>
        </w:tc>
        <w:tc>
          <w:tcPr>
            <w:tcW w:w="2183" w:type="dxa"/>
            <w:tcBorders>
              <w:left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55</w:t>
            </w:r>
          </w:p>
        </w:tc>
        <w:tc>
          <w:tcPr>
            <w:tcW w:w="2070" w:type="dxa"/>
            <w:tcBorders>
              <w:left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14</w:t>
            </w:r>
          </w:p>
        </w:tc>
        <w:tc>
          <w:tcPr>
            <w:tcW w:w="1643" w:type="dxa"/>
            <w:tcBorders>
              <w:top w:val="nil"/>
              <w:left w:val="nil"/>
              <w:bottom w:val="nil"/>
            </w:tcBorders>
            <w:vAlign w:val="center"/>
          </w:tcPr>
          <w:p>
            <w:pPr>
              <w:rPr>
                <w:rFonts w:ascii="Times New Roman" w:hAnsi="Times New Roman" w:eastAsia="等线" w:cs="Times New Roman"/>
                <w:color w:val="000000"/>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0.5T</w:t>
            </w:r>
          </w:p>
        </w:tc>
        <w:tc>
          <w:tcPr>
            <w:tcW w:w="2183" w:type="dxa"/>
            <w:tcBorders>
              <w:left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1</w:t>
            </w:r>
          </w:p>
        </w:tc>
        <w:tc>
          <w:tcPr>
            <w:tcW w:w="2070" w:type="dxa"/>
            <w:tcBorders>
              <w:left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w:t>
            </w:r>
          </w:p>
        </w:tc>
        <w:tc>
          <w:tcPr>
            <w:tcW w:w="1643" w:type="dxa"/>
            <w:tcBorders>
              <w:top w:val="nil"/>
              <w:left w:val="nil"/>
              <w:bottom w:val="nil"/>
            </w:tcBorders>
            <w:vAlign w:val="center"/>
          </w:tcPr>
          <w:p>
            <w:pPr>
              <w:rPr>
                <w:rFonts w:ascii="Times New Roman" w:hAnsi="Times New Roman" w:eastAsia="等线" w:cs="Times New Roman"/>
                <w:color w:val="000000"/>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bottom w:val="nil"/>
              <w:right w:val="nil"/>
            </w:tcBorders>
            <w:vAlign w:val="bottom"/>
          </w:tcPr>
          <w:p>
            <w:pPr>
              <w:widowControl/>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WHO Grade</w:t>
            </w:r>
          </w:p>
        </w:tc>
        <w:tc>
          <w:tcPr>
            <w:tcW w:w="2183" w:type="dxa"/>
            <w:tcBorders>
              <w:left w:val="nil"/>
              <w:bottom w:val="nil"/>
              <w:right w:val="nil"/>
            </w:tcBorders>
            <w:vAlign w:val="center"/>
          </w:tcPr>
          <w:p>
            <w:pPr>
              <w:jc w:val="center"/>
              <w:rPr>
                <w:rFonts w:ascii="Times New Roman" w:hAnsi="Times New Roman" w:eastAsia="等线" w:cs="Times New Roman"/>
                <w:color w:val="000000"/>
                <w:sz w:val="24"/>
                <w:szCs w:val="24"/>
              </w:rPr>
            </w:pPr>
          </w:p>
        </w:tc>
        <w:tc>
          <w:tcPr>
            <w:tcW w:w="2070" w:type="dxa"/>
            <w:tcBorders>
              <w:left w:val="nil"/>
              <w:bottom w:val="nil"/>
              <w:right w:val="nil"/>
            </w:tcBorders>
            <w:vAlign w:val="center"/>
          </w:tcPr>
          <w:p>
            <w:pPr>
              <w:jc w:val="center"/>
              <w:rPr>
                <w:rFonts w:ascii="Times New Roman" w:hAnsi="Times New Roman" w:eastAsia="Times New Roman" w:cs="Times New Roman"/>
                <w:sz w:val="24"/>
                <w:szCs w:val="24"/>
              </w:rPr>
            </w:pPr>
          </w:p>
        </w:tc>
        <w:tc>
          <w:tcPr>
            <w:tcW w:w="1643" w:type="dxa"/>
            <w:tcBorders>
              <w:top w:val="nil"/>
              <w:left w:val="nil"/>
              <w:bottom w:val="nil"/>
            </w:tcBorders>
            <w:vAlign w:val="bottom"/>
          </w:tcPr>
          <w:p>
            <w:pPr>
              <w:jc w:val="center"/>
              <w:rPr>
                <w:rFonts w:ascii="Times New Roman" w:hAnsi="Times New Roman" w:eastAsia="Times New Roman" w:cs="Times New Roman"/>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top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WHO I</w:t>
            </w:r>
          </w:p>
        </w:tc>
        <w:tc>
          <w:tcPr>
            <w:tcW w:w="2183"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p>
        </w:tc>
        <w:tc>
          <w:tcPr>
            <w:tcW w:w="2070"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25</w:t>
            </w:r>
          </w:p>
        </w:tc>
        <w:tc>
          <w:tcPr>
            <w:tcW w:w="1643" w:type="dxa"/>
            <w:tcBorders>
              <w:top w:val="nil"/>
              <w:left w:val="nil"/>
              <w:bottom w:val="nil"/>
            </w:tcBorders>
            <w:vAlign w:val="bottom"/>
          </w:tcPr>
          <w:p>
            <w:pPr>
              <w:jc w:val="center"/>
              <w:rPr>
                <w:rFonts w:ascii="Times New Roman" w:hAnsi="Times New Roman" w:eastAsia="等线" w:cs="Times New Roman"/>
                <w:color w:val="000000"/>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top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WHO II</w:t>
            </w:r>
          </w:p>
        </w:tc>
        <w:tc>
          <w:tcPr>
            <w:tcW w:w="2183"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132</w:t>
            </w:r>
          </w:p>
        </w:tc>
        <w:tc>
          <w:tcPr>
            <w:tcW w:w="2070"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9</w:t>
            </w:r>
          </w:p>
        </w:tc>
        <w:tc>
          <w:tcPr>
            <w:tcW w:w="1643" w:type="dxa"/>
            <w:tcBorders>
              <w:top w:val="nil"/>
              <w:left w:val="nil"/>
              <w:bottom w:val="nil"/>
            </w:tcBorders>
            <w:vAlign w:val="bottom"/>
          </w:tcPr>
          <w:p>
            <w:pPr>
              <w:jc w:val="center"/>
              <w:rPr>
                <w:rFonts w:ascii="Times New Roman" w:hAnsi="Times New Roman" w:eastAsia="等线" w:cs="Times New Roman"/>
                <w:color w:val="000000"/>
                <w:sz w:val="24"/>
                <w:szCs w:val="24"/>
              </w:rPr>
            </w:pP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410" w:type="dxa"/>
            <w:tcBorders>
              <w:top w:val="nil"/>
              <w:bottom w:val="single" w:color="auto" w:sz="12" w:space="0"/>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WHO III</w:t>
            </w:r>
          </w:p>
        </w:tc>
        <w:tc>
          <w:tcPr>
            <w:tcW w:w="2183" w:type="dxa"/>
            <w:tcBorders>
              <w:top w:val="nil"/>
              <w:left w:val="nil"/>
              <w:bottom w:val="single" w:color="auto" w:sz="12" w:space="0"/>
              <w:right w:val="nil"/>
            </w:tcBorders>
            <w:vAlign w:val="center"/>
          </w:tcPr>
          <w:p>
            <w:pPr>
              <w:jc w:val="center"/>
              <w:rPr>
                <w:rFonts w:ascii="Times New Roman" w:hAnsi="Times New Roman" w:eastAsia="等线" w:cs="Times New Roman"/>
                <w:color w:val="000000"/>
                <w:sz w:val="24"/>
                <w:szCs w:val="24"/>
              </w:rPr>
            </w:pPr>
          </w:p>
        </w:tc>
        <w:tc>
          <w:tcPr>
            <w:tcW w:w="2070" w:type="dxa"/>
            <w:tcBorders>
              <w:top w:val="nil"/>
              <w:left w:val="nil"/>
              <w:bottom w:val="single" w:color="auto" w:sz="12" w:space="0"/>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16</w:t>
            </w:r>
          </w:p>
        </w:tc>
        <w:tc>
          <w:tcPr>
            <w:tcW w:w="1643" w:type="dxa"/>
            <w:tcBorders>
              <w:top w:val="nil"/>
              <w:left w:val="nil"/>
              <w:bottom w:val="single" w:color="auto" w:sz="12" w:space="0"/>
            </w:tcBorders>
            <w:vAlign w:val="bottom"/>
          </w:tcPr>
          <w:p>
            <w:pPr>
              <w:jc w:val="center"/>
              <w:rPr>
                <w:rFonts w:ascii="Times New Roman" w:hAnsi="Times New Roman" w:eastAsia="等线" w:cs="Times New Roman"/>
                <w:color w:val="000000"/>
                <w:sz w:val="24"/>
                <w:szCs w:val="24"/>
              </w:rPr>
            </w:pPr>
          </w:p>
        </w:tc>
      </w:tr>
    </w:tbl>
    <w:p>
      <w:pPr>
        <w:rPr>
          <w:rFonts w:ascii="Times New Roman" w:hAnsi="Times New Roman" w:cs="Times New Roman"/>
          <w:sz w:val="24"/>
          <w:szCs w:val="24"/>
        </w:rPr>
      </w:pPr>
      <w:r>
        <w:rPr>
          <w:rFonts w:ascii="Times New Roman" w:hAnsi="Times New Roman" w:cs="Times New Roman"/>
          <w:sz w:val="24"/>
          <w:szCs w:val="24"/>
        </w:rPr>
        <w:t>Note: WHO = World Health Organization.</w:t>
      </w:r>
    </w:p>
    <w:p>
      <w:pPr>
        <w:rPr>
          <w:rFonts w:ascii="Times New Roman" w:hAnsi="Times New Roman" w:cs="Times New Roman"/>
          <w:sz w:val="24"/>
          <w:szCs w:val="24"/>
        </w:rPr>
      </w:pPr>
      <w:r>
        <w:rPr>
          <w:rFonts w:ascii="Times New Roman" w:hAnsi="Times New Roman" w:cs="Times New Roman"/>
          <w:sz w:val="24"/>
          <w:szCs w:val="24"/>
        </w:rPr>
        <w:br w:type="page"/>
      </w:r>
    </w:p>
    <w:p>
      <w:pPr>
        <w:rPr>
          <w:rFonts w:ascii="Times New Roman" w:hAnsi="Times New Roman" w:cs="Times New Roman"/>
          <w:sz w:val="24"/>
          <w:szCs w:val="24"/>
        </w:rPr>
      </w:pPr>
      <w:r>
        <w:rPr>
          <w:rFonts w:ascii="Times New Roman" w:hAnsi="Times New Roman" w:cs="Times New Roman"/>
          <w:sz w:val="24"/>
          <w:szCs w:val="24"/>
        </w:rPr>
        <w:t>TABLE A.</w:t>
      </w:r>
      <w:r>
        <w:rPr>
          <w:rFonts w:hint="eastAsia" w:ascii="Times New Roman" w:hAnsi="Times New Roman" w:cs="Times New Roman"/>
          <w:sz w:val="24"/>
          <w:szCs w:val="24"/>
          <w:lang w:val="en-US" w:eastAsia="zh-CN"/>
        </w:rPr>
        <w:t>2</w:t>
      </w:r>
      <w:r>
        <w:rPr>
          <w:rFonts w:ascii="Times New Roman" w:hAnsi="Times New Roman" w:cs="Times New Roman"/>
          <w:sz w:val="24"/>
          <w:szCs w:val="24"/>
        </w:rPr>
        <w:t>. MRI Protocols of the Presented Study.</w:t>
      </w:r>
    </w:p>
    <w:tbl>
      <w:tblPr>
        <w:tblStyle w:val="5"/>
        <w:tblW w:w="11200" w:type="dxa"/>
        <w:jc w:val="center"/>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851"/>
        <w:gridCol w:w="2408"/>
        <w:gridCol w:w="1134"/>
        <w:gridCol w:w="1842"/>
        <w:gridCol w:w="993"/>
        <w:gridCol w:w="1277"/>
        <w:gridCol w:w="1985"/>
        <w:gridCol w:w="710"/>
      </w:tblGrid>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tcBorders>
              <w:top w:val="single" w:color="auto" w:sz="12" w:space="0"/>
              <w:bottom w:val="single" w:color="auto" w:sz="12" w:space="0"/>
              <w:right w:val="nil"/>
            </w:tcBorders>
            <w:vAlign w:val="center"/>
          </w:tcPr>
          <w:p>
            <w:pPr>
              <w:widowControl/>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 xml:space="preserve">Strength Field </w:t>
            </w:r>
          </w:p>
        </w:tc>
        <w:tc>
          <w:tcPr>
            <w:tcW w:w="2408" w:type="dxa"/>
            <w:tcBorders>
              <w:top w:val="single" w:color="auto" w:sz="12" w:space="0"/>
              <w:left w:val="nil"/>
              <w:bottom w:val="single" w:color="auto" w:sz="12" w:space="0"/>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Machine Model, Manufacture</w:t>
            </w:r>
          </w:p>
        </w:tc>
        <w:tc>
          <w:tcPr>
            <w:tcW w:w="1134" w:type="dxa"/>
            <w:tcBorders>
              <w:top w:val="single" w:color="auto" w:sz="12" w:space="0"/>
              <w:left w:val="nil"/>
              <w:bottom w:val="single" w:color="auto" w:sz="12" w:space="0"/>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Sequence</w:t>
            </w:r>
          </w:p>
        </w:tc>
        <w:tc>
          <w:tcPr>
            <w:tcW w:w="1842" w:type="dxa"/>
            <w:tcBorders>
              <w:top w:val="single" w:color="auto" w:sz="12" w:space="0"/>
              <w:left w:val="nil"/>
              <w:bottom w:val="single" w:color="auto" w:sz="12" w:space="0"/>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TR/TE (ms)</w:t>
            </w:r>
          </w:p>
        </w:tc>
        <w:tc>
          <w:tcPr>
            <w:tcW w:w="993" w:type="dxa"/>
            <w:tcBorders>
              <w:top w:val="single" w:color="auto" w:sz="12" w:space="0"/>
              <w:left w:val="nil"/>
              <w:bottom w:val="single" w:color="auto" w:sz="12" w:space="0"/>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FA (º)</w:t>
            </w:r>
          </w:p>
        </w:tc>
        <w:tc>
          <w:tcPr>
            <w:tcW w:w="1277" w:type="dxa"/>
            <w:tcBorders>
              <w:top w:val="single" w:color="auto" w:sz="12" w:space="0"/>
              <w:left w:val="nil"/>
              <w:bottom w:val="single" w:color="auto" w:sz="12" w:space="0"/>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FOV (mm)</w:t>
            </w:r>
          </w:p>
        </w:tc>
        <w:tc>
          <w:tcPr>
            <w:tcW w:w="1985" w:type="dxa"/>
            <w:tcBorders>
              <w:top w:val="single" w:color="auto" w:sz="12" w:space="0"/>
              <w:left w:val="nil"/>
              <w:bottom w:val="single" w:color="auto" w:sz="12" w:space="0"/>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Matrix</w:t>
            </w:r>
          </w:p>
        </w:tc>
        <w:tc>
          <w:tcPr>
            <w:tcW w:w="710" w:type="dxa"/>
            <w:tcBorders>
              <w:top w:val="single" w:color="auto" w:sz="12" w:space="0"/>
              <w:left w:val="nil"/>
              <w:bottom w:val="single" w:color="auto" w:sz="12" w:space="0"/>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ST (mm)</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vMerge w:val="restart"/>
            <w:tcBorders>
              <w:top w:val="nil"/>
              <w:bottom w:val="nil"/>
              <w:right w:val="nil"/>
            </w:tcBorders>
            <w:vAlign w:val="center"/>
          </w:tcPr>
          <w:p>
            <w:pPr>
              <w:widowControl/>
              <w:jc w:val="center"/>
              <w:rPr>
                <w:rFonts w:ascii="Times New Roman" w:hAnsi="Times New Roman" w:eastAsia="等线" w:cs="Times New Roman"/>
                <w:color w:val="000000"/>
                <w:sz w:val="24"/>
                <w:szCs w:val="24"/>
              </w:rPr>
            </w:pPr>
            <w:r>
              <w:rPr>
                <w:rFonts w:hint="eastAsia" w:ascii="Times New Roman" w:hAnsi="Times New Roman" w:eastAsia="等线" w:cs="Times New Roman"/>
                <w:color w:val="000000"/>
                <w:sz w:val="24"/>
                <w:szCs w:val="24"/>
              </w:rPr>
              <w:t>1</w:t>
            </w:r>
            <w:r>
              <w:rPr>
                <w:rFonts w:ascii="Times New Roman" w:hAnsi="Times New Roman" w:eastAsia="等线" w:cs="Times New Roman"/>
                <w:color w:val="000000"/>
                <w:sz w:val="24"/>
                <w:szCs w:val="24"/>
              </w:rPr>
              <w:t>.5 Te</w:t>
            </w:r>
            <w:r>
              <w:rPr>
                <w:rFonts w:hint="eastAsia" w:ascii="Times New Roman" w:hAnsi="Times New Roman" w:eastAsia="等线" w:cs="Times New Roman"/>
                <w:color w:val="000000"/>
                <w:sz w:val="24"/>
                <w:szCs w:val="24"/>
              </w:rPr>
              <w:t>sla</w:t>
            </w:r>
          </w:p>
        </w:tc>
        <w:tc>
          <w:tcPr>
            <w:tcW w:w="2408" w:type="dxa"/>
            <w:vMerge w:val="restart"/>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Signa Excite, GE Medical Systems</w:t>
            </w:r>
          </w:p>
        </w:tc>
        <w:tc>
          <w:tcPr>
            <w:tcW w:w="1134"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T1WI</w:t>
            </w:r>
          </w:p>
        </w:tc>
        <w:tc>
          <w:tcPr>
            <w:tcW w:w="1842"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540-1840/20-22</w:t>
            </w:r>
          </w:p>
        </w:tc>
        <w:tc>
          <w:tcPr>
            <w:tcW w:w="993"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90</w:t>
            </w:r>
          </w:p>
        </w:tc>
        <w:tc>
          <w:tcPr>
            <w:tcW w:w="1277"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240×180</w:t>
            </w:r>
          </w:p>
        </w:tc>
        <w:tc>
          <w:tcPr>
            <w:tcW w:w="1985"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288-320×192-224</w:t>
            </w:r>
          </w:p>
        </w:tc>
        <w:tc>
          <w:tcPr>
            <w:tcW w:w="710" w:type="dxa"/>
            <w:tcBorders>
              <w:top w:val="nil"/>
              <w:left w:val="nil"/>
              <w:bottom w:val="nil"/>
              <w:right w:val="nil"/>
            </w:tcBorders>
            <w:vAlign w:val="bottom"/>
          </w:tcPr>
          <w:p>
            <w:pPr>
              <w:ind w:firstLine="240" w:firstLineChars="100"/>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6</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vMerge w:val="continue"/>
            <w:tcBorders>
              <w:top w:val="nil"/>
              <w:bottom w:val="nil"/>
              <w:right w:val="nil"/>
            </w:tcBorders>
            <w:vAlign w:val="center"/>
          </w:tcPr>
          <w:p>
            <w:pPr>
              <w:widowControl/>
              <w:jc w:val="center"/>
              <w:rPr>
                <w:rFonts w:ascii="Times New Roman" w:hAnsi="Times New Roman" w:eastAsia="等线" w:cs="Times New Roman"/>
                <w:color w:val="000000"/>
                <w:sz w:val="24"/>
                <w:szCs w:val="24"/>
              </w:rPr>
            </w:pPr>
          </w:p>
        </w:tc>
        <w:tc>
          <w:tcPr>
            <w:tcW w:w="2408" w:type="dxa"/>
            <w:vMerge w:val="continue"/>
            <w:tcBorders>
              <w:top w:val="nil"/>
              <w:left w:val="nil"/>
              <w:bottom w:val="nil"/>
              <w:right w:val="nil"/>
            </w:tcBorders>
            <w:vAlign w:val="center"/>
          </w:tcPr>
          <w:p>
            <w:pPr>
              <w:rPr>
                <w:rFonts w:ascii="Times New Roman" w:hAnsi="Times New Roman" w:eastAsia="等线" w:cs="Times New Roman"/>
                <w:color w:val="000000"/>
                <w:sz w:val="24"/>
                <w:szCs w:val="24"/>
              </w:rPr>
            </w:pPr>
          </w:p>
        </w:tc>
        <w:tc>
          <w:tcPr>
            <w:tcW w:w="1134"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T2WI</w:t>
            </w:r>
          </w:p>
        </w:tc>
        <w:tc>
          <w:tcPr>
            <w:tcW w:w="1842"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4000/108</w:t>
            </w:r>
          </w:p>
        </w:tc>
        <w:tc>
          <w:tcPr>
            <w:tcW w:w="993"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90</w:t>
            </w:r>
          </w:p>
        </w:tc>
        <w:tc>
          <w:tcPr>
            <w:tcW w:w="1277"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240×180</w:t>
            </w:r>
          </w:p>
        </w:tc>
        <w:tc>
          <w:tcPr>
            <w:tcW w:w="1985"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384×288</w:t>
            </w:r>
          </w:p>
        </w:tc>
        <w:tc>
          <w:tcPr>
            <w:tcW w:w="710"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6</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vMerge w:val="continue"/>
            <w:tcBorders>
              <w:top w:val="nil"/>
              <w:bottom w:val="nil"/>
              <w:right w:val="nil"/>
            </w:tcBorders>
            <w:vAlign w:val="center"/>
          </w:tcPr>
          <w:p>
            <w:pPr>
              <w:widowControl/>
              <w:jc w:val="center"/>
              <w:rPr>
                <w:rFonts w:ascii="Times New Roman" w:hAnsi="Times New Roman" w:eastAsia="等线" w:cs="Times New Roman"/>
                <w:color w:val="000000"/>
                <w:sz w:val="24"/>
                <w:szCs w:val="24"/>
              </w:rPr>
            </w:pPr>
          </w:p>
        </w:tc>
        <w:tc>
          <w:tcPr>
            <w:tcW w:w="2408" w:type="dxa"/>
            <w:vMerge w:val="restart"/>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Prodiva CX, Philips Healthcare</w:t>
            </w:r>
          </w:p>
        </w:tc>
        <w:tc>
          <w:tcPr>
            <w:tcW w:w="1134"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T1WI</w:t>
            </w:r>
          </w:p>
        </w:tc>
        <w:tc>
          <w:tcPr>
            <w:tcW w:w="1842"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334/4</w:t>
            </w:r>
          </w:p>
        </w:tc>
        <w:tc>
          <w:tcPr>
            <w:tcW w:w="993"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90</w:t>
            </w:r>
          </w:p>
        </w:tc>
        <w:tc>
          <w:tcPr>
            <w:tcW w:w="1277"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220×200</w:t>
            </w:r>
          </w:p>
        </w:tc>
        <w:tc>
          <w:tcPr>
            <w:tcW w:w="1985"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276×183</w:t>
            </w:r>
          </w:p>
        </w:tc>
        <w:tc>
          <w:tcPr>
            <w:tcW w:w="710"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5.5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vMerge w:val="continue"/>
            <w:tcBorders>
              <w:top w:val="nil"/>
              <w:bottom w:val="nil"/>
              <w:right w:val="nil"/>
            </w:tcBorders>
            <w:vAlign w:val="center"/>
          </w:tcPr>
          <w:p>
            <w:pPr>
              <w:widowControl/>
              <w:jc w:val="center"/>
              <w:rPr>
                <w:rFonts w:ascii="Times New Roman" w:hAnsi="Times New Roman" w:eastAsia="等线" w:cs="Times New Roman"/>
                <w:color w:val="000000"/>
                <w:sz w:val="24"/>
                <w:szCs w:val="24"/>
              </w:rPr>
            </w:pPr>
          </w:p>
        </w:tc>
        <w:tc>
          <w:tcPr>
            <w:tcW w:w="2408" w:type="dxa"/>
            <w:vMerge w:val="continue"/>
            <w:tcBorders>
              <w:top w:val="nil"/>
              <w:left w:val="nil"/>
              <w:bottom w:val="nil"/>
              <w:right w:val="nil"/>
            </w:tcBorders>
            <w:vAlign w:val="center"/>
          </w:tcPr>
          <w:p>
            <w:pPr>
              <w:rPr>
                <w:rFonts w:ascii="Times New Roman" w:hAnsi="Times New Roman" w:eastAsia="等线" w:cs="Times New Roman"/>
                <w:color w:val="000000"/>
                <w:sz w:val="24"/>
                <w:szCs w:val="24"/>
              </w:rPr>
            </w:pPr>
          </w:p>
        </w:tc>
        <w:tc>
          <w:tcPr>
            <w:tcW w:w="1134"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T2WI</w:t>
            </w:r>
          </w:p>
        </w:tc>
        <w:tc>
          <w:tcPr>
            <w:tcW w:w="1842"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3817/90</w:t>
            </w:r>
          </w:p>
        </w:tc>
        <w:tc>
          <w:tcPr>
            <w:tcW w:w="993"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90</w:t>
            </w:r>
          </w:p>
        </w:tc>
        <w:tc>
          <w:tcPr>
            <w:tcW w:w="1277"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220×200</w:t>
            </w:r>
          </w:p>
        </w:tc>
        <w:tc>
          <w:tcPr>
            <w:tcW w:w="1985"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340×254</w:t>
            </w:r>
          </w:p>
        </w:tc>
        <w:tc>
          <w:tcPr>
            <w:tcW w:w="710"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5.5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vMerge w:val="continue"/>
            <w:tcBorders>
              <w:top w:val="nil"/>
              <w:bottom w:val="nil"/>
              <w:right w:val="nil"/>
            </w:tcBorders>
            <w:vAlign w:val="center"/>
          </w:tcPr>
          <w:p>
            <w:pPr>
              <w:widowControl/>
              <w:jc w:val="center"/>
              <w:rPr>
                <w:rFonts w:ascii="Times New Roman" w:hAnsi="Times New Roman" w:eastAsia="等线" w:cs="Times New Roman"/>
                <w:color w:val="000000"/>
                <w:sz w:val="24"/>
                <w:szCs w:val="24"/>
              </w:rPr>
            </w:pPr>
          </w:p>
        </w:tc>
        <w:tc>
          <w:tcPr>
            <w:tcW w:w="2408" w:type="dxa"/>
            <w:vMerge w:val="restart"/>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Espree, Siemens Healthineers</w:t>
            </w:r>
          </w:p>
        </w:tc>
        <w:tc>
          <w:tcPr>
            <w:tcW w:w="1134"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T1WI</w:t>
            </w:r>
          </w:p>
        </w:tc>
        <w:tc>
          <w:tcPr>
            <w:tcW w:w="1842"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190/4.76</w:t>
            </w:r>
          </w:p>
        </w:tc>
        <w:tc>
          <w:tcPr>
            <w:tcW w:w="993"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75</w:t>
            </w:r>
          </w:p>
        </w:tc>
        <w:tc>
          <w:tcPr>
            <w:tcW w:w="1277"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220×200</w:t>
            </w:r>
          </w:p>
        </w:tc>
        <w:tc>
          <w:tcPr>
            <w:tcW w:w="1985"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320×216</w:t>
            </w:r>
          </w:p>
        </w:tc>
        <w:tc>
          <w:tcPr>
            <w:tcW w:w="710"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vMerge w:val="continue"/>
            <w:tcBorders>
              <w:top w:val="nil"/>
              <w:bottom w:val="nil"/>
              <w:right w:val="nil"/>
            </w:tcBorders>
            <w:vAlign w:val="center"/>
          </w:tcPr>
          <w:p>
            <w:pPr>
              <w:widowControl/>
              <w:jc w:val="center"/>
              <w:rPr>
                <w:rFonts w:ascii="Times New Roman" w:hAnsi="Times New Roman" w:eastAsia="等线" w:cs="Times New Roman"/>
                <w:color w:val="000000"/>
                <w:sz w:val="24"/>
                <w:szCs w:val="24"/>
              </w:rPr>
            </w:pPr>
          </w:p>
        </w:tc>
        <w:tc>
          <w:tcPr>
            <w:tcW w:w="2408" w:type="dxa"/>
            <w:vMerge w:val="continue"/>
            <w:tcBorders>
              <w:top w:val="nil"/>
              <w:left w:val="nil"/>
              <w:bottom w:val="nil"/>
              <w:right w:val="nil"/>
            </w:tcBorders>
            <w:vAlign w:val="center"/>
          </w:tcPr>
          <w:p>
            <w:pPr>
              <w:rPr>
                <w:rFonts w:ascii="Times New Roman" w:hAnsi="Times New Roman" w:eastAsia="等线" w:cs="Times New Roman"/>
                <w:color w:val="000000"/>
                <w:sz w:val="24"/>
                <w:szCs w:val="24"/>
              </w:rPr>
            </w:pPr>
          </w:p>
        </w:tc>
        <w:tc>
          <w:tcPr>
            <w:tcW w:w="1134"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T2WI</w:t>
            </w:r>
          </w:p>
        </w:tc>
        <w:tc>
          <w:tcPr>
            <w:tcW w:w="1842"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6000/108</w:t>
            </w:r>
          </w:p>
        </w:tc>
        <w:tc>
          <w:tcPr>
            <w:tcW w:w="993"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150</w:t>
            </w:r>
          </w:p>
        </w:tc>
        <w:tc>
          <w:tcPr>
            <w:tcW w:w="1277"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220×200</w:t>
            </w:r>
          </w:p>
        </w:tc>
        <w:tc>
          <w:tcPr>
            <w:tcW w:w="1985"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320×216</w:t>
            </w:r>
          </w:p>
        </w:tc>
        <w:tc>
          <w:tcPr>
            <w:tcW w:w="710"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vMerge w:val="restart"/>
            <w:tcBorders>
              <w:top w:val="nil"/>
              <w:bottom w:val="nil"/>
              <w:right w:val="nil"/>
            </w:tcBorders>
            <w:vAlign w:val="center"/>
          </w:tcPr>
          <w:p>
            <w:pPr>
              <w:widowControl/>
              <w:jc w:val="center"/>
              <w:rPr>
                <w:rFonts w:ascii="Times New Roman" w:hAnsi="Times New Roman" w:eastAsia="等线" w:cs="Times New Roman"/>
                <w:color w:val="000000"/>
                <w:sz w:val="24"/>
                <w:szCs w:val="24"/>
              </w:rPr>
            </w:pPr>
            <w:r>
              <w:rPr>
                <w:rFonts w:hint="eastAsia" w:ascii="Times New Roman" w:hAnsi="Times New Roman" w:eastAsia="等线" w:cs="Times New Roman"/>
                <w:color w:val="000000"/>
                <w:sz w:val="24"/>
                <w:szCs w:val="24"/>
              </w:rPr>
              <w:t>3</w:t>
            </w:r>
            <w:r>
              <w:rPr>
                <w:rFonts w:ascii="Times New Roman" w:hAnsi="Times New Roman" w:eastAsia="等线" w:cs="Times New Roman"/>
                <w:color w:val="000000"/>
                <w:sz w:val="24"/>
                <w:szCs w:val="24"/>
              </w:rPr>
              <w:t>.0 Te</w:t>
            </w:r>
            <w:r>
              <w:rPr>
                <w:rFonts w:hint="eastAsia" w:ascii="Times New Roman" w:hAnsi="Times New Roman" w:eastAsia="等线" w:cs="Times New Roman"/>
                <w:color w:val="000000"/>
                <w:sz w:val="24"/>
                <w:szCs w:val="24"/>
              </w:rPr>
              <w:t>sla</w:t>
            </w:r>
          </w:p>
        </w:tc>
        <w:tc>
          <w:tcPr>
            <w:tcW w:w="2408" w:type="dxa"/>
            <w:vMerge w:val="restart"/>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Verio/Skyra/Prisma, Siemens Healthineers</w:t>
            </w:r>
          </w:p>
        </w:tc>
        <w:tc>
          <w:tcPr>
            <w:tcW w:w="1134"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T1WI</w:t>
            </w:r>
          </w:p>
        </w:tc>
        <w:tc>
          <w:tcPr>
            <w:tcW w:w="1842"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250/2.5</w:t>
            </w:r>
          </w:p>
        </w:tc>
        <w:tc>
          <w:tcPr>
            <w:tcW w:w="993"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70</w:t>
            </w:r>
          </w:p>
        </w:tc>
        <w:tc>
          <w:tcPr>
            <w:tcW w:w="1277"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220×220</w:t>
            </w:r>
          </w:p>
        </w:tc>
        <w:tc>
          <w:tcPr>
            <w:tcW w:w="1985"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256-320×205-256</w:t>
            </w:r>
          </w:p>
        </w:tc>
        <w:tc>
          <w:tcPr>
            <w:tcW w:w="710"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vMerge w:val="continue"/>
            <w:tcBorders>
              <w:top w:val="nil"/>
              <w:bottom w:val="nil"/>
              <w:right w:val="nil"/>
            </w:tcBorders>
            <w:vAlign w:val="center"/>
          </w:tcPr>
          <w:p>
            <w:pPr>
              <w:widowControl/>
              <w:jc w:val="center"/>
              <w:rPr>
                <w:rFonts w:ascii="Times New Roman" w:hAnsi="Times New Roman" w:eastAsia="等线" w:cs="Times New Roman"/>
                <w:color w:val="000000"/>
                <w:sz w:val="24"/>
                <w:szCs w:val="24"/>
              </w:rPr>
            </w:pPr>
          </w:p>
        </w:tc>
        <w:tc>
          <w:tcPr>
            <w:tcW w:w="2408" w:type="dxa"/>
            <w:vMerge w:val="continue"/>
            <w:tcBorders>
              <w:top w:val="nil"/>
              <w:left w:val="nil"/>
              <w:bottom w:val="nil"/>
              <w:right w:val="nil"/>
            </w:tcBorders>
            <w:vAlign w:val="center"/>
          </w:tcPr>
          <w:p>
            <w:pPr>
              <w:rPr>
                <w:rFonts w:ascii="Times New Roman" w:hAnsi="Times New Roman" w:eastAsia="等线" w:cs="Times New Roman"/>
                <w:color w:val="000000"/>
                <w:sz w:val="24"/>
                <w:szCs w:val="24"/>
              </w:rPr>
            </w:pPr>
          </w:p>
        </w:tc>
        <w:tc>
          <w:tcPr>
            <w:tcW w:w="1134"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T2WI</w:t>
            </w:r>
          </w:p>
        </w:tc>
        <w:tc>
          <w:tcPr>
            <w:tcW w:w="1842"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6000/96-125</w:t>
            </w:r>
          </w:p>
        </w:tc>
        <w:tc>
          <w:tcPr>
            <w:tcW w:w="993"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90-150</w:t>
            </w:r>
          </w:p>
        </w:tc>
        <w:tc>
          <w:tcPr>
            <w:tcW w:w="1277"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220×220</w:t>
            </w:r>
          </w:p>
        </w:tc>
        <w:tc>
          <w:tcPr>
            <w:tcW w:w="1985"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320-384×320-384</w:t>
            </w:r>
          </w:p>
        </w:tc>
        <w:tc>
          <w:tcPr>
            <w:tcW w:w="710"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vMerge w:val="continue"/>
            <w:tcBorders>
              <w:top w:val="nil"/>
              <w:bottom w:val="nil"/>
              <w:right w:val="nil"/>
            </w:tcBorders>
            <w:vAlign w:val="center"/>
          </w:tcPr>
          <w:p>
            <w:pPr>
              <w:widowControl/>
              <w:jc w:val="center"/>
              <w:rPr>
                <w:rFonts w:ascii="Times New Roman" w:hAnsi="Times New Roman" w:eastAsia="等线" w:cs="Times New Roman"/>
                <w:color w:val="000000"/>
                <w:sz w:val="24"/>
                <w:szCs w:val="24"/>
              </w:rPr>
            </w:pPr>
          </w:p>
        </w:tc>
        <w:tc>
          <w:tcPr>
            <w:tcW w:w="2408" w:type="dxa"/>
            <w:vMerge w:val="restart"/>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Ingenia, Philips Healthcare</w:t>
            </w:r>
          </w:p>
        </w:tc>
        <w:tc>
          <w:tcPr>
            <w:tcW w:w="1134"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T1WI</w:t>
            </w:r>
          </w:p>
        </w:tc>
        <w:tc>
          <w:tcPr>
            <w:tcW w:w="1842"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245/1.82</w:t>
            </w:r>
          </w:p>
        </w:tc>
        <w:tc>
          <w:tcPr>
            <w:tcW w:w="993"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80</w:t>
            </w:r>
          </w:p>
        </w:tc>
        <w:tc>
          <w:tcPr>
            <w:tcW w:w="1277"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230×230</w:t>
            </w:r>
          </w:p>
        </w:tc>
        <w:tc>
          <w:tcPr>
            <w:tcW w:w="1985"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230×230</w:t>
            </w:r>
          </w:p>
        </w:tc>
        <w:tc>
          <w:tcPr>
            <w:tcW w:w="710" w:type="dxa"/>
            <w:tcBorders>
              <w:top w:val="nil"/>
              <w:left w:val="nil"/>
              <w:bottom w:val="nil"/>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851" w:type="dxa"/>
            <w:vMerge w:val="continue"/>
            <w:tcBorders>
              <w:top w:val="nil"/>
              <w:bottom w:val="single" w:color="auto" w:sz="12" w:space="0"/>
              <w:right w:val="nil"/>
            </w:tcBorders>
            <w:vAlign w:val="bottom"/>
          </w:tcPr>
          <w:p>
            <w:pPr>
              <w:widowControl/>
              <w:rPr>
                <w:rFonts w:ascii="Times New Roman" w:hAnsi="Times New Roman" w:eastAsia="等线" w:cs="Times New Roman"/>
                <w:sz w:val="24"/>
                <w:szCs w:val="24"/>
              </w:rPr>
            </w:pPr>
          </w:p>
        </w:tc>
        <w:tc>
          <w:tcPr>
            <w:tcW w:w="2408" w:type="dxa"/>
            <w:vMerge w:val="continue"/>
            <w:tcBorders>
              <w:top w:val="nil"/>
              <w:left w:val="nil"/>
              <w:bottom w:val="single" w:color="auto" w:sz="12" w:space="0"/>
              <w:right w:val="nil"/>
            </w:tcBorders>
            <w:vAlign w:val="center"/>
          </w:tcPr>
          <w:p>
            <w:pPr>
              <w:rPr>
                <w:rFonts w:ascii="Times New Roman" w:hAnsi="Times New Roman" w:eastAsia="等线" w:cs="Times New Roman"/>
                <w:color w:val="000000"/>
                <w:sz w:val="24"/>
                <w:szCs w:val="24"/>
              </w:rPr>
            </w:pPr>
          </w:p>
        </w:tc>
        <w:tc>
          <w:tcPr>
            <w:tcW w:w="1134" w:type="dxa"/>
            <w:tcBorders>
              <w:top w:val="nil"/>
              <w:left w:val="nil"/>
              <w:bottom w:val="single" w:color="auto" w:sz="12" w:space="0"/>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T2WI</w:t>
            </w:r>
          </w:p>
        </w:tc>
        <w:tc>
          <w:tcPr>
            <w:tcW w:w="1842" w:type="dxa"/>
            <w:tcBorders>
              <w:top w:val="nil"/>
              <w:left w:val="nil"/>
              <w:bottom w:val="single" w:color="auto" w:sz="12" w:space="0"/>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4000/102</w:t>
            </w:r>
          </w:p>
        </w:tc>
        <w:tc>
          <w:tcPr>
            <w:tcW w:w="993" w:type="dxa"/>
            <w:tcBorders>
              <w:top w:val="nil"/>
              <w:left w:val="nil"/>
              <w:bottom w:val="single" w:color="auto" w:sz="12" w:space="0"/>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90</w:t>
            </w:r>
          </w:p>
        </w:tc>
        <w:tc>
          <w:tcPr>
            <w:tcW w:w="1277" w:type="dxa"/>
            <w:tcBorders>
              <w:top w:val="nil"/>
              <w:left w:val="nil"/>
              <w:bottom w:val="single" w:color="auto" w:sz="12" w:space="0"/>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230×230</w:t>
            </w:r>
          </w:p>
        </w:tc>
        <w:tc>
          <w:tcPr>
            <w:tcW w:w="1985" w:type="dxa"/>
            <w:tcBorders>
              <w:top w:val="nil"/>
              <w:left w:val="nil"/>
              <w:bottom w:val="single" w:color="auto" w:sz="12" w:space="0"/>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340×322</w:t>
            </w:r>
          </w:p>
        </w:tc>
        <w:tc>
          <w:tcPr>
            <w:tcW w:w="710" w:type="dxa"/>
            <w:tcBorders>
              <w:top w:val="nil"/>
              <w:left w:val="nil"/>
              <w:bottom w:val="single" w:color="auto" w:sz="12" w:space="0"/>
              <w:right w:val="nil"/>
            </w:tcBorders>
            <w:vAlign w:val="bottom"/>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5</w:t>
            </w:r>
          </w:p>
        </w:tc>
      </w:tr>
    </w:tbl>
    <w:p>
      <w:pPr>
        <w:rPr>
          <w:rFonts w:ascii="Times New Roman" w:hAnsi="Times New Roman" w:cs="Times New Roman"/>
          <w:sz w:val="24"/>
          <w:szCs w:val="24"/>
        </w:rPr>
      </w:pPr>
      <w:r>
        <w:rPr>
          <w:rFonts w:ascii="Times New Roman" w:hAnsi="Times New Roman" w:cs="Times New Roman"/>
          <w:sz w:val="24"/>
          <w:szCs w:val="24"/>
        </w:rPr>
        <w:t xml:space="preserve">Note: T2WI = T2-weighted imaging; T1WI = T1-weighted imaging; TR = repetition time; TE = echo time; FA = flip angle; FOV = field of view; ST = slice thickness; ms </w:t>
      </w:r>
      <w:r>
        <w:rPr>
          <w:rFonts w:hint="eastAsia" w:ascii="Times New Roman" w:hAnsi="Times New Roman" w:cs="Times New Roman"/>
          <w:sz w:val="24"/>
          <w:szCs w:val="24"/>
        </w:rPr>
        <w:t>=</w:t>
      </w:r>
      <w:r>
        <w:rPr>
          <w:sz w:val="24"/>
          <w:szCs w:val="24"/>
        </w:rPr>
        <w:t xml:space="preserve"> </w:t>
      </w:r>
      <w:r>
        <w:rPr>
          <w:rFonts w:ascii="Times New Roman" w:hAnsi="Times New Roman" w:cs="Times New Roman"/>
          <w:sz w:val="24"/>
          <w:szCs w:val="24"/>
        </w:rPr>
        <w:t>millisecond</w:t>
      </w:r>
      <w:r>
        <w:rPr>
          <w:rFonts w:hint="eastAsia" w:ascii="Times New Roman" w:hAnsi="Times New Roman" w:cs="Times New Roman"/>
          <w:sz w:val="24"/>
          <w:szCs w:val="24"/>
        </w:rPr>
        <w:t>;</w:t>
      </w:r>
      <w:r>
        <w:rPr>
          <w:rFonts w:ascii="Times New Roman" w:hAnsi="Times New Roman" w:cs="Times New Roman"/>
          <w:sz w:val="24"/>
          <w:szCs w:val="24"/>
        </w:rPr>
        <w:t xml:space="preserve"> mm = millimeter.</w:t>
      </w:r>
      <w:r>
        <w:rPr>
          <w:rFonts w:ascii="Times New Roman" w:hAnsi="Times New Roman" w:cs="Times New Roman"/>
          <w:sz w:val="24"/>
          <w:szCs w:val="24"/>
        </w:rPr>
        <w:br w:type="page"/>
      </w:r>
    </w:p>
    <w:p>
      <w:pPr>
        <w:rPr>
          <w:rFonts w:ascii="Times New Roman" w:hAnsi="Times New Roman" w:cs="Times New Roman"/>
          <w:sz w:val="24"/>
          <w:szCs w:val="24"/>
        </w:rPr>
      </w:pPr>
      <w:r>
        <w:rPr>
          <w:rFonts w:ascii="Times New Roman" w:hAnsi="Times New Roman" w:cs="Times New Roman"/>
          <w:sz w:val="24"/>
          <w:szCs w:val="24"/>
        </w:rPr>
        <w:t>TABLE A.</w:t>
      </w:r>
      <w:r>
        <w:rPr>
          <w:rFonts w:hint="eastAsia" w:ascii="Times New Roman" w:hAnsi="Times New Roman" w:cs="Times New Roman"/>
          <w:sz w:val="24"/>
          <w:szCs w:val="24"/>
          <w:lang w:val="en-US" w:eastAsia="zh-CN"/>
        </w:rPr>
        <w:t>3</w:t>
      </w:r>
      <w:r>
        <w:rPr>
          <w:rFonts w:ascii="Times New Roman" w:hAnsi="Times New Roman" w:cs="Times New Roman"/>
          <w:sz w:val="24"/>
          <w:szCs w:val="24"/>
        </w:rPr>
        <w:t>. Radiomics Features Extracted in This Study.</w:t>
      </w:r>
    </w:p>
    <w:tbl>
      <w:tblPr>
        <w:tblStyle w:val="5"/>
        <w:tblW w:w="11058" w:type="dxa"/>
        <w:tblInd w:w="-1565"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03"/>
        <w:gridCol w:w="7655"/>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tcBorders>
              <w:top w:val="single" w:color="auto" w:sz="12" w:space="0"/>
              <w:left w:val="nil"/>
              <w:bottom w:val="single" w:color="auto" w:sz="12" w:space="0"/>
              <w:right w:val="nil"/>
            </w:tcBorders>
            <w:vAlign w:val="center"/>
          </w:tcPr>
          <w:p>
            <w:pPr>
              <w:widowControl/>
              <w:jc w:val="left"/>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Feature category</w:t>
            </w:r>
          </w:p>
        </w:tc>
        <w:tc>
          <w:tcPr>
            <w:tcW w:w="7655" w:type="dxa"/>
            <w:tcBorders>
              <w:top w:val="single" w:color="auto" w:sz="12" w:space="0"/>
              <w:left w:val="nil"/>
              <w:bottom w:val="single" w:color="auto" w:sz="12" w:space="0"/>
              <w:right w:val="nil"/>
            </w:tcBorders>
            <w:vAlign w:val="center"/>
          </w:tcPr>
          <w:p>
            <w:pP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Feature name</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tcBorders>
              <w:top w:val="single" w:color="auto" w:sz="12" w:space="0"/>
              <w:left w:val="nil"/>
              <w:bottom w:val="nil"/>
              <w:right w:val="nil"/>
            </w:tcBorders>
            <w:vAlign w:val="center"/>
          </w:tcPr>
          <w:p>
            <w:pPr>
              <w:jc w:val="left"/>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First-order statistics features (n = 18)</w:t>
            </w:r>
          </w:p>
        </w:tc>
        <w:tc>
          <w:tcPr>
            <w:tcW w:w="7655" w:type="dxa"/>
            <w:tcBorders>
              <w:top w:val="single" w:color="auto" w:sz="12" w:space="0"/>
              <w:left w:val="nil"/>
              <w:bottom w:val="nil"/>
              <w:right w:val="nil"/>
            </w:tcBorders>
            <w:vAlign w:val="center"/>
          </w:tcPr>
          <w:p>
            <w:pP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10 Percentile, 90 Percentile, Energy, Entropy, Interquartile Range, Kurtosis, Maximum, Mean, Mean Absolute Deviation, Median, Minimum, Range, Robust Mean Absolute Deviation, Root Mean Squared, Skewness, Total Energy, Uniformity, Uniformity</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tcBorders>
              <w:top w:val="nil"/>
              <w:left w:val="nil"/>
              <w:bottom w:val="nil"/>
              <w:right w:val="nil"/>
            </w:tcBorders>
            <w:vAlign w:val="center"/>
          </w:tcPr>
          <w:p>
            <w:pPr>
              <w:jc w:val="left"/>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Shape-based features (n = 14)</w:t>
            </w:r>
          </w:p>
        </w:tc>
        <w:tc>
          <w:tcPr>
            <w:tcW w:w="7655" w:type="dxa"/>
            <w:tcBorders>
              <w:top w:val="nil"/>
              <w:left w:val="nil"/>
              <w:bottom w:val="nil"/>
              <w:right w:val="nil"/>
            </w:tcBorders>
            <w:vAlign w:val="center"/>
          </w:tcPr>
          <w:p>
            <w:pP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Elongation, Flatness, Least Axis Length, Major Axis Length, Maximum 2D Diameter Column, Maximum 2D Diameter Row, Maximum 2D Diameter Slice, Maximum 3D Diameter, Mesh Volume, Minor Axis Length, Sphericity, Surface Area, Surface Volume Ratio, Voxel Volume</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tcBorders>
              <w:top w:val="nil"/>
              <w:left w:val="nil"/>
              <w:bottom w:val="nil"/>
              <w:right w:val="nil"/>
            </w:tcBorders>
            <w:vAlign w:val="center"/>
          </w:tcPr>
          <w:p>
            <w:pPr>
              <w:jc w:val="left"/>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Gray-level co-occurrence matrices (GLCM) features (n = 24)</w:t>
            </w:r>
          </w:p>
        </w:tc>
        <w:tc>
          <w:tcPr>
            <w:tcW w:w="7655" w:type="dxa"/>
            <w:tcBorders>
              <w:top w:val="nil"/>
              <w:left w:val="nil"/>
              <w:bottom w:val="nil"/>
              <w:right w:val="nil"/>
            </w:tcBorders>
            <w:vAlign w:val="center"/>
          </w:tcPr>
          <w:p>
            <w:pP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Autocorrelation, Cluster Prominence, Cluster Shade, Cluster Tendency, Contrast, Correlation, Difference Average, Difference Entropy, Difference Variance, Id, Idm, Idmn, Idn, Imc1, Imc2, Inverse Variance, Joint Average, Joint Energy, Joint Entropy, MCC, Maximum Probability, Sum Average, Sum Entropy, Sum Squares</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tcBorders>
              <w:top w:val="nil"/>
              <w:left w:val="nil"/>
              <w:bottom w:val="nil"/>
              <w:right w:val="nil"/>
            </w:tcBorders>
            <w:vAlign w:val="center"/>
          </w:tcPr>
          <w:p>
            <w:pPr>
              <w:jc w:val="left"/>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Gray-level run-length matrices (GLRLM) features (n = 16)</w:t>
            </w:r>
          </w:p>
        </w:tc>
        <w:tc>
          <w:tcPr>
            <w:tcW w:w="7655" w:type="dxa"/>
            <w:tcBorders>
              <w:top w:val="nil"/>
              <w:left w:val="nil"/>
              <w:bottom w:val="nil"/>
              <w:right w:val="nil"/>
            </w:tcBorders>
            <w:vAlign w:val="center"/>
          </w:tcPr>
          <w:p>
            <w:pP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Gray Level Non-Uniformity, Gray Level Non-Uniformity Normalized, Gray Level Variance, High Gray Level Run Emphasis, Long Run Emphasis, Long Run High Gray Level Emphasis, Long Run Low Gray Level Emphasis, Low Gray Level Run Emphasis, Run Entropy, Run Length Non-Uniformity, Run Length Non-Uniformity Normalized,  Run Percentage, Run Variance, Short Run Emphasis, Short Run High Gray Level Emphasis, Short Run Low Gray Level Emphasis</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tcBorders>
              <w:top w:val="nil"/>
              <w:left w:val="nil"/>
              <w:bottom w:val="nil"/>
              <w:right w:val="nil"/>
            </w:tcBorders>
            <w:vAlign w:val="center"/>
          </w:tcPr>
          <w:p>
            <w:pPr>
              <w:jc w:val="left"/>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Gray-level size zone matrices (GLSZM) features (n = 16)</w:t>
            </w:r>
          </w:p>
        </w:tc>
        <w:tc>
          <w:tcPr>
            <w:tcW w:w="7655" w:type="dxa"/>
            <w:tcBorders>
              <w:top w:val="nil"/>
              <w:left w:val="nil"/>
              <w:bottom w:val="nil"/>
              <w:right w:val="nil"/>
            </w:tcBorders>
            <w:vAlign w:val="center"/>
          </w:tcPr>
          <w:p>
            <w:pP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Gray Level Non-Uniformity, Gray Level Non-Uniformity Normalized, Gray Level Variance, High Gray Level Zone Emphasis, Large Area Emphasis, Large Area High Gray Level Emphasis, Large Area Low Gray Level Emphasis, Low Gray Level Zone Emphasis, Size Zone Non-Uniformity, Size Zone Non-Uniformity Normalized, Small Area Emphasis, Small Area High Gray Level Emphasis, Small Area Low Gray Level Emphasis, Zone Entropy, Zone Percentage, Zone Variance</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3403" w:type="dxa"/>
            <w:tcBorders>
              <w:top w:val="nil"/>
              <w:left w:val="nil"/>
              <w:bottom w:val="nil"/>
              <w:right w:val="nil"/>
            </w:tcBorders>
            <w:vAlign w:val="center"/>
          </w:tcPr>
          <w:p>
            <w:pPr>
              <w:jc w:val="left"/>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Gray-level dependence matrices (GLDM) features (n = 14)</w:t>
            </w:r>
          </w:p>
        </w:tc>
        <w:tc>
          <w:tcPr>
            <w:tcW w:w="7655" w:type="dxa"/>
            <w:tcBorders>
              <w:top w:val="nil"/>
              <w:left w:val="nil"/>
              <w:bottom w:val="nil"/>
              <w:right w:val="nil"/>
            </w:tcBorders>
            <w:vAlign w:val="center"/>
          </w:tcPr>
          <w:p>
            <w:pP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Dependence Entropy, Dependence Non-Uniformity, Dependence Non-Uniformity Normalized, Dependence Variance, Gray Level Non-Uniformity, Gray Level Variance, High Gray Level Emphasis, Large Dependence Emphasis, Large Dependence High Gray Level Emphasis, Large Dependence Low Gray Level Emphasis, Low Gray Level Emphasis, Small Dependence Emphasis, Small Dependence High Gray Level Emphasis, Small Dependence Low Gray Level Emphasis</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tcBorders>
              <w:top w:val="nil"/>
              <w:left w:val="nil"/>
              <w:bottom w:val="single" w:color="auto" w:sz="12" w:space="0"/>
              <w:right w:val="nil"/>
            </w:tcBorders>
            <w:vAlign w:val="center"/>
          </w:tcPr>
          <w:p>
            <w:pPr>
              <w:widowControl/>
              <w:jc w:val="left"/>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Neighborhood gray-tone difference matrices (NGTDM) features (n = 5)</w:t>
            </w:r>
          </w:p>
        </w:tc>
        <w:tc>
          <w:tcPr>
            <w:tcW w:w="7655" w:type="dxa"/>
            <w:tcBorders>
              <w:top w:val="nil"/>
              <w:left w:val="nil"/>
              <w:bottom w:val="single" w:color="auto" w:sz="12" w:space="0"/>
              <w:right w:val="nil"/>
            </w:tcBorders>
            <w:vAlign w:val="center"/>
          </w:tcPr>
          <w:p>
            <w:pP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Busyness, Coarseness, Complexity, Contrast, Strength</w:t>
            </w:r>
          </w:p>
        </w:tc>
      </w:tr>
    </w:tbl>
    <w:p>
      <w:pPr>
        <w:rPr>
          <w:rFonts w:ascii="Times New Roman" w:hAnsi="Times New Roman" w:cs="Times New Roman"/>
          <w:sz w:val="24"/>
          <w:szCs w:val="24"/>
        </w:rPr>
      </w:pPr>
      <w:r>
        <w:rPr>
          <w:rFonts w:ascii="Times New Roman" w:hAnsi="Times New Roman" w:cs="Times New Roman"/>
          <w:sz w:val="24"/>
          <w:szCs w:val="24"/>
        </w:rPr>
        <w:t>Note: 2D = two dimension; Id = Inverse Difference; Idm = Inverse Difference Moment; Idmn = Inverse Difference Moment Normalized; Idn = Inverse Difference Normalized; Imc = Informal Measure of Correlation; MCC = Maximal Correlation Coefficient.</w:t>
      </w:r>
    </w:p>
    <w:p>
      <w:pPr>
        <w:rPr>
          <w:rFonts w:ascii="Times New Roman" w:hAnsi="Times New Roman" w:cs="Times New Roman"/>
          <w:sz w:val="24"/>
          <w:szCs w:val="24"/>
        </w:rPr>
      </w:pPr>
      <w:r>
        <w:rPr>
          <w:rFonts w:ascii="Times New Roman" w:hAnsi="Times New Roman" w:cs="Times New Roman"/>
          <w:sz w:val="24"/>
          <w:szCs w:val="24"/>
        </w:rPr>
        <w:br w:type="page"/>
      </w:r>
    </w:p>
    <w:p>
      <w:pPr>
        <w:rPr>
          <w:rFonts w:ascii="Times New Roman" w:hAnsi="Times New Roman" w:cs="Times New Roman"/>
          <w:sz w:val="24"/>
          <w:szCs w:val="24"/>
        </w:rPr>
      </w:pPr>
      <w:r>
        <w:rPr>
          <w:rFonts w:ascii="Times New Roman" w:hAnsi="Times New Roman" w:cs="Times New Roman"/>
          <w:sz w:val="24"/>
          <w:szCs w:val="24"/>
        </w:rPr>
        <w:t xml:space="preserve">TABLE </w:t>
      </w:r>
      <w:r>
        <w:rPr>
          <w:rFonts w:hint="eastAsia" w:ascii="Times New Roman" w:hAnsi="Times New Roman" w:cs="Times New Roman"/>
          <w:sz w:val="24"/>
          <w:szCs w:val="24"/>
          <w:lang w:val="en-US" w:eastAsia="zh-CN"/>
        </w:rPr>
        <w:t>A.4</w:t>
      </w:r>
      <w:r>
        <w:rPr>
          <w:rFonts w:ascii="Times New Roman" w:hAnsi="Times New Roman" w:cs="Times New Roman"/>
          <w:sz w:val="24"/>
          <w:szCs w:val="24"/>
        </w:rPr>
        <w:t xml:space="preserve">. </w:t>
      </w:r>
      <w:r>
        <w:rPr>
          <w:rFonts w:ascii="Times New Roman" w:hAnsi="Times New Roman" w:cs="Times New Roman"/>
          <w:bCs/>
          <w:i/>
          <w:iCs/>
          <w:sz w:val="24"/>
          <w:szCs w:val="24"/>
        </w:rPr>
        <w:t>P</w:t>
      </w:r>
      <w:r>
        <w:rPr>
          <w:rFonts w:ascii="Times New Roman" w:hAnsi="Times New Roman" w:cs="Times New Roman"/>
          <w:b/>
          <w:sz w:val="24"/>
          <w:szCs w:val="24"/>
        </w:rPr>
        <w:t xml:space="preserve"> </w:t>
      </w:r>
      <w:r>
        <w:rPr>
          <w:rFonts w:ascii="Times New Roman" w:hAnsi="Times New Roman" w:cs="Times New Roman"/>
          <w:sz w:val="24"/>
          <w:szCs w:val="24"/>
        </w:rPr>
        <w:t>Values of the Radiomics Models and the Radiologist’s Assessment by Delong Test.</w:t>
      </w:r>
    </w:p>
    <w:tbl>
      <w:tblPr>
        <w:tblStyle w:val="5"/>
        <w:tblW w:w="11694" w:type="dxa"/>
        <w:jc w:val="center"/>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1073"/>
        <w:gridCol w:w="1453"/>
        <w:gridCol w:w="1407"/>
        <w:gridCol w:w="1312"/>
        <w:gridCol w:w="1276"/>
        <w:gridCol w:w="1276"/>
        <w:gridCol w:w="1276"/>
        <w:gridCol w:w="1275"/>
        <w:gridCol w:w="1346"/>
      </w:tblGrid>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tcBorders>
              <w:top w:val="single" w:color="auto" w:sz="12" w:space="0"/>
              <w:bottom w:val="single" w:color="auto" w:sz="12" w:space="0"/>
              <w:right w:val="nil"/>
            </w:tcBorders>
          </w:tcPr>
          <w:p>
            <w:pPr>
              <w:jc w:val="center"/>
              <w:rPr>
                <w:rFonts w:ascii="Times New Roman" w:hAnsi="Times New Roman" w:cs="Times New Roman"/>
                <w:sz w:val="24"/>
                <w:szCs w:val="24"/>
              </w:rPr>
            </w:pPr>
          </w:p>
        </w:tc>
        <w:tc>
          <w:tcPr>
            <w:tcW w:w="1453" w:type="dxa"/>
            <w:tcBorders>
              <w:top w:val="single" w:color="auto" w:sz="12" w:space="0"/>
              <w:left w:val="nil"/>
              <w:bottom w:val="single" w:color="auto" w:sz="12" w:space="0"/>
              <w:right w:val="nil"/>
            </w:tcBorders>
            <w:vAlign w:val="center"/>
          </w:tcPr>
          <w:p>
            <w:pPr>
              <w:widowControl/>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　</w:t>
            </w:r>
          </w:p>
        </w:tc>
        <w:tc>
          <w:tcPr>
            <w:tcW w:w="1407" w:type="dxa"/>
            <w:tcBorders>
              <w:top w:val="single" w:color="auto" w:sz="12" w:space="0"/>
              <w:left w:val="nil"/>
              <w:bottom w:val="single" w:color="auto" w:sz="12" w:space="0"/>
              <w:right w:val="nil"/>
            </w:tcBorders>
            <w:vAlign w:val="center"/>
          </w:tcPr>
          <w:p>
            <w:pPr>
              <w:widowControl/>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T1WI-</w:t>
            </w:r>
          </w:p>
          <w:p>
            <w:pPr>
              <w:widowControl/>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Reader B</w:t>
            </w:r>
          </w:p>
        </w:tc>
        <w:tc>
          <w:tcPr>
            <w:tcW w:w="1312" w:type="dxa"/>
            <w:tcBorders>
              <w:top w:val="single" w:color="auto" w:sz="12" w:space="0"/>
              <w:left w:val="nil"/>
              <w:bottom w:val="single" w:color="auto" w:sz="12" w:space="0"/>
              <w:right w:val="nil"/>
            </w:tcBorders>
            <w:vAlign w:val="center"/>
          </w:tcPr>
          <w:p>
            <w:pPr>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T2WI-</w:t>
            </w:r>
          </w:p>
          <w:p>
            <w:pPr>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Reader B</w:t>
            </w:r>
          </w:p>
        </w:tc>
        <w:tc>
          <w:tcPr>
            <w:tcW w:w="1276" w:type="dxa"/>
            <w:tcBorders>
              <w:top w:val="single" w:color="auto" w:sz="12" w:space="0"/>
              <w:left w:val="nil"/>
              <w:bottom w:val="single" w:color="auto" w:sz="12" w:space="0"/>
              <w:right w:val="nil"/>
            </w:tcBorders>
            <w:vAlign w:val="center"/>
          </w:tcPr>
          <w:p>
            <w:pPr>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rT1</w:t>
            </w:r>
            <w:r>
              <w:rPr>
                <w:rFonts w:ascii="Times New Roman" w:hAnsi="Times New Roman" w:eastAsia="等线 Light" w:cs="Times New Roman"/>
                <w:sz w:val="24"/>
                <w:szCs w:val="24"/>
                <w:vertAlign w:val="subscript"/>
              </w:rPr>
              <w:t>thalamus</w:t>
            </w:r>
          </w:p>
        </w:tc>
        <w:tc>
          <w:tcPr>
            <w:tcW w:w="1276" w:type="dxa"/>
            <w:tcBorders>
              <w:top w:val="single" w:color="auto" w:sz="12" w:space="0"/>
              <w:left w:val="nil"/>
              <w:bottom w:val="single" w:color="auto" w:sz="12" w:space="0"/>
              <w:right w:val="nil"/>
            </w:tcBorders>
            <w:vAlign w:val="center"/>
          </w:tcPr>
          <w:p>
            <w:pPr>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rT1</w:t>
            </w:r>
            <w:r>
              <w:rPr>
                <w:rFonts w:ascii="Times New Roman" w:hAnsi="Times New Roman" w:eastAsia="等线 Light" w:cs="Times New Roman"/>
                <w:sz w:val="24"/>
                <w:szCs w:val="24"/>
                <w:vertAlign w:val="subscript"/>
              </w:rPr>
              <w:t>centrum semiovale</w:t>
            </w:r>
          </w:p>
        </w:tc>
        <w:tc>
          <w:tcPr>
            <w:tcW w:w="1276" w:type="dxa"/>
            <w:tcBorders>
              <w:top w:val="single" w:color="auto" w:sz="12" w:space="0"/>
              <w:left w:val="nil"/>
              <w:bottom w:val="single" w:color="auto" w:sz="12" w:space="0"/>
              <w:right w:val="nil"/>
            </w:tcBorders>
            <w:vAlign w:val="center"/>
          </w:tcPr>
          <w:p>
            <w:pPr>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Radiomics</w:t>
            </w:r>
          </w:p>
          <w:p>
            <w:pPr>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-T1WI</w:t>
            </w:r>
          </w:p>
        </w:tc>
        <w:tc>
          <w:tcPr>
            <w:tcW w:w="1275" w:type="dxa"/>
            <w:tcBorders>
              <w:top w:val="single" w:color="auto" w:sz="12" w:space="0"/>
              <w:left w:val="nil"/>
              <w:bottom w:val="single" w:color="auto" w:sz="12" w:space="0"/>
              <w:right w:val="nil"/>
            </w:tcBorders>
            <w:vAlign w:val="center"/>
          </w:tcPr>
          <w:p>
            <w:pPr>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Radiomics</w:t>
            </w:r>
          </w:p>
          <w:p>
            <w:pPr>
              <w:jc w:val="center"/>
              <w:rPr>
                <w:rFonts w:ascii="Times New Roman" w:hAnsi="Times New Roman" w:eastAsia="等线 Light" w:cs="Times New Roman"/>
                <w:sz w:val="24"/>
                <w:szCs w:val="24"/>
              </w:rPr>
            </w:pPr>
            <w:r>
              <w:rPr>
                <w:rFonts w:ascii="Times New Roman" w:hAnsi="Times New Roman" w:eastAsia="等线 Light" w:cs="Times New Roman"/>
                <w:sz w:val="24"/>
                <w:szCs w:val="24"/>
              </w:rPr>
              <w:t>-T2WI</w:t>
            </w:r>
          </w:p>
        </w:tc>
        <w:tc>
          <w:tcPr>
            <w:tcW w:w="1346" w:type="dxa"/>
            <w:tcBorders>
              <w:top w:val="single" w:color="auto" w:sz="12" w:space="0"/>
              <w:left w:val="nil"/>
              <w:bottom w:val="single" w:color="auto" w:sz="12" w:space="0"/>
            </w:tcBorders>
            <w:vAlign w:val="center"/>
          </w:tcPr>
          <w:p>
            <w:pPr>
              <w:jc w:val="left"/>
              <w:rPr>
                <w:rFonts w:ascii="Times New Roman" w:hAnsi="Times New Roman" w:eastAsia="等线 Light" w:cs="Times New Roman"/>
                <w:sz w:val="24"/>
                <w:szCs w:val="24"/>
              </w:rPr>
            </w:pPr>
            <w:r>
              <w:rPr>
                <w:rFonts w:ascii="Times New Roman" w:hAnsi="Times New Roman" w:eastAsia="等线 Light" w:cs="Times New Roman"/>
                <w:sz w:val="24"/>
                <w:szCs w:val="24"/>
              </w:rPr>
              <w:t>Radiomics</w:t>
            </w:r>
          </w:p>
          <w:p>
            <w:pPr>
              <w:jc w:val="left"/>
              <w:rPr>
                <w:rFonts w:ascii="Times New Roman" w:hAnsi="Times New Roman" w:eastAsia="等线 Light" w:cs="Times New Roman"/>
                <w:sz w:val="24"/>
                <w:szCs w:val="24"/>
              </w:rPr>
            </w:pPr>
            <w:r>
              <w:rPr>
                <w:rFonts w:ascii="Times New Roman" w:hAnsi="Times New Roman" w:eastAsia="等线 Light" w:cs="Times New Roman"/>
                <w:sz w:val="24"/>
                <w:szCs w:val="24"/>
              </w:rPr>
              <w:t>-T1&amp;T2WI</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restart"/>
            <w:tcBorders>
              <w:top w:val="single" w:color="auto" w:sz="12" w:space="0"/>
              <w:right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Training</w:t>
            </w:r>
          </w:p>
        </w:tc>
        <w:tc>
          <w:tcPr>
            <w:tcW w:w="1453" w:type="dxa"/>
            <w:tcBorders>
              <w:top w:val="single" w:color="auto" w:sz="12" w:space="0"/>
              <w:left w:val="nil"/>
              <w:bottom w:val="nil"/>
              <w:right w:val="nil"/>
            </w:tcBorders>
            <w:vAlign w:val="center"/>
          </w:tcPr>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T1WI-</w:t>
            </w:r>
          </w:p>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Reader B</w:t>
            </w:r>
          </w:p>
        </w:tc>
        <w:tc>
          <w:tcPr>
            <w:tcW w:w="1407" w:type="dxa"/>
            <w:tcBorders>
              <w:top w:val="single" w:color="auto" w:sz="12" w:space="0"/>
              <w:left w:val="nil"/>
              <w:bottom w:val="nil"/>
              <w:right w:val="nil"/>
            </w:tcBorders>
            <w:vAlign w:val="center"/>
          </w:tcPr>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12" w:type="dxa"/>
            <w:tcBorders>
              <w:top w:val="single" w:color="auto" w:sz="12" w:space="0"/>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single" w:color="auto" w:sz="12" w:space="0"/>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single" w:color="auto" w:sz="12" w:space="0"/>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single" w:color="auto" w:sz="12" w:space="0"/>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5" w:type="dxa"/>
            <w:tcBorders>
              <w:top w:val="single" w:color="auto" w:sz="12" w:space="0"/>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single" w:color="auto" w:sz="12" w:space="0"/>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T2WI-</w:t>
            </w:r>
          </w:p>
          <w:p>
            <w:pPr>
              <w:jc w:val="center"/>
              <w:rPr>
                <w:rFonts w:ascii="Times New Roman" w:hAnsi="Times New Roman" w:eastAsia="等线" w:cs="Times New Roman"/>
                <w:sz w:val="24"/>
                <w:szCs w:val="24"/>
              </w:rPr>
            </w:pPr>
            <w:bookmarkStart w:id="0" w:name="_GoBack"/>
            <w:bookmarkEnd w:id="0"/>
            <w:r>
              <w:rPr>
                <w:rFonts w:ascii="Times New Roman" w:hAnsi="Times New Roman" w:eastAsia="等线" w:cs="Times New Roman"/>
                <w:sz w:val="24"/>
                <w:szCs w:val="24"/>
              </w:rPr>
              <w:t>Reader B</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0.468</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rT1</w:t>
            </w:r>
          </w:p>
          <w:p>
            <w:pPr>
              <w:jc w:val="center"/>
              <w:rPr>
                <w:rFonts w:ascii="Times New Roman" w:hAnsi="Times New Roman" w:eastAsia="等线" w:cs="Times New Roman"/>
                <w:sz w:val="24"/>
                <w:szCs w:val="24"/>
              </w:rPr>
            </w:pPr>
            <w:r>
              <w:rPr>
                <w:rFonts w:ascii="Times New Roman" w:hAnsi="Times New Roman" w:eastAsia="等线" w:cs="Times New Roman"/>
                <w:sz w:val="24"/>
                <w:szCs w:val="24"/>
                <w:vertAlign w:val="subscript"/>
              </w:rPr>
              <w:t>thalamus</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0.216</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0.896</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rT1</w:t>
            </w:r>
            <w:r>
              <w:rPr>
                <w:rFonts w:ascii="Times New Roman" w:hAnsi="Times New Roman" w:eastAsia="等线" w:cs="Times New Roman"/>
                <w:sz w:val="24"/>
                <w:szCs w:val="24"/>
                <w:vertAlign w:val="subscript"/>
              </w:rPr>
              <w:t>centrum semiovale</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0.098</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0.669</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0.393</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Radiomics  -T1WI</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Radiomics</w:t>
            </w:r>
          </w:p>
          <w:p>
            <w:pPr>
              <w:jc w:val="center"/>
              <w:rPr>
                <w:rFonts w:ascii="Times New Roman" w:hAnsi="Times New Roman" w:eastAsia="等线" w:cs="Times New Roman"/>
                <w:sz w:val="24"/>
                <w:szCs w:val="24"/>
              </w:rPr>
            </w:pPr>
            <w:r>
              <w:rPr>
                <w:rFonts w:ascii="Times New Roman" w:hAnsi="Times New Roman" w:eastAsia="等线" w:cs="Times New Roman"/>
                <w:sz w:val="24"/>
                <w:szCs w:val="24"/>
              </w:rPr>
              <w:t>-T2WI</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0.003</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0.941</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bottom w:val="nil"/>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Radiomics</w:t>
            </w:r>
          </w:p>
          <w:p>
            <w:pPr>
              <w:jc w:val="center"/>
              <w:rPr>
                <w:rFonts w:ascii="Times New Roman" w:hAnsi="Times New Roman" w:eastAsia="等线" w:cs="Times New Roman"/>
                <w:sz w:val="24"/>
                <w:szCs w:val="24"/>
              </w:rPr>
            </w:pPr>
            <w:r>
              <w:rPr>
                <w:rFonts w:ascii="Times New Roman" w:hAnsi="Times New Roman" w:eastAsia="等线" w:cs="Times New Roman"/>
                <w:sz w:val="24"/>
                <w:szCs w:val="24"/>
              </w:rPr>
              <w:t>-T1&amp;T2WI</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0.001</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0.006</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restart"/>
            <w:tcBorders>
              <w:top w:val="nil"/>
              <w:right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Testing</w:t>
            </w:r>
          </w:p>
        </w:tc>
        <w:tc>
          <w:tcPr>
            <w:tcW w:w="1453" w:type="dxa"/>
            <w:tcBorders>
              <w:top w:val="nil"/>
              <w:left w:val="nil"/>
              <w:bottom w:val="nil"/>
              <w:right w:val="nil"/>
            </w:tcBorders>
            <w:vAlign w:val="center"/>
          </w:tcPr>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T1WI-</w:t>
            </w:r>
          </w:p>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Reader B</w:t>
            </w:r>
          </w:p>
        </w:tc>
        <w:tc>
          <w:tcPr>
            <w:tcW w:w="1407" w:type="dxa"/>
            <w:tcBorders>
              <w:top w:val="nil"/>
              <w:left w:val="nil"/>
              <w:bottom w:val="nil"/>
              <w:right w:val="nil"/>
            </w:tcBorders>
            <w:vAlign w:val="center"/>
          </w:tcPr>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T2WI-</w:t>
            </w:r>
          </w:p>
          <w:p>
            <w:pPr>
              <w:jc w:val="center"/>
              <w:rPr>
                <w:rFonts w:ascii="Times New Roman" w:hAnsi="Times New Roman" w:eastAsia="等线" w:cs="Times New Roman"/>
                <w:sz w:val="24"/>
                <w:szCs w:val="24"/>
              </w:rPr>
            </w:pPr>
            <w:r>
              <w:rPr>
                <w:rFonts w:ascii="Times New Roman" w:hAnsi="Times New Roman" w:eastAsia="等线" w:cs="Times New Roman"/>
                <w:sz w:val="24"/>
                <w:szCs w:val="24"/>
              </w:rPr>
              <w:t>Reader B</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0.260</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rT1</w:t>
            </w:r>
          </w:p>
          <w:p>
            <w:pPr>
              <w:jc w:val="center"/>
              <w:rPr>
                <w:rFonts w:ascii="Times New Roman" w:hAnsi="Times New Roman" w:eastAsia="等线" w:cs="Times New Roman"/>
                <w:sz w:val="24"/>
                <w:szCs w:val="24"/>
              </w:rPr>
            </w:pPr>
            <w:r>
              <w:rPr>
                <w:rFonts w:ascii="Times New Roman" w:hAnsi="Times New Roman" w:eastAsia="等线" w:cs="Times New Roman"/>
                <w:sz w:val="24"/>
                <w:szCs w:val="24"/>
                <w:vertAlign w:val="subscript"/>
              </w:rPr>
              <w:t>thalamus</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0.364</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0.560</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rT1</w:t>
            </w:r>
            <w:r>
              <w:rPr>
                <w:rFonts w:ascii="Times New Roman" w:hAnsi="Times New Roman" w:eastAsia="等线" w:cs="Times New Roman"/>
                <w:sz w:val="24"/>
                <w:szCs w:val="24"/>
                <w:vertAlign w:val="subscript"/>
              </w:rPr>
              <w:t>centrum semiovale</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0.617</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0.378</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0.112</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 xml:space="preserve">Radiomics  </w:t>
            </w:r>
          </w:p>
          <w:p>
            <w:pPr>
              <w:jc w:val="center"/>
              <w:rPr>
                <w:rFonts w:ascii="Times New Roman" w:hAnsi="Times New Roman" w:eastAsia="等线" w:cs="Times New Roman"/>
                <w:sz w:val="24"/>
                <w:szCs w:val="24"/>
              </w:rPr>
            </w:pPr>
            <w:r>
              <w:rPr>
                <w:rFonts w:ascii="Times New Roman" w:hAnsi="Times New Roman" w:eastAsia="等线" w:cs="Times New Roman"/>
                <w:sz w:val="24"/>
                <w:szCs w:val="24"/>
              </w:rPr>
              <w:t>-T1WI</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0.485</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0.409</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0.159</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0.906</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right w:val="nil"/>
            </w:tcBorders>
            <w:vAlign w:val="center"/>
          </w:tcPr>
          <w:p>
            <w:pPr>
              <w:jc w:val="center"/>
              <w:rPr>
                <w:rFonts w:ascii="Times New Roman" w:hAnsi="Times New Roman" w:cs="Times New Roman"/>
                <w:sz w:val="24"/>
                <w:szCs w:val="24"/>
              </w:rPr>
            </w:pPr>
          </w:p>
        </w:tc>
        <w:tc>
          <w:tcPr>
            <w:tcW w:w="1453"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Radiomics</w:t>
            </w:r>
          </w:p>
          <w:p>
            <w:pPr>
              <w:jc w:val="center"/>
              <w:rPr>
                <w:rFonts w:ascii="Times New Roman" w:hAnsi="Times New Roman" w:eastAsia="等线" w:cs="Times New Roman"/>
                <w:sz w:val="24"/>
                <w:szCs w:val="24"/>
              </w:rPr>
            </w:pPr>
            <w:r>
              <w:rPr>
                <w:rFonts w:ascii="Times New Roman" w:hAnsi="Times New Roman" w:eastAsia="等线" w:cs="Times New Roman"/>
                <w:sz w:val="24"/>
                <w:szCs w:val="24"/>
              </w:rPr>
              <w:t>-T2WI</w:t>
            </w:r>
          </w:p>
        </w:tc>
        <w:tc>
          <w:tcPr>
            <w:tcW w:w="1407"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0.740</w:t>
            </w:r>
          </w:p>
        </w:tc>
        <w:tc>
          <w:tcPr>
            <w:tcW w:w="1312"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0.313</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0.106</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0.904</w:t>
            </w:r>
          </w:p>
        </w:tc>
        <w:tc>
          <w:tcPr>
            <w:tcW w:w="1276"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0.760</w:t>
            </w:r>
          </w:p>
        </w:tc>
        <w:tc>
          <w:tcPr>
            <w:tcW w:w="1275"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c>
          <w:tcPr>
            <w:tcW w:w="134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1073" w:type="dxa"/>
            <w:vMerge w:val="continue"/>
            <w:tcBorders>
              <w:bottom w:val="single" w:color="auto" w:sz="12" w:space="0"/>
              <w:right w:val="nil"/>
            </w:tcBorders>
            <w:vAlign w:val="center"/>
          </w:tcPr>
          <w:p>
            <w:pPr>
              <w:widowControl/>
              <w:jc w:val="center"/>
              <w:rPr>
                <w:rFonts w:ascii="Times New Roman" w:hAnsi="Times New Roman" w:eastAsia="等线" w:cs="Times New Roman"/>
                <w:sz w:val="24"/>
                <w:szCs w:val="24"/>
              </w:rPr>
            </w:pPr>
          </w:p>
        </w:tc>
        <w:tc>
          <w:tcPr>
            <w:tcW w:w="1453" w:type="dxa"/>
            <w:tcBorders>
              <w:top w:val="nil"/>
              <w:left w:val="nil"/>
              <w:bottom w:val="single" w:color="auto" w:sz="12" w:space="0"/>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Radiomics</w:t>
            </w:r>
          </w:p>
          <w:p>
            <w:pPr>
              <w:jc w:val="center"/>
              <w:rPr>
                <w:rFonts w:ascii="Times New Roman" w:hAnsi="Times New Roman" w:eastAsia="等线" w:cs="Times New Roman"/>
                <w:sz w:val="24"/>
                <w:szCs w:val="24"/>
              </w:rPr>
            </w:pPr>
            <w:r>
              <w:rPr>
                <w:rFonts w:ascii="Times New Roman" w:hAnsi="Times New Roman" w:eastAsia="等线" w:cs="Times New Roman"/>
                <w:sz w:val="24"/>
                <w:szCs w:val="24"/>
              </w:rPr>
              <w:t>-T1&amp;T2WI</w:t>
            </w:r>
          </w:p>
        </w:tc>
        <w:tc>
          <w:tcPr>
            <w:tcW w:w="1407" w:type="dxa"/>
            <w:tcBorders>
              <w:top w:val="nil"/>
              <w:left w:val="nil"/>
              <w:bottom w:val="single" w:color="auto" w:sz="12" w:space="0"/>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0.736</w:t>
            </w:r>
          </w:p>
        </w:tc>
        <w:tc>
          <w:tcPr>
            <w:tcW w:w="1312" w:type="dxa"/>
            <w:tcBorders>
              <w:top w:val="nil"/>
              <w:left w:val="nil"/>
              <w:bottom w:val="single" w:color="auto" w:sz="12" w:space="0"/>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0.066</w:t>
            </w:r>
          </w:p>
        </w:tc>
        <w:tc>
          <w:tcPr>
            <w:tcW w:w="1276" w:type="dxa"/>
            <w:tcBorders>
              <w:top w:val="nil"/>
              <w:left w:val="nil"/>
              <w:bottom w:val="single" w:color="auto" w:sz="12" w:space="0"/>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0.205</w:t>
            </w:r>
          </w:p>
        </w:tc>
        <w:tc>
          <w:tcPr>
            <w:tcW w:w="1276" w:type="dxa"/>
            <w:tcBorders>
              <w:top w:val="nil"/>
              <w:left w:val="nil"/>
              <w:bottom w:val="single" w:color="auto" w:sz="12" w:space="0"/>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0.321</w:t>
            </w:r>
          </w:p>
        </w:tc>
        <w:tc>
          <w:tcPr>
            <w:tcW w:w="1276" w:type="dxa"/>
            <w:tcBorders>
              <w:top w:val="nil"/>
              <w:left w:val="nil"/>
              <w:bottom w:val="single" w:color="auto" w:sz="12" w:space="0"/>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0.095</w:t>
            </w:r>
          </w:p>
        </w:tc>
        <w:tc>
          <w:tcPr>
            <w:tcW w:w="1275" w:type="dxa"/>
            <w:tcBorders>
              <w:top w:val="nil"/>
              <w:left w:val="nil"/>
              <w:bottom w:val="single" w:color="auto" w:sz="12" w:space="0"/>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0.111</w:t>
            </w:r>
          </w:p>
        </w:tc>
        <w:tc>
          <w:tcPr>
            <w:tcW w:w="1346" w:type="dxa"/>
            <w:tcBorders>
              <w:top w:val="nil"/>
              <w:left w:val="nil"/>
              <w:bottom w:val="single" w:color="auto" w:sz="12" w:space="0"/>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w:t>
            </w:r>
          </w:p>
        </w:tc>
      </w:tr>
    </w:tbl>
    <w:p>
      <w:pPr>
        <w:rPr>
          <w:rFonts w:ascii="Times New Roman" w:hAnsi="Times New Roman" w:cs="Times New Roman"/>
          <w:sz w:val="24"/>
          <w:szCs w:val="24"/>
        </w:rPr>
      </w:pPr>
      <w:r>
        <w:rPr>
          <w:rFonts w:ascii="Times New Roman" w:hAnsi="Times New Roman" w:cs="Times New Roman"/>
          <w:sz w:val="24"/>
          <w:szCs w:val="24"/>
        </w:rPr>
        <w:t>Note: T2WI = T2-weighted imaging; T1WI = T1-weighted imaging.</w:t>
      </w:r>
    </w:p>
    <w:p>
      <w:pPr>
        <w:rPr>
          <w:rFonts w:ascii="Times New Roman" w:hAnsi="Times New Roman" w:cs="Times New Roman"/>
          <w:sz w:val="24"/>
          <w:szCs w:val="24"/>
        </w:rPr>
      </w:pPr>
    </w:p>
    <w:p>
      <w:pPr>
        <w:rPr>
          <w:rFonts w:ascii="Times New Roman" w:hAnsi="Times New Roman" w:cs="Times New Roman"/>
          <w:sz w:val="24"/>
          <w:szCs w:val="24"/>
        </w:rPr>
      </w:pPr>
      <w:r>
        <w:rPr>
          <w:rFonts w:ascii="Times New Roman" w:hAnsi="Times New Roman" w:cs="Times New Roman"/>
          <w:sz w:val="24"/>
          <w:szCs w:val="24"/>
        </w:rPr>
        <w:br w:type="page"/>
      </w:r>
    </w:p>
    <w:p>
      <w:pPr>
        <w:rPr>
          <w:rFonts w:ascii="Times New Roman" w:hAnsi="Times New Roman" w:cs="Times New Roman"/>
          <w:sz w:val="24"/>
          <w:szCs w:val="24"/>
        </w:rPr>
      </w:pPr>
      <w:r>
        <w:rPr>
          <w:rFonts w:ascii="Times New Roman" w:hAnsi="Times New Roman" w:cs="Times New Roman"/>
          <w:sz w:val="24"/>
          <w:szCs w:val="24"/>
        </w:rPr>
        <w:t>TABLE A.</w:t>
      </w:r>
      <w:r>
        <w:rPr>
          <w:rFonts w:hint="eastAsia" w:ascii="Times New Roman" w:hAnsi="Times New Roman" w:cs="Times New Roman"/>
          <w:sz w:val="24"/>
          <w:szCs w:val="24"/>
          <w:lang w:val="en-US" w:eastAsia="zh-CN"/>
        </w:rPr>
        <w:t>5</w:t>
      </w:r>
      <w:r>
        <w:rPr>
          <w:rFonts w:ascii="Times New Roman" w:hAnsi="Times New Roman" w:cs="Times New Roman"/>
          <w:sz w:val="24"/>
          <w:szCs w:val="24"/>
        </w:rPr>
        <w:t>. Correlation between MR Imaging Parameters and Collagen Volume Fraction for 47 SFTs.</w:t>
      </w:r>
    </w:p>
    <w:tbl>
      <w:tblPr>
        <w:tblStyle w:val="5"/>
        <w:tblW w:w="9440" w:type="dxa"/>
        <w:tblInd w:w="-555" w:type="dxa"/>
        <w:tblBorders>
          <w:top w:val="single" w:color="auto" w:sz="4" w:space="0"/>
          <w:left w:val="none" w:color="auto" w:sz="0" w:space="0"/>
          <w:bottom w:val="single" w:color="auto" w:sz="4" w:space="0"/>
          <w:right w:val="none" w:color="auto" w:sz="0" w:space="0"/>
          <w:insideH w:val="none" w:color="auto" w:sz="0" w:space="0"/>
          <w:insideV w:val="single" w:color="auto" w:sz="4" w:space="0"/>
        </w:tblBorders>
        <w:tblLayout w:type="autofit"/>
        <w:tblCellMar>
          <w:top w:w="0" w:type="dxa"/>
          <w:left w:w="108" w:type="dxa"/>
          <w:bottom w:w="0" w:type="dxa"/>
          <w:right w:w="108" w:type="dxa"/>
        </w:tblCellMar>
      </w:tblPr>
      <w:tblGrid>
        <w:gridCol w:w="1403"/>
        <w:gridCol w:w="6241"/>
        <w:gridCol w:w="941"/>
        <w:gridCol w:w="855"/>
      </w:tblGrid>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6745" w:type="dxa"/>
            <w:gridSpan w:val="2"/>
            <w:tcBorders>
              <w:top w:val="single" w:color="auto" w:sz="12" w:space="0"/>
              <w:bottom w:val="single" w:color="auto" w:sz="12" w:space="0"/>
              <w:right w:val="nil"/>
            </w:tcBorders>
          </w:tcPr>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MR Imaging Parameters</w:t>
            </w:r>
          </w:p>
        </w:tc>
        <w:tc>
          <w:tcPr>
            <w:tcW w:w="1419" w:type="dxa"/>
            <w:tcBorders>
              <w:top w:val="single" w:color="auto" w:sz="12" w:space="0"/>
              <w:left w:val="nil"/>
              <w:bottom w:val="single" w:color="auto" w:sz="12" w:space="0"/>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r</w:t>
            </w:r>
          </w:p>
        </w:tc>
        <w:tc>
          <w:tcPr>
            <w:tcW w:w="1276" w:type="dxa"/>
            <w:tcBorders>
              <w:top w:val="single" w:color="auto" w:sz="12" w:space="0"/>
              <w:left w:val="nil"/>
              <w:bottom w:val="single" w:color="auto" w:sz="12" w:space="0"/>
            </w:tcBorders>
          </w:tcPr>
          <w:p>
            <w:pPr>
              <w:jc w:val="center"/>
              <w:rPr>
                <w:rFonts w:ascii="Times New Roman" w:hAnsi="Times New Roman" w:cs="Times New Roman"/>
                <w:sz w:val="24"/>
                <w:szCs w:val="24"/>
              </w:rPr>
            </w:pPr>
            <w:r>
              <w:rPr>
                <w:rFonts w:ascii="Times New Roman" w:hAnsi="Times New Roman" w:cs="Times New Roman"/>
                <w:i/>
                <w:sz w:val="24"/>
                <w:szCs w:val="24"/>
              </w:rPr>
              <w:t>P</w:t>
            </w:r>
            <w:r>
              <w:rPr>
                <w:rFonts w:ascii="Times New Roman" w:hAnsi="Times New Roman" w:cs="Times New Roman"/>
                <w:sz w:val="24"/>
                <w:szCs w:val="24"/>
              </w:rPr>
              <w:t xml:space="preserve"> Value</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restart"/>
            <w:tcBorders>
              <w:top w:val="single" w:color="auto" w:sz="12" w:space="0"/>
              <w:bottom w:val="nil"/>
              <w:right w:val="nil"/>
            </w:tcBorders>
          </w:tcPr>
          <w:p>
            <w:pPr>
              <w:jc w:val="center"/>
              <w:rPr>
                <w:rFonts w:ascii="Times New Roman" w:hAnsi="Times New Roman" w:cs="Times New Roman"/>
                <w:sz w:val="24"/>
                <w:szCs w:val="24"/>
              </w:rPr>
            </w:pPr>
            <w:r>
              <w:rPr>
                <w:rFonts w:ascii="Times New Roman" w:hAnsi="Times New Roman" w:cs="Times New Roman"/>
                <w:sz w:val="24"/>
                <w:szCs w:val="24"/>
              </w:rPr>
              <w:t>Qualitative Parameters</w:t>
            </w:r>
          </w:p>
        </w:tc>
        <w:tc>
          <w:tcPr>
            <w:tcW w:w="5341" w:type="dxa"/>
            <w:tcBorders>
              <w:top w:val="single" w:color="auto" w:sz="12" w:space="0"/>
              <w:left w:val="nil"/>
              <w:bottom w:val="nil"/>
              <w:right w:val="nil"/>
            </w:tcBorders>
            <w:vAlign w:val="center"/>
          </w:tcPr>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T1WI-Reader B</w:t>
            </w:r>
          </w:p>
        </w:tc>
        <w:tc>
          <w:tcPr>
            <w:tcW w:w="1419" w:type="dxa"/>
            <w:tcBorders>
              <w:top w:val="single" w:color="auto" w:sz="12" w:space="0"/>
              <w:left w:val="nil"/>
              <w:bottom w:val="nil"/>
              <w:right w:val="nil"/>
            </w:tcBorders>
            <w:vAlign w:val="center"/>
          </w:tcPr>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-0.374</w:t>
            </w:r>
          </w:p>
        </w:tc>
        <w:tc>
          <w:tcPr>
            <w:tcW w:w="1276" w:type="dxa"/>
            <w:tcBorders>
              <w:top w:val="single" w:color="auto" w:sz="12" w:space="0"/>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0.010</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T2WI-Reader B</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-0.449</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0.002</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restart"/>
            <w:tcBorders>
              <w:top w:val="nil"/>
              <w:right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Quantitative Parameters</w:t>
            </w:r>
          </w:p>
        </w:tc>
        <w:tc>
          <w:tcPr>
            <w:tcW w:w="5341"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rT1</w:t>
            </w:r>
            <w:r>
              <w:rPr>
                <w:rFonts w:ascii="Times New Roman" w:hAnsi="Times New Roman" w:eastAsia="等线" w:cs="Times New Roman"/>
                <w:color w:val="000000"/>
                <w:sz w:val="24"/>
                <w:szCs w:val="24"/>
                <w:vertAlign w:val="subscript"/>
              </w:rPr>
              <w:t>thalamus</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-0.380</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0.008</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right w:val="nil"/>
            </w:tcBorders>
            <w:vAlign w:val="center"/>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color w:val="000000"/>
                <w:sz w:val="24"/>
                <w:szCs w:val="24"/>
              </w:rPr>
            </w:pPr>
            <w:r>
              <w:rPr>
                <w:rFonts w:ascii="Times New Roman" w:hAnsi="Times New Roman" w:eastAsia="等线" w:cs="Times New Roman"/>
                <w:color w:val="000000"/>
                <w:sz w:val="24"/>
                <w:szCs w:val="24"/>
              </w:rPr>
              <w:t>rT1</w:t>
            </w:r>
            <w:r>
              <w:rPr>
                <w:rFonts w:ascii="Times New Roman" w:hAnsi="Times New Roman" w:eastAsia="等线" w:cs="Times New Roman"/>
                <w:color w:val="000000"/>
                <w:sz w:val="24"/>
                <w:szCs w:val="24"/>
                <w:vertAlign w:val="subscript"/>
              </w:rPr>
              <w:t>centrum semiovale</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-0.352</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0.015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right w:val="nil"/>
            </w:tcBorders>
            <w:vAlign w:val="center"/>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widowControl/>
              <w:jc w:val="center"/>
              <w:rPr>
                <w:rFonts w:ascii="Times New Roman" w:hAnsi="Times New Roman" w:eastAsia="等线" w:cs="Times New Roman"/>
                <w:sz w:val="24"/>
                <w:szCs w:val="24"/>
              </w:rPr>
            </w:pPr>
            <w:r>
              <w:rPr>
                <w:rFonts w:ascii="Times New Roman" w:hAnsi="Times New Roman" w:eastAsia="等线" w:cs="Times New Roman"/>
                <w:color w:val="000000"/>
                <w:sz w:val="24"/>
                <w:szCs w:val="24"/>
              </w:rPr>
              <w:t>rT2</w:t>
            </w:r>
            <w:r>
              <w:rPr>
                <w:rFonts w:ascii="Times New Roman" w:hAnsi="Times New Roman" w:eastAsia="等线" w:cs="Times New Roman"/>
                <w:color w:val="000000"/>
                <w:sz w:val="24"/>
                <w:szCs w:val="24"/>
                <w:vertAlign w:val="subscript"/>
              </w:rPr>
              <w:t>thalamus</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-0.237</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0.109</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bottom w:val="nil"/>
              <w:right w:val="nil"/>
            </w:tcBorders>
            <w:vAlign w:val="center"/>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widowControl/>
              <w:jc w:val="center"/>
              <w:rPr>
                <w:rFonts w:ascii="Times New Roman" w:hAnsi="Times New Roman" w:eastAsia="等线" w:cs="Times New Roman"/>
                <w:sz w:val="24"/>
                <w:szCs w:val="24"/>
              </w:rPr>
            </w:pPr>
            <w:r>
              <w:rPr>
                <w:rFonts w:ascii="Times New Roman" w:hAnsi="Times New Roman" w:eastAsia="等线" w:cs="Times New Roman"/>
                <w:color w:val="000000"/>
                <w:sz w:val="24"/>
                <w:szCs w:val="24"/>
              </w:rPr>
              <w:t>rT2</w:t>
            </w:r>
            <w:r>
              <w:rPr>
                <w:rFonts w:ascii="Times New Roman" w:hAnsi="Times New Roman" w:eastAsia="等线" w:cs="Times New Roman"/>
                <w:color w:val="000000"/>
                <w:sz w:val="24"/>
                <w:szCs w:val="24"/>
                <w:vertAlign w:val="subscript"/>
              </w:rPr>
              <w:t>centrum semiovale</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-0.232</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0.117</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restart"/>
            <w:tcBorders>
              <w:top w:val="nil"/>
              <w:bottom w:val="nil"/>
              <w:right w:val="nil"/>
            </w:tcBorders>
            <w:vAlign w:val="center"/>
          </w:tcPr>
          <w:p>
            <w:pPr>
              <w:jc w:val="center"/>
              <w:rPr>
                <w:rFonts w:ascii="Times New Roman" w:hAnsi="Times New Roman" w:cs="Times New Roman"/>
                <w:sz w:val="24"/>
                <w:szCs w:val="24"/>
              </w:rPr>
            </w:pPr>
            <w:r>
              <w:rPr>
                <w:rFonts w:ascii="Times New Roman" w:hAnsi="Times New Roman" w:cs="Times New Roman"/>
                <w:sz w:val="24"/>
                <w:szCs w:val="24"/>
              </w:rPr>
              <w:t>Radiomics</w:t>
            </w:r>
          </w:p>
          <w:p>
            <w:pPr>
              <w:jc w:val="center"/>
              <w:rPr>
                <w:rFonts w:ascii="Times New Roman" w:hAnsi="Times New Roman" w:cs="Times New Roman"/>
                <w:sz w:val="24"/>
                <w:szCs w:val="24"/>
              </w:rPr>
            </w:pPr>
            <w:r>
              <w:rPr>
                <w:rFonts w:ascii="Times New Roman" w:hAnsi="Times New Roman" w:cs="Times New Roman"/>
                <w:sz w:val="24"/>
                <w:szCs w:val="24"/>
              </w:rPr>
              <w:t>Features</w:t>
            </w:r>
          </w:p>
        </w:tc>
        <w:tc>
          <w:tcPr>
            <w:tcW w:w="5341" w:type="dxa"/>
            <w:tcBorders>
              <w:top w:val="nil"/>
              <w:left w:val="nil"/>
              <w:bottom w:val="nil"/>
              <w:right w:val="nil"/>
            </w:tcBorders>
            <w:vAlign w:val="center"/>
          </w:tcPr>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T1_original_glcm_JointEntropy</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-0.136</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0.361</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T1_original_glcm_SumEntropy</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-0.100</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0.504</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T1_original_shape_Elongation</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-0.265</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0.072</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T1_original_shape_Sphericity</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-0.035</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0.815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T1_original_shape_SurfaceVolumeRatio</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0.033</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0.825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T1_wavelet-HHH_firstorder_Kurtosis</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0.081</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0.587</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T1_wavelet-HHL_gldm_DependenceVariance</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-0.066</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0.661</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T1_wavelet-HLH_glrlm_LongRunEmphasis</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-0.056</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0.709</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T1_wavelet-LHH_glcm_ClusterShade</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0.165</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0.267</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T1_wavelet-LHL_glrlm_LongRunEmphasis</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-0.013</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0.930</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T1_wavelet-LHL_glszm_SizeZoneNonUniformityNormalized</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0.083</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0.580</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T1_wavelet-LHL_glszm_ZoneEntropy</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-0.204</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0.169</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T1_wavelet-LLH_firstorder_Mean</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-0.040</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0.789</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T1_wavelet-LLH_glrlm_GrayLevelVariance</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-0.187</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0.208</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T1_wavelet-LLH_glszm_GrayLevelVariance</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-0.138</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0.356</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44" w:hRule="atLeast"/>
        </w:trPr>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widowControl/>
              <w:jc w:val="center"/>
              <w:rPr>
                <w:rFonts w:ascii="Times New Roman" w:hAnsi="Times New Roman" w:eastAsia="等线" w:cs="Times New Roman"/>
                <w:sz w:val="24"/>
                <w:szCs w:val="24"/>
              </w:rPr>
            </w:pPr>
            <w:r>
              <w:rPr>
                <w:rFonts w:ascii="Times New Roman" w:hAnsi="Times New Roman" w:eastAsia="等线" w:cs="Times New Roman"/>
                <w:sz w:val="24"/>
                <w:szCs w:val="24"/>
              </w:rPr>
              <w:t>T2_original_firstorder_10Percentile</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-0.241</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0.103</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T2_original_shape_Elongation</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-0.265</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0.072</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T2_original_shape_Sphericity</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-0.035</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0.815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T2_original_shape_SurfaceVolumeRatio</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hint="eastAsia" w:ascii="Times New Roman" w:hAnsi="Times New Roman" w:eastAsia="等线" w:cs="Times New Roman"/>
                <w:sz w:val="24"/>
                <w:szCs w:val="24"/>
              </w:rPr>
              <w:t>0</w:t>
            </w:r>
            <w:r>
              <w:rPr>
                <w:rFonts w:ascii="Times New Roman" w:hAnsi="Times New Roman" w:eastAsia="等线" w:cs="Times New Roman"/>
                <w:sz w:val="24"/>
                <w:szCs w:val="24"/>
              </w:rPr>
              <w:t>.033</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hint="eastAsia" w:ascii="Times New Roman" w:hAnsi="Times New Roman" w:eastAsia="等线" w:cs="Times New Roman"/>
                <w:sz w:val="24"/>
                <w:szCs w:val="24"/>
              </w:rPr>
              <w:t>0</w:t>
            </w:r>
            <w:r>
              <w:rPr>
                <w:rFonts w:ascii="Times New Roman" w:hAnsi="Times New Roman" w:eastAsia="等线" w:cs="Times New Roman"/>
                <w:sz w:val="24"/>
                <w:szCs w:val="24"/>
              </w:rPr>
              <w:t>.825</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T2_wavelet-HHL_glszm_LowGrayLevelZoneEmphasis</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hint="eastAsia" w:ascii="Times New Roman" w:hAnsi="Times New Roman" w:eastAsia="等线" w:cs="Times New Roman"/>
                <w:sz w:val="24"/>
                <w:szCs w:val="24"/>
              </w:rPr>
              <w:t>-</w:t>
            </w:r>
            <w:r>
              <w:rPr>
                <w:rFonts w:ascii="Times New Roman" w:hAnsi="Times New Roman" w:eastAsia="等线" w:cs="Times New Roman"/>
                <w:sz w:val="24"/>
                <w:szCs w:val="24"/>
              </w:rPr>
              <w:t>0.190</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hint="eastAsia" w:ascii="Times New Roman" w:hAnsi="Times New Roman" w:eastAsia="等线" w:cs="Times New Roman"/>
                <w:sz w:val="24"/>
                <w:szCs w:val="24"/>
              </w:rPr>
              <w:t>0</w:t>
            </w:r>
            <w:r>
              <w:rPr>
                <w:rFonts w:ascii="Times New Roman" w:hAnsi="Times New Roman" w:eastAsia="等线" w:cs="Times New Roman"/>
                <w:sz w:val="24"/>
                <w:szCs w:val="24"/>
              </w:rPr>
              <w:t>.200</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T2_wavelet-HHL_glszm_SmallAreaEmphasis</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-0.101</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hint="eastAsia" w:ascii="Times New Roman" w:hAnsi="Times New Roman" w:eastAsia="等线" w:cs="Times New Roman"/>
                <w:sz w:val="24"/>
                <w:szCs w:val="24"/>
              </w:rPr>
              <w:t>0</w:t>
            </w:r>
            <w:r>
              <w:rPr>
                <w:rFonts w:ascii="Times New Roman" w:hAnsi="Times New Roman" w:eastAsia="等线" w:cs="Times New Roman"/>
                <w:sz w:val="24"/>
                <w:szCs w:val="24"/>
              </w:rPr>
              <w:t>.500</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T2_wavelet-HLH_glcm_DifferenceAverage</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hint="eastAsia" w:ascii="Times New Roman" w:hAnsi="Times New Roman" w:eastAsia="等线" w:cs="Times New Roman"/>
                <w:sz w:val="24"/>
                <w:szCs w:val="24"/>
              </w:rPr>
              <w:t>0</w:t>
            </w:r>
            <w:r>
              <w:rPr>
                <w:rFonts w:ascii="Times New Roman" w:hAnsi="Times New Roman" w:eastAsia="等线" w:cs="Times New Roman"/>
                <w:sz w:val="24"/>
                <w:szCs w:val="24"/>
              </w:rPr>
              <w:t>.028</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hint="eastAsia" w:ascii="Times New Roman" w:hAnsi="Times New Roman" w:eastAsia="等线" w:cs="Times New Roman"/>
                <w:sz w:val="24"/>
                <w:szCs w:val="24"/>
              </w:rPr>
              <w:t>0</w:t>
            </w:r>
            <w:r>
              <w:rPr>
                <w:rFonts w:ascii="Times New Roman" w:hAnsi="Times New Roman" w:eastAsia="等线" w:cs="Times New Roman"/>
                <w:sz w:val="24"/>
                <w:szCs w:val="24"/>
              </w:rPr>
              <w:t>.852</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T2_wavelet-HLH_glszm_SmallAreaLowGrayLevelEmphasis</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-0.059</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0.693</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T2_wavelet-HLL_firstorder_Kurtosis</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0.107</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0.472</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T2_wavelet-LHL_glcm_InverseVariance</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-0.087</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0.559</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nil"/>
              <w:right w:val="nil"/>
            </w:tcBorders>
          </w:tcPr>
          <w:p>
            <w:pPr>
              <w:jc w:val="center"/>
              <w:rPr>
                <w:rFonts w:ascii="Times New Roman" w:hAnsi="Times New Roman" w:cs="Times New Roman"/>
                <w:sz w:val="24"/>
                <w:szCs w:val="24"/>
              </w:rPr>
            </w:pPr>
          </w:p>
        </w:tc>
        <w:tc>
          <w:tcPr>
            <w:tcW w:w="5341"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T2_wavelet-LHL_gldm_DependenceEntropy</w:t>
            </w:r>
          </w:p>
        </w:tc>
        <w:tc>
          <w:tcPr>
            <w:tcW w:w="1419" w:type="dxa"/>
            <w:tcBorders>
              <w:top w:val="nil"/>
              <w:left w:val="nil"/>
              <w:bottom w:val="nil"/>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0.08</w:t>
            </w:r>
          </w:p>
        </w:tc>
        <w:tc>
          <w:tcPr>
            <w:tcW w:w="1276" w:type="dxa"/>
            <w:tcBorders>
              <w:top w:val="nil"/>
              <w:left w:val="nil"/>
              <w:bottom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0.593</w:t>
            </w:r>
          </w:p>
        </w:tc>
      </w:tr>
      <w:tr>
        <w:tblPrEx>
          <w:tblBorders>
            <w:top w:val="single" w:color="auto" w:sz="4" w:space="0"/>
            <w:left w:val="none" w:color="auto" w:sz="0" w:space="0"/>
            <w:bottom w:val="single" w:color="auto" w:sz="4" w:space="0"/>
            <w:right w:val="none" w:color="auto" w:sz="0" w:space="0"/>
            <w:insideH w:val="none" w:color="auto" w:sz="0" w:space="0"/>
            <w:insideV w:val="single" w:color="auto" w:sz="4" w:space="0"/>
          </w:tblBorders>
          <w:tblCellMar>
            <w:top w:w="0" w:type="dxa"/>
            <w:left w:w="108" w:type="dxa"/>
            <w:bottom w:w="0" w:type="dxa"/>
            <w:right w:w="108" w:type="dxa"/>
          </w:tblCellMar>
        </w:tblPrEx>
        <w:tc>
          <w:tcPr>
            <w:tcW w:w="1404" w:type="dxa"/>
            <w:vMerge w:val="continue"/>
            <w:tcBorders>
              <w:top w:val="nil"/>
              <w:bottom w:val="single" w:color="auto" w:sz="12" w:space="0"/>
              <w:right w:val="nil"/>
            </w:tcBorders>
          </w:tcPr>
          <w:p>
            <w:pPr>
              <w:jc w:val="center"/>
              <w:rPr>
                <w:rFonts w:ascii="Times New Roman" w:hAnsi="Times New Roman" w:cs="Times New Roman"/>
                <w:sz w:val="24"/>
                <w:szCs w:val="24"/>
              </w:rPr>
            </w:pPr>
          </w:p>
        </w:tc>
        <w:tc>
          <w:tcPr>
            <w:tcW w:w="5341" w:type="dxa"/>
            <w:tcBorders>
              <w:top w:val="nil"/>
              <w:left w:val="nil"/>
              <w:bottom w:val="single" w:color="auto" w:sz="12" w:space="0"/>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T2_wavelet-LLH_glszm_SizeZoneNonUniformityNormalized</w:t>
            </w:r>
          </w:p>
        </w:tc>
        <w:tc>
          <w:tcPr>
            <w:tcW w:w="1419" w:type="dxa"/>
            <w:tcBorders>
              <w:top w:val="nil"/>
              <w:left w:val="nil"/>
              <w:bottom w:val="single" w:color="auto" w:sz="12" w:space="0"/>
              <w:right w:val="nil"/>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-0.018</w:t>
            </w:r>
          </w:p>
        </w:tc>
        <w:tc>
          <w:tcPr>
            <w:tcW w:w="1276" w:type="dxa"/>
            <w:tcBorders>
              <w:top w:val="nil"/>
              <w:left w:val="nil"/>
              <w:bottom w:val="single" w:color="auto" w:sz="12" w:space="0"/>
            </w:tcBorders>
            <w:vAlign w:val="center"/>
          </w:tcPr>
          <w:p>
            <w:pPr>
              <w:jc w:val="center"/>
              <w:rPr>
                <w:rFonts w:ascii="Times New Roman" w:hAnsi="Times New Roman" w:eastAsia="等线" w:cs="Times New Roman"/>
                <w:sz w:val="24"/>
                <w:szCs w:val="24"/>
              </w:rPr>
            </w:pPr>
            <w:r>
              <w:rPr>
                <w:rFonts w:ascii="Times New Roman" w:hAnsi="Times New Roman" w:eastAsia="等线" w:cs="Times New Roman"/>
                <w:sz w:val="24"/>
                <w:szCs w:val="24"/>
              </w:rPr>
              <w:t>0.906</w:t>
            </w:r>
          </w:p>
        </w:tc>
      </w:tr>
    </w:tbl>
    <w:p>
      <w:pPr>
        <w:rPr>
          <w:rFonts w:ascii="Times New Roman" w:hAnsi="Times New Roman" w:cs="Times New Roman"/>
          <w:sz w:val="24"/>
          <w:szCs w:val="24"/>
        </w:rPr>
      </w:pPr>
      <w:r>
        <w:rPr>
          <w:rFonts w:ascii="Times New Roman" w:hAnsi="Times New Roman" w:cs="Times New Roman"/>
          <w:sz w:val="24"/>
          <w:szCs w:val="24"/>
        </w:rPr>
        <w:t>Note: T2WI = T2-weighted imaging; T1WI = T1-weighted imaging.</w:t>
      </w:r>
    </w:p>
    <w:p>
      <w:pPr>
        <w:rPr>
          <w:rFonts w:ascii="Times New Roman" w:hAnsi="Times New Roman" w:cs="Times New Roman"/>
          <w:sz w:val="24"/>
          <w:szCs w:val="24"/>
        </w:rPr>
      </w:pPr>
    </w:p>
    <w:p>
      <w:pPr>
        <w:rPr>
          <w:rFonts w:ascii="Times New Roman" w:hAnsi="Times New Roman" w:cs="Times New Roman"/>
          <w:sz w:val="24"/>
          <w:szCs w:val="24"/>
        </w:rPr>
      </w:pPr>
      <w:r>
        <w:rPr>
          <w:rFonts w:ascii="Times New Roman" w:hAnsi="Times New Roman" w:cs="Times New Roman"/>
          <w:sz w:val="24"/>
          <w:szCs w:val="24"/>
        </w:rPr>
        <w:br w:type="page"/>
      </w:r>
    </w:p>
    <w:p>
      <w:pPr>
        <w:spacing w:line="360" w:lineRule="auto"/>
        <w:rPr>
          <w:rFonts w:ascii="Times New Roman" w:hAnsi="Times New Roman" w:cs="Times New Roman"/>
          <w:sz w:val="24"/>
          <w:szCs w:val="24"/>
        </w:rPr>
      </w:pPr>
      <w:r>
        <w:rPr>
          <w:rFonts w:hint="eastAsia" w:ascii="Times New Roman" w:hAnsi="Times New Roman" w:cs="Times New Roman"/>
          <w:sz w:val="24"/>
          <w:szCs w:val="24"/>
        </w:rPr>
        <w:t>F</w:t>
      </w:r>
      <w:r>
        <w:rPr>
          <w:rFonts w:ascii="Times New Roman" w:hAnsi="Times New Roman" w:cs="Times New Roman"/>
          <w:sz w:val="24"/>
          <w:szCs w:val="24"/>
        </w:rPr>
        <w:t>IGURE A.1</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Flow chart depicting the patient selection process. ATMs, atypical meningioms; SFTs, solitary fibrous tumors.</w:t>
      </w:r>
    </w:p>
    <w:p>
      <w:pPr>
        <w:spacing w:line="360" w:lineRule="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5647055" cy="3175000"/>
            <wp:effectExtent l="0" t="0" r="10795" b="6350"/>
            <wp:docPr id="5" name="图片 5" descr="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1"/>
                    <pic:cNvPicPr>
                      <a:picLocks noChangeAspect="1"/>
                    </pic:cNvPicPr>
                  </pic:nvPicPr>
                  <pic:blipFill>
                    <a:blip r:embed="rId4"/>
                    <a:stretch>
                      <a:fillRect/>
                    </a:stretch>
                  </pic:blipFill>
                  <pic:spPr>
                    <a:xfrm>
                      <a:off x="0" y="0"/>
                      <a:ext cx="5647055" cy="3175000"/>
                    </a:xfrm>
                    <a:prstGeom prst="rect">
                      <a:avLst/>
                    </a:prstGeom>
                  </pic:spPr>
                </pic:pic>
              </a:graphicData>
            </a:graphic>
          </wp:inline>
        </w:drawing>
      </w:r>
    </w:p>
    <w:p>
      <w:pPr>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br w:type="page"/>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FIGURE </w:t>
      </w:r>
      <w:r>
        <w:rPr>
          <w:rFonts w:hint="eastAsia" w:ascii="Times New Roman" w:hAnsi="Times New Roman" w:cs="Times New Roman"/>
          <w:sz w:val="24"/>
          <w:szCs w:val="24"/>
          <w:lang w:val="en-US" w:eastAsia="zh-CN"/>
        </w:rPr>
        <w:t>A.</w:t>
      </w:r>
      <w:r>
        <w:rPr>
          <w:rFonts w:ascii="Times New Roman" w:hAnsi="Times New Roman" w:cs="Times New Roman"/>
          <w:sz w:val="24"/>
          <w:szCs w:val="24"/>
        </w:rPr>
        <w:t>2: Radiomics workflow. REF, Recursive Feature Elimination; LR, logistic regression; ROC, receiver-operating characteristic.</w:t>
      </w:r>
    </w:p>
    <w:p>
      <w:pPr>
        <w:spacing w:line="360" w:lineRule="auto"/>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drawing>
          <wp:inline distT="0" distB="0" distL="114300" distR="114300">
            <wp:extent cx="5910580" cy="2329815"/>
            <wp:effectExtent l="0" t="0" r="13970" b="13335"/>
            <wp:docPr id="6" name="图片 6" descr="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2"/>
                    <pic:cNvPicPr>
                      <a:picLocks noChangeAspect="1"/>
                    </pic:cNvPicPr>
                  </pic:nvPicPr>
                  <pic:blipFill>
                    <a:blip r:embed="rId5"/>
                    <a:srcRect l="5040" t="20029" r="5478" b="17252"/>
                    <a:stretch>
                      <a:fillRect/>
                    </a:stretch>
                  </pic:blipFill>
                  <pic:spPr>
                    <a:xfrm>
                      <a:off x="0" y="0"/>
                      <a:ext cx="5910580" cy="2329815"/>
                    </a:xfrm>
                    <a:prstGeom prst="rect">
                      <a:avLst/>
                    </a:prstGeom>
                  </pic:spPr>
                </pic:pic>
              </a:graphicData>
            </a:graphic>
          </wp:inline>
        </w:drawing>
      </w:r>
    </w:p>
    <w:p>
      <w:pPr>
        <w:rPr>
          <w:rFonts w:hint="eastAsia" w:ascii="Times New Roman" w:hAnsi="Times New Roman" w:cs="Times New Roman"/>
          <w:sz w:val="24"/>
          <w:szCs w:val="24"/>
        </w:rPr>
      </w:pPr>
      <w:r>
        <w:rPr>
          <w:rFonts w:hint="eastAsia" w:ascii="Times New Roman" w:hAnsi="Times New Roman" w:cs="Times New Roman"/>
          <w:sz w:val="24"/>
          <w:szCs w:val="24"/>
        </w:rPr>
        <w:br w:type="page"/>
      </w:r>
    </w:p>
    <w:p>
      <w:pPr>
        <w:rPr>
          <w:rFonts w:hint="eastAsia" w:ascii="Times New Roman" w:hAnsi="Times New Roman" w:cs="Times New Roman"/>
          <w:sz w:val="24"/>
          <w:szCs w:val="24"/>
        </w:rPr>
      </w:pPr>
    </w:p>
    <w:p>
      <w:pPr>
        <w:rPr>
          <w:rFonts w:ascii="Times New Roman" w:hAnsi="Times New Roman" w:cs="Times New Roman"/>
          <w:bCs/>
          <w:kern w:val="0"/>
          <w:sz w:val="24"/>
          <w:szCs w:val="24"/>
        </w:rPr>
      </w:pPr>
      <w:r>
        <w:rPr>
          <w:rFonts w:hint="eastAsia" w:ascii="Times New Roman" w:hAnsi="Times New Roman" w:cs="Times New Roman"/>
          <w:sz w:val="24"/>
          <w:szCs w:val="24"/>
        </w:rPr>
        <w:t>F</w:t>
      </w:r>
      <w:r>
        <w:rPr>
          <w:rFonts w:ascii="Times New Roman" w:hAnsi="Times New Roman" w:cs="Times New Roman"/>
          <w:sz w:val="24"/>
          <w:szCs w:val="24"/>
        </w:rPr>
        <w:t>IGURE A.</w:t>
      </w:r>
      <w:r>
        <w:rPr>
          <w:rFonts w:hint="eastAsia" w:ascii="Times New Roman" w:hAnsi="Times New Roman" w:cs="Times New Roman"/>
          <w:sz w:val="24"/>
          <w:szCs w:val="24"/>
          <w:lang w:val="en-US" w:eastAsia="zh-CN"/>
        </w:rPr>
        <w:t>3</w:t>
      </w:r>
      <w:r>
        <w:rPr>
          <w:rFonts w:ascii="Times New Roman" w:hAnsi="Times New Roman" w:cs="Times New Roman"/>
          <w:sz w:val="24"/>
          <w:szCs w:val="24"/>
        </w:rPr>
        <w:t xml:space="preserve">: Heat map of correlations between imaging features and </w:t>
      </w:r>
      <w:r>
        <w:rPr>
          <w:rFonts w:ascii="Times New Roman" w:hAnsi="Times New Roman" w:cs="Times New Roman"/>
          <w:bCs/>
          <w:kern w:val="0"/>
          <w:sz w:val="24"/>
          <w:szCs w:val="24"/>
        </w:rPr>
        <w:t>collagen volume fraction among 47 patients of solitary fibrous tumors.</w:t>
      </w:r>
    </w:p>
    <w:p>
      <w:pPr>
        <w:jc w:val="center"/>
        <w:rPr>
          <w:rFonts w:ascii="Times New Roman" w:hAnsi="Times New Roman" w:cs="Times New Roman"/>
          <w:sz w:val="24"/>
          <w:szCs w:val="24"/>
        </w:rPr>
      </w:pPr>
    </w:p>
    <w:p>
      <w:pPr>
        <w:jc w:val="center"/>
        <w:rPr>
          <w:rFonts w:hint="eastAsia" w:eastAsiaTheme="minorEastAsia"/>
          <w:sz w:val="24"/>
          <w:szCs w:val="24"/>
          <w:lang w:eastAsia="zh-CN"/>
        </w:rPr>
      </w:pPr>
      <w:r>
        <w:drawing>
          <wp:inline distT="0" distB="0" distL="0" distR="0">
            <wp:extent cx="5935345" cy="5441315"/>
            <wp:effectExtent l="0" t="0" r="825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944239" cy="544972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Q1NGEyMmZkNzk3ZWMxYmZiNjAxZjVjMjllM2FkMWQifQ=="/>
  </w:docVars>
  <w:rsids>
    <w:rsidRoot w:val="00751B8F"/>
    <w:rsid w:val="00141D6D"/>
    <w:rsid w:val="001B7411"/>
    <w:rsid w:val="002617C7"/>
    <w:rsid w:val="0029598D"/>
    <w:rsid w:val="00590691"/>
    <w:rsid w:val="00620AB6"/>
    <w:rsid w:val="0072634C"/>
    <w:rsid w:val="0073344C"/>
    <w:rsid w:val="00751B8F"/>
    <w:rsid w:val="00757897"/>
    <w:rsid w:val="007B651A"/>
    <w:rsid w:val="007C03DE"/>
    <w:rsid w:val="008139F1"/>
    <w:rsid w:val="008A0177"/>
    <w:rsid w:val="008D2B27"/>
    <w:rsid w:val="00920A06"/>
    <w:rsid w:val="00A81E99"/>
    <w:rsid w:val="00A9076E"/>
    <w:rsid w:val="00BA0052"/>
    <w:rsid w:val="00BF5DD5"/>
    <w:rsid w:val="00C610DD"/>
    <w:rsid w:val="00DF574F"/>
    <w:rsid w:val="189645DE"/>
    <w:rsid w:val="42061C5B"/>
    <w:rsid w:val="66810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703</Words>
  <Characters>5084</Characters>
  <Lines>41</Lines>
  <Paragraphs>11</Paragraphs>
  <TotalTime>6</TotalTime>
  <ScaleCrop>false</ScaleCrop>
  <LinksUpToDate>false</LinksUpToDate>
  <CharactersWithSpaces>5584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2022-08-13T08:44:00Z</dcterms:created>
  <dc:creator>apple</dc:creator>
  <cp:lastModifiedBy>Administrator</cp:lastModifiedBy>
  <dcterms:modified xsi:type="dcterms:W3CDTF">2023-06-27T14:18:11Z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B0BB1FB5E4D4472D9EC50F555847F005_12</vt:lpwstr>
  </property>
</Properties>
</file>