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numPr>
          <w:ilvl w:val="0"/>
          <w:numId w:val="0"/>
        </w:numPr>
        <w:jc w:val="both"/>
        <w:rPr>
          <w:rFonts w:hint="default" w:ascii="Times New Roman" w:hAnsi="Times New Roman" w:eastAsia="宋体" w:cs="Times New Roman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highlight w:val="none"/>
        </w:rPr>
        <w:t xml:space="preserve">Supplementary </w:t>
      </w:r>
      <w:r>
        <w:rPr>
          <w:rFonts w:hint="eastAsia" w:ascii="Times New Roman" w:hAnsi="Times New Roman" w:eastAsia="宋体" w:cs="Times New Roman"/>
          <w:highlight w:val="none"/>
          <w:lang w:val="en-US" w:eastAsia="zh-CN"/>
        </w:rPr>
        <w:t>Information</w:t>
      </w:r>
    </w:p>
    <w:p>
      <w:pPr>
        <w:pStyle w:val="10"/>
        <w:numPr>
          <w:ilvl w:val="0"/>
          <w:numId w:val="0"/>
        </w:numPr>
        <w:jc w:val="both"/>
      </w:pP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Mitoguardin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promotes 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 xml:space="preserve">cell </w:t>
      </w:r>
      <w:r>
        <w:rPr>
          <w:rFonts w:ascii="Times New Roman" w:hAnsi="Times New Roman" w:cs="Times New Roman"/>
          <w:b/>
          <w:bCs/>
          <w:sz w:val="32"/>
          <w:szCs w:val="32"/>
        </w:rPr>
        <w:t>proliferation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by activating AKT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>regulat</w:t>
      </w: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ing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 xml:space="preserve"> Hippo/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YAP1 signaling </w:t>
      </w:r>
      <w:r>
        <w:rPr>
          <w:rFonts w:hint="eastAsia" w:ascii="Times New Roman" w:hAnsi="Times New Roman" w:cs="Times New Roman"/>
          <w:b/>
          <w:bCs/>
          <w:sz w:val="32"/>
          <w:szCs w:val="32"/>
        </w:rPr>
        <w:t xml:space="preserve">pathway </w:t>
      </w:r>
      <w:r>
        <w:rPr>
          <w:rFonts w:ascii="Times New Roman" w:hAnsi="Times New Roman" w:cs="Times New Roman"/>
          <w:b/>
          <w:bCs/>
          <w:sz w:val="32"/>
          <w:szCs w:val="32"/>
        </w:rPr>
        <w:t>in ovarian granulosa cells</w:t>
      </w:r>
    </w:p>
    <w:p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rPr>
          <w:rFonts w:ascii="Times New Roman" w:hAnsi="Times New Roman" w:cs="Times New Roman"/>
          <w:b/>
          <w:bCs/>
          <w:sz w:val="32"/>
          <w:szCs w:val="32"/>
        </w:rPr>
      </w:pPr>
    </w:p>
    <w:p>
      <w:pPr>
        <w:spacing w:line="360" w:lineRule="auto"/>
        <w:jc w:val="center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>Ming-Qi Yan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1"/>
          <w:vertAlign w:val="superscript"/>
        </w:rPr>
        <w:t>#</w:t>
      </w:r>
      <w:r>
        <w:rPr>
          <w:rFonts w:ascii="Times New Roman" w:hAnsi="Times New Roman" w:cs="Times New Roman"/>
          <w:sz w:val="24"/>
          <w:szCs w:val="21"/>
        </w:rPr>
        <w:t>,</w:t>
      </w:r>
      <w:r>
        <w:rPr>
          <w:rFonts w:hint="eastAsia" w:ascii="Times New Roman" w:hAnsi="Times New Roman" w:cs="Times New Roman"/>
          <w:sz w:val="24"/>
          <w:szCs w:val="21"/>
        </w:rPr>
        <w:t xml:space="preserve"> Bing-Hong Zhu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1"/>
          <w:vertAlign w:val="superscript"/>
        </w:rPr>
        <w:t>#</w:t>
      </w:r>
      <w:r>
        <w:rPr>
          <w:rFonts w:hint="eastAsia" w:ascii="Times New Roman" w:hAnsi="Times New Roman" w:cs="Times New Roman"/>
          <w:sz w:val="24"/>
          <w:szCs w:val="21"/>
        </w:rPr>
        <w:t xml:space="preserve">, </w:t>
      </w:r>
      <w:r>
        <w:rPr>
          <w:rFonts w:ascii="Times New Roman" w:hAnsi="Times New Roman" w:cs="Times New Roman"/>
          <w:sz w:val="24"/>
          <w:szCs w:val="21"/>
        </w:rPr>
        <w:t>Xiao-Hong Liu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1"/>
        </w:rPr>
        <w:t>,Yu-Meng Yang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1"/>
        </w:rPr>
        <w:t>,Xiu-Yun Duan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1"/>
        </w:rPr>
        <w:t>,</w:t>
      </w:r>
      <w:r>
        <w:rPr>
          <w:rFonts w:hint="eastAsia" w:ascii="Times New Roman" w:hAnsi="Times New Roman" w:cs="Times New Roman"/>
          <w:sz w:val="24"/>
          <w:szCs w:val="21"/>
        </w:rPr>
        <w:t xml:space="preserve"> Yong Wang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4</w:t>
      </w:r>
      <w:r>
        <w:rPr>
          <w:rFonts w:hint="eastAsia" w:ascii="Times New Roman" w:hAnsi="Times New Roman" w:cs="Times New Roman"/>
          <w:sz w:val="24"/>
          <w:szCs w:val="21"/>
        </w:rPr>
        <w:t>, Hui Sun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4</w:t>
      </w:r>
      <w:r>
        <w:rPr>
          <w:rFonts w:hint="eastAsia" w:ascii="Times New Roman" w:hAnsi="Times New Roman" w:cs="Times New Roman"/>
          <w:sz w:val="24"/>
          <w:szCs w:val="21"/>
        </w:rPr>
        <w:t>, Mei Feng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1"/>
        </w:rPr>
        <w:t xml:space="preserve">, </w:t>
      </w:r>
      <w:r>
        <w:rPr>
          <w:rFonts w:ascii="Times New Roman" w:hAnsi="Times New Roman" w:cs="Times New Roman"/>
          <w:sz w:val="24"/>
          <w:szCs w:val="21"/>
        </w:rPr>
        <w:t>Xiao-Man Liu</w:t>
      </w:r>
      <w:r>
        <w:rPr>
          <w:rFonts w:ascii="Times New Roman" w:hAnsi="Times New Roman" w:cs="Times New Roman"/>
          <w:sz w:val="24"/>
          <w:szCs w:val="21"/>
          <w:vertAlign w:val="superscript"/>
        </w:rPr>
        <w:t>1</w:t>
      </w: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, 4</w:t>
      </w:r>
      <w:r>
        <w:rPr>
          <w:rFonts w:ascii="Times New Roman" w:hAnsi="Times New Roman" w:cs="Times New Roman"/>
          <w:sz w:val="24"/>
          <w:szCs w:val="21"/>
          <w:vertAlign w:val="superscript"/>
        </w:rPr>
        <w:t>*</w:t>
      </w:r>
    </w:p>
    <w:p>
      <w:pPr>
        <w:jc w:val="center"/>
        <w:rPr>
          <w:rFonts w:ascii="Times New Roman" w:hAnsi="Times New Roman" w:cs="Times New Roman"/>
          <w:sz w:val="21"/>
          <w:szCs w:val="21"/>
        </w:rPr>
      </w:pP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eastAsia="Arial Unicode MS" w:cs="Times New Roman"/>
          <w:bCs/>
          <w:sz w:val="24"/>
          <w:szCs w:val="21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1"/>
        </w:rPr>
        <w:t>Central Laboratory</w:t>
      </w:r>
      <w:r>
        <w:rPr>
          <w:rFonts w:ascii="Times New Roman" w:hAnsi="Times New Roman" w:eastAsia="Arial Unicode MS" w:cs="Times New Roman"/>
          <w:bCs/>
          <w:sz w:val="24"/>
          <w:szCs w:val="21"/>
        </w:rPr>
        <w:t xml:space="preserve">, </w:t>
      </w:r>
      <w:r>
        <w:rPr>
          <w:rFonts w:ascii="Times New Roman" w:hAnsi="Times New Roman" w:cs="Times New Roman"/>
          <w:sz w:val="24"/>
          <w:szCs w:val="21"/>
        </w:rPr>
        <w:t>Shandong Provincial Hospital Affiliated to Shandong First Medical University</w:t>
      </w:r>
      <w:r>
        <w:rPr>
          <w:rFonts w:hint="eastAsia" w:ascii="Times New Roman" w:hAnsi="Times New Roman" w:cs="Times New Roman"/>
          <w:sz w:val="24"/>
          <w:szCs w:val="21"/>
        </w:rPr>
        <w:t xml:space="preserve">; </w:t>
      </w:r>
      <w:r>
        <w:rPr>
          <w:rFonts w:ascii="Times New Roman" w:hAnsi="Times New Roman" w:cs="Times New Roman"/>
          <w:sz w:val="24"/>
          <w:szCs w:val="21"/>
        </w:rPr>
        <w:t>Shandong Provincial Hospital, Shandong University</w:t>
      </w:r>
      <w:r>
        <w:rPr>
          <w:rFonts w:hint="eastAsia" w:ascii="Times New Roman" w:hAnsi="Times New Roman" w:cs="Times New Roman"/>
          <w:sz w:val="24"/>
          <w:szCs w:val="21"/>
        </w:rPr>
        <w:t>,</w:t>
      </w:r>
      <w:r>
        <w:rPr>
          <w:rFonts w:ascii="Times New Roman" w:hAnsi="Times New Roman" w:cs="Times New Roman"/>
          <w:sz w:val="24"/>
          <w:szCs w:val="21"/>
        </w:rPr>
        <w:t xml:space="preserve"> Jinan</w:t>
      </w:r>
      <w:r>
        <w:rPr>
          <w:rFonts w:hint="eastAsia" w:ascii="Times New Roman" w:hAnsi="Times New Roman" w:cs="Times New Roman"/>
          <w:sz w:val="24"/>
          <w:szCs w:val="21"/>
        </w:rPr>
        <w:t xml:space="preserve"> 250021</w:t>
      </w:r>
      <w:r>
        <w:rPr>
          <w:rFonts w:ascii="Times New Roman" w:hAnsi="Times New Roman" w:cs="Times New Roman"/>
          <w:sz w:val="24"/>
          <w:szCs w:val="21"/>
        </w:rPr>
        <w:t>, China.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cs="Times New Roman"/>
          <w:sz w:val="24"/>
          <w:szCs w:val="21"/>
          <w:vertAlign w:val="superscript"/>
        </w:rPr>
        <w:t>2</w:t>
      </w:r>
      <w:r>
        <w:rPr>
          <w:rFonts w:hint="eastAsia" w:ascii="Times New Roman" w:hAnsi="Times New Roman" w:cs="Times New Roman"/>
          <w:sz w:val="24"/>
          <w:szCs w:val="21"/>
        </w:rPr>
        <w:t>Department of Obstetrics and Gynecology, The First Affiliated Hospital of Shandong First Medical University&amp; Shandong Provincial Qianfoshan Hospital</w:t>
      </w:r>
      <w:r>
        <w:rPr>
          <w:rFonts w:ascii="Times New Roman" w:hAnsi="Times New Roman" w:cs="Times New Roman"/>
          <w:sz w:val="24"/>
          <w:szCs w:val="21"/>
        </w:rPr>
        <w:t>, Jinan 250014, China</w:t>
      </w:r>
      <w:r>
        <w:rPr>
          <w:rFonts w:hint="eastAsia" w:ascii="Times New Roman" w:hAnsi="Times New Roman" w:cs="Times New Roman"/>
          <w:sz w:val="24"/>
          <w:szCs w:val="21"/>
        </w:rPr>
        <w:t>.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eastAsia="宋体" w:cs="Times New Roman"/>
          <w:bCs/>
          <w:sz w:val="24"/>
          <w:szCs w:val="21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1"/>
        </w:rPr>
        <w:t xml:space="preserve">Department of Infection Control, Jen Ching Memorial Hospital, </w:t>
      </w:r>
      <w:r>
        <w:rPr>
          <w:rFonts w:hint="eastAsia" w:ascii="Times New Roman" w:hAnsi="Times New Roman" w:cs="Times New Roman"/>
          <w:sz w:val="24"/>
          <w:szCs w:val="21"/>
        </w:rPr>
        <w:t>Kunshan 215300</w:t>
      </w:r>
      <w:r>
        <w:rPr>
          <w:rFonts w:ascii="Times New Roman" w:hAnsi="Times New Roman" w:cs="Times New Roman"/>
          <w:sz w:val="24"/>
          <w:szCs w:val="21"/>
        </w:rPr>
        <w:t>, China.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hint="eastAsia" w:ascii="Times New Roman" w:hAnsi="Times New Roman" w:eastAsia="宋体" w:cs="Times New Roman"/>
          <w:bCs/>
          <w:sz w:val="24"/>
          <w:szCs w:val="21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1"/>
        </w:rPr>
        <w:t>Department of Clinical Laboratory Medicine, Shandong Provincial Hospital Affiliated to Shandong First Medical University; Institute of Clinical Microbiology, Shandong Academy of Clinical Medicine, Jinan</w:t>
      </w:r>
      <w:r>
        <w:rPr>
          <w:rFonts w:hint="eastAsia" w:ascii="Times New Roman" w:hAnsi="Times New Roman" w:cs="Times New Roman"/>
          <w:sz w:val="24"/>
          <w:szCs w:val="21"/>
        </w:rPr>
        <w:t xml:space="preserve"> 250021</w:t>
      </w:r>
      <w:r>
        <w:rPr>
          <w:rFonts w:ascii="Times New Roman" w:hAnsi="Times New Roman" w:cs="Times New Roman"/>
          <w:sz w:val="24"/>
          <w:szCs w:val="21"/>
        </w:rPr>
        <w:t>, China.</w:t>
      </w:r>
    </w:p>
    <w:p>
      <w:pPr>
        <w:spacing w:line="360" w:lineRule="auto"/>
        <w:jc w:val="both"/>
        <w:rPr>
          <w:rFonts w:ascii="Times New Roman" w:hAnsi="Times New Roman" w:cs="Times New Roman"/>
          <w:sz w:val="24"/>
          <w:szCs w:val="21"/>
        </w:rPr>
      </w:pPr>
      <w:r>
        <w:rPr>
          <w:rFonts w:ascii="Times New Roman" w:hAnsi="Times New Roman" w:cs="Times New Roman"/>
          <w:sz w:val="24"/>
          <w:szCs w:val="21"/>
        </w:rPr>
        <w:t xml:space="preserve"> </w:t>
      </w:r>
    </w:p>
    <w:p>
      <w:pPr>
        <w:spacing w:line="360" w:lineRule="auto"/>
        <w:ind w:firstLine="480" w:firstLineChars="20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1"/>
          <w:vertAlign w:val="superscript"/>
        </w:rPr>
        <w:t>#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These authors contributed equally to this work.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Table S1. Primers used in quantitative PCR analysis.</w:t>
      </w:r>
    </w:p>
    <w:tbl>
      <w:tblPr>
        <w:tblStyle w:val="9"/>
        <w:tblW w:w="84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1545"/>
        <w:gridCol w:w="2340"/>
        <w:gridCol w:w="2113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77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Gene symbol</w:t>
            </w:r>
          </w:p>
        </w:tc>
        <w:tc>
          <w:tcPr>
            <w:tcW w:w="1545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Gene ID (NCBI)</w:t>
            </w:r>
          </w:p>
        </w:tc>
        <w:tc>
          <w:tcPr>
            <w:tcW w:w="2340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Forward primer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 xml:space="preserve"> (5’-3’)</w:t>
            </w:r>
          </w:p>
        </w:tc>
        <w:tc>
          <w:tcPr>
            <w:tcW w:w="2113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Reverse primer</w:t>
            </w:r>
          </w:p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 xml:space="preserve"> (5’-3’)</w:t>
            </w:r>
          </w:p>
        </w:tc>
        <w:tc>
          <w:tcPr>
            <w:tcW w:w="1102" w:type="dxa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Primer length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i/>
                <w:iCs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eastAsia="zh-CN"/>
              </w:rPr>
              <w:t>MIGA1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374986</w:t>
            </w:r>
          </w:p>
        </w:tc>
        <w:tc>
          <w:tcPr>
            <w:tcW w:w="2340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GGCTTTTTGGGTCCTAGAAATTCTC</w:t>
            </w:r>
          </w:p>
        </w:tc>
        <w:tc>
          <w:tcPr>
            <w:tcW w:w="2113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CTGCATGAGGTCTTCAGCTAAAGTC</w:t>
            </w:r>
          </w:p>
        </w:tc>
        <w:tc>
          <w:tcPr>
            <w:tcW w:w="1102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141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i/>
                <w:iCs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eastAsia="zh-CN"/>
              </w:rPr>
              <w:t>MIGA2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84895</w:t>
            </w:r>
          </w:p>
        </w:tc>
        <w:tc>
          <w:tcPr>
            <w:tcW w:w="2340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AGAAGTGGGAGCAGGCACTA</w:t>
            </w:r>
          </w:p>
        </w:tc>
        <w:tc>
          <w:tcPr>
            <w:tcW w:w="2113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CCAGCTTCTCTGCAAACTCC</w:t>
            </w:r>
          </w:p>
        </w:tc>
        <w:tc>
          <w:tcPr>
            <w:tcW w:w="1102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147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YAP1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10413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TAGCCCTGCGTAGCCAGTTA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TCATGCTTAGTCCACTGTCTGT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177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ANKRD1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27063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AGTAGAGGAACTGGTCACTGG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TGTTTCTCGCTTTTCCACTGTT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180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CYR61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3491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CTTGTTGGCGTCTTCGTCG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AGCCTGGTCAAGTGGAGAAG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115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CTGF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1490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CAGCATGGACGTTCGTCTG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AACCACGGTTTGGTCCTTGG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115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AMOTL2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51421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GACATGACCAAGTGGGAGCA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GGGTGCTCTGTCTGCTGTAG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426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IGFBP3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3486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AGAGCACAGATACCCAGAACT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GGTGATTCAGTGTGTCTTCCATT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93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MST1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4485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GATGGGCACTGTCCGAGTAG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AGGTCCTCCACTGTCCAACT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321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MST2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6788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GGGCCCAGACCATGATTGAA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CATCATGGGGTCCAGTGCTT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341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TEAD1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7003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ACTTCCCTTCCCTTTCGGTTT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CGTCTTGCCTGTCCTGAGTT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323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TEAD2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8463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TCGGAATGAACTGATCGCCC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TGGAAACCTGGTCCTTCAACT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140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TEAD3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7005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ACCCTCTCAGGACATCAAGC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GCTGTACGTGTCAGGGTCTC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214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77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i/>
                <w:iCs/>
                <w:sz w:val="24"/>
                <w:szCs w:val="24"/>
                <w:vertAlign w:val="baseline"/>
                <w:lang w:val="en-US" w:eastAsia="zh-CN"/>
              </w:rPr>
              <w:t>TEAD4</w:t>
            </w:r>
          </w:p>
        </w:tc>
        <w:tc>
          <w:tcPr>
            <w:tcW w:w="1545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7004</w:t>
            </w:r>
          </w:p>
        </w:tc>
        <w:tc>
          <w:tcPr>
            <w:tcW w:w="2340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CACCTGTTCGTGCACATTGG</w:t>
            </w:r>
          </w:p>
        </w:tc>
        <w:tc>
          <w:tcPr>
            <w:tcW w:w="2113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/>
                <w:sz w:val="24"/>
                <w:szCs w:val="24"/>
                <w:vertAlign w:val="baseline"/>
                <w:lang w:val="en-US" w:eastAsia="zh-CN"/>
              </w:rPr>
              <w:t>CCGAAAGAGCAGACCTTCGT</w:t>
            </w:r>
          </w:p>
        </w:tc>
        <w:tc>
          <w:tcPr>
            <w:tcW w:w="1102" w:type="dxa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281 bp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1377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i/>
                <w:iCs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i/>
                <w:iCs/>
                <w:sz w:val="24"/>
                <w:szCs w:val="24"/>
                <w:lang w:eastAsia="zh-CN"/>
              </w:rPr>
              <w:t>GAPDH</w:t>
            </w:r>
          </w:p>
        </w:tc>
        <w:tc>
          <w:tcPr>
            <w:tcW w:w="1545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2597</w:t>
            </w:r>
          </w:p>
        </w:tc>
        <w:tc>
          <w:tcPr>
            <w:tcW w:w="2340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TCTGCTCCTCCTGTTCGACA</w:t>
            </w:r>
          </w:p>
        </w:tc>
        <w:tc>
          <w:tcPr>
            <w:tcW w:w="2113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AAAAGCAGCCCTGGTGACC</w:t>
            </w:r>
          </w:p>
        </w:tc>
        <w:tc>
          <w:tcPr>
            <w:tcW w:w="1102" w:type="dxa"/>
            <w:vAlign w:val="center"/>
          </w:tcPr>
          <w:p>
            <w:pPr>
              <w:widowControl w:val="0"/>
              <w:jc w:val="both"/>
              <w:rPr>
                <w:rFonts w:hint="default" w:ascii="Times New Roman" w:hAnsi="Times New Roman" w:cs="Times New Roman" w:eastAsiaTheme="minorEastAsia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eastAsia="zh-CN"/>
              </w:rPr>
              <w:t>141 bp</w:t>
            </w: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4554220" cy="2507615"/>
            <wp:effectExtent l="0" t="0" r="17780" b="6985"/>
            <wp:docPr id="1" name="Picture 1" descr="Fig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ig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54220" cy="250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S1 CCCP promotes cell proliferation in KGN cells (related to main Figure 1).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EdU staining after treatment of CCCP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at the concentration of 10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μ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 for 24 h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or the control.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B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Statistics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analysis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proportion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EdU positive cells in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Data were presented as mean ± SD. **, 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&lt;0.01.</w:t>
      </w:r>
    </w:p>
    <w:p>
      <w:pPr>
        <w:rPr>
          <w:rFonts w:cs="Times New Roman"/>
          <w:sz w:val="21"/>
          <w:szCs w:val="18"/>
          <w:highlight w:val="none"/>
        </w:rPr>
      </w:pPr>
      <w:r>
        <w:rPr>
          <w:rFonts w:cs="Times New Roman"/>
          <w:sz w:val="21"/>
          <w:szCs w:val="18"/>
          <w:highlight w:val="none"/>
        </w:rPr>
        <w:br w:type="page"/>
      </w: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drawing>
          <wp:inline distT="0" distB="0" distL="114300" distR="114300">
            <wp:extent cx="4411980" cy="3592195"/>
            <wp:effectExtent l="0" t="0" r="7620" b="8255"/>
            <wp:docPr id="2" name="Picture 2" descr="Fig S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Fig S2.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1980" cy="359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Figure S2 CCCP and Mdivi-1 regulate YAP localization or phosphorylation  (related to main Figure 2).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Representative immunofluorescence</w:t>
      </w:r>
      <w:r>
        <w:rPr>
          <w:rStyle w:val="7"/>
          <w:rFonts w:hint="eastAsia" w:ascii="Times New Roman" w:hAnsi="Times New Roman" w:eastAsia="宋体" w:cs="Times New Roman"/>
          <w:b/>
          <w:bCs w:val="0"/>
          <w:color w:val="auto"/>
          <w:sz w:val="24"/>
          <w:u w:val="none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images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CCCP (10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μ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M) treatment in KGN cells or combined treatment with FSK/PMA for 24 h.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B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Statistics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analysis for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proportion of YAP localization.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N&gt;C, predominantly nuclear; N</w:t>
      </w:r>
      <w:r>
        <w:rPr>
          <w:rStyle w:val="7"/>
          <w:rFonts w:hint="eastAsia" w:ascii="Times New Roman" w:hAnsi="Times New Roman" w:eastAsia="宋体"/>
          <w:b w:val="0"/>
          <w:bCs/>
          <w:color w:val="auto"/>
          <w:sz w:val="24"/>
          <w:u w:val="none"/>
          <w:lang w:val="en-US" w:eastAsia="zh-CN"/>
        </w:rPr>
        <w:t xml:space="preserve">≤C, predominantly cytoplasm or equal distribution in nucleus and cytoplasm.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Representative immunofluorescence</w:t>
      </w:r>
      <w:r>
        <w:rPr>
          <w:rStyle w:val="7"/>
          <w:rFonts w:hint="eastAsia" w:ascii="Times New Roman" w:hAnsi="Times New Roman" w:eastAsia="宋体" w:cs="Times New Roman"/>
          <w:b/>
          <w:bCs w:val="0"/>
          <w:color w:val="auto"/>
          <w:sz w:val="24"/>
          <w:u w:val="none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images of YAP after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Mdivi-1 (25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μ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M)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treatment for 24 h.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D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Statistics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analysis for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proportion of YAP localization.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Representative western blot</w:t>
      </w:r>
      <w:r>
        <w:rPr>
          <w:rStyle w:val="7"/>
          <w:rFonts w:hint="eastAsia" w:ascii="Times New Roman" w:hAnsi="Times New Roman" w:eastAsia="宋体" w:cs="Times New Roman"/>
          <w:b/>
          <w:bCs w:val="0"/>
          <w:color w:val="auto"/>
          <w:sz w:val="24"/>
          <w:u w:val="none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images of pYAP (S127), YAP and </w:t>
      </w:r>
      <w:r>
        <w:rPr>
          <w:rStyle w:val="7"/>
          <w:rFonts w:hint="default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β-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ACTIN proteins after Mdivi-1 treatment for 24 h.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Data were presented as mean ± SD. 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</w:rPr>
        <w:t>*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P&lt;0.05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2863215"/>
            <wp:effectExtent l="0" t="0" r="6985" b="13335"/>
            <wp:docPr id="3" name="Picture 3" descr="Fig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Fig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863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S3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. MIGA1/2 mediated mitochondrial functions regulate YAP expression and YAP targeted genes (related to main Figure 3). 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Relative mRNA expression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AMOTL2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IGFBP3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after overexpression of MIGA1 or MIGA2 in KGN cells with FSK/PMA treatment or not.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Relative mRNA expression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YAP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and YAP targeted genes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ANKRD1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and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CYR61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treated by CCCP for 24 h.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Relative mRNA expression of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AMOTL2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,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 xml:space="preserve"> IGFBP3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after knockdown of MIGA1 or MIGA2 in KGN cells with FSK/PMA treatment or not.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Representative immunohistofluorescence images of YAP in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lang w:val="en-US" w:eastAsia="zh-CN"/>
        </w:rPr>
        <w:t>Miga1/2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knockout and wild-type (WT) mouse ovaries with no-treatment (NT) or treatment of PMSG 44 h and followed with hCG 48 h at the age of 4 weeks.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Data were presented as mean ± SD. 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</w:rPr>
        <w:t>*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P&lt;0.05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,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**, 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&lt;0.01.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43145" cy="3869690"/>
            <wp:effectExtent l="0" t="0" r="14605" b="16510"/>
            <wp:docPr id="4" name="Picture 4" descr="Fig S4 TEA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Fig S4 TEAD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spacing w:line="36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 xml:space="preserve"> MIGA2 expression is regulated by MST1/2 and regulates </w:t>
      </w:r>
      <w:r>
        <w:rPr>
          <w:rFonts w:hint="eastAsia" w:ascii="Times New Roman" w:hAnsi="Times New Roman" w:cs="Times New Roman"/>
          <w:b/>
          <w:bCs/>
          <w:i/>
          <w:iCs/>
          <w:sz w:val="24"/>
          <w:szCs w:val="24"/>
          <w:u w:val="none"/>
          <w:lang w:val="en-US" w:eastAsia="zh-CN"/>
        </w:rPr>
        <w:t>TEAD1-4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 xml:space="preserve"> gene expression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(related to main Figure 4).</w:t>
      </w:r>
    </w:p>
    <w:p>
      <w:pPr>
        <w:spacing w:line="360" w:lineRule="auto"/>
        <w:jc w:val="both"/>
        <w:rPr>
          <w:rFonts w:hint="default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Relative mRNA expression of M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1 and M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after knockdown of MST1 or MST2 in KGN cells.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B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Western blot images of MIGA2, MFN2 and </w:t>
      </w:r>
      <w:r>
        <w:rPr>
          <w:rStyle w:val="7"/>
          <w:rFonts w:hint="default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β-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ACTIN proteins after knockdown of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MST1 or MST2 in KGN cells.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C-D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Relative mRNA expression of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TEAD1-4 genes after overexpression of MIGA1 or MIGA2 in KGN cells with FSK/PMA treatment or not (C), or after knockdown of YAP or MIGA2 in KGN cells.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Data were presented as mean ± SD. 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</w:rPr>
        <w:t>*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P&lt;0.05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,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**, 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&lt;0.01.</w:t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br w:type="page"/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13985" cy="1947545"/>
            <wp:effectExtent l="0" t="0" r="5715" b="14605"/>
            <wp:docPr id="7" name="Picture 7" descr="Fig S5 YAP on MIGA12 expr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Fig S5 YAP on MIGA12 expression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13985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5 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 xml:space="preserve">MIGA2 expression is regulated by YAP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(related to main Figure 5)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>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Relative mRNA expression of MIGA2 after overexpression of YAP-5SA, MIGA2 and the co-expression in HeLa cells.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Western blot images of MIGA2, HA and GAPDH proteins after the indicated transfection of plasmids in HeLa cells.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Western blot images of MIGA2 and </w:t>
      </w:r>
      <w:r>
        <w:rPr>
          <w:rStyle w:val="7"/>
          <w:rFonts w:hint="default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β-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ACTIN proteins after knockdown of YAP or MIGA2 in KGN cells.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Data were presented as mean ± SD. 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</w:rPr>
        <w:t>*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P&lt;0.05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,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**, 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&lt;0.01.</w:t>
      </w:r>
    </w:p>
    <w:p>
      <w:pP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58615" cy="3585845"/>
            <wp:effectExtent l="0" t="0" r="13335" b="14605"/>
            <wp:docPr id="6" name="Picture 6" descr="Fig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Fig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58615" cy="358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Figure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 LPA regulates</w:t>
      </w:r>
      <w:r>
        <w:rPr>
          <w:rFonts w:hint="eastAsia" w:ascii="Times New Roman" w:hAnsi="Times New Roman" w:cs="Times New Roman"/>
          <w:b/>
          <w:bCs/>
          <w:sz w:val="24"/>
          <w:szCs w:val="24"/>
          <w:u w:val="none"/>
          <w:lang w:val="en-US" w:eastAsia="zh-CN"/>
        </w:rPr>
        <w:t xml:space="preserve"> MIGA1 and MIGA2 expression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(related to main Figure 6).</w:t>
      </w:r>
    </w:p>
    <w:p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24"/>
          <w:highlight w:val="none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A-B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Relative mRNA expression of MIGA1 (A) and MIGA2 (B) treated by LPA for 2 h in MIGA1 or MIGA2 overexpressed KGN cells.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C-D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Representative immunofluorescence</w:t>
      </w:r>
      <w:r>
        <w:rPr>
          <w:rStyle w:val="7"/>
          <w:rFonts w:hint="eastAsia" w:ascii="Times New Roman" w:hAnsi="Times New Roman" w:eastAsia="宋体" w:cs="Times New Roman"/>
          <w:b/>
          <w:bCs w:val="0"/>
          <w:color w:val="auto"/>
          <w:sz w:val="24"/>
          <w:u w:val="none"/>
          <w:lang w:val="en-US" w:eastAsia="zh-CN"/>
        </w:rPr>
        <w:t xml:space="preserve">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 xml:space="preserve">images of YAP and TOMM20 after treatment of LPA for 24 h (C), and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tatistics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analysis for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proportion of YAP localization (D). </w:t>
      </w:r>
      <w:r>
        <w:rPr>
          <w:rStyle w:val="7"/>
          <w:rFonts w:hint="eastAsia" w:ascii="Times New Roman" w:hAnsi="Times New Roman" w:eastAsia="宋体" w:cs="Times New Roman"/>
          <w:b w:val="0"/>
          <w:bCs/>
          <w:color w:val="auto"/>
          <w:sz w:val="24"/>
          <w:u w:val="none"/>
          <w:lang w:val="en-US" w:eastAsia="zh-CN"/>
        </w:rPr>
        <w:t>N&gt;C, predominantly nuclear; N</w:t>
      </w:r>
      <w:r>
        <w:rPr>
          <w:rStyle w:val="7"/>
          <w:rFonts w:hint="eastAsia" w:ascii="Times New Roman" w:hAnsi="Times New Roman" w:eastAsia="宋体"/>
          <w:b w:val="0"/>
          <w:bCs/>
          <w:color w:val="auto"/>
          <w:sz w:val="24"/>
          <w:u w:val="none"/>
          <w:lang w:val="en-US" w:eastAsia="zh-CN"/>
        </w:rPr>
        <w:t xml:space="preserve">≤C, predominantly cytoplasm or equal distribution in nucleus and cytoplasm.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Data were presented as mean ± SD. 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</w:rPr>
        <w:t>*</w:t>
      </w:r>
      <w:r>
        <w:rPr>
          <w:rFonts w:hint="default" w:ascii="Times New Roman" w:hAnsi="Times New Roman" w:cs="Times New Roman"/>
          <w:sz w:val="24"/>
          <w:szCs w:val="24"/>
          <w:highlight w:val="none"/>
          <w:lang w:eastAsia="zh-CN"/>
        </w:rPr>
        <w:t xml:space="preserve">, </w:t>
      </w:r>
      <w:r>
        <w:rPr>
          <w:rFonts w:hint="default" w:ascii="Times New Roman" w:hAnsi="Times New Roman" w:cs="Times New Roman"/>
          <w:i/>
          <w:iCs/>
          <w:sz w:val="24"/>
          <w:szCs w:val="24"/>
          <w:highlight w:val="none"/>
        </w:rPr>
        <w:t>P&lt;0.05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,</w:t>
      </w:r>
      <w:r>
        <w:rPr>
          <w:rFonts w:hint="default" w:ascii="Times New Roman" w:hAnsi="Times New Roman" w:eastAsia="宋体" w:cs="Times New Roman"/>
          <w:bCs/>
          <w:kern w:val="28"/>
          <w:sz w:val="24"/>
          <w:szCs w:val="24"/>
          <w:highlight w:val="none"/>
          <w:shd w:val="clear" w:color="auto" w:fill="FFFFFF"/>
          <w:lang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 xml:space="preserve">**, </w:t>
      </w:r>
      <w:r>
        <w:rPr>
          <w:rFonts w:hint="default" w:ascii="Times New Roman" w:hAnsi="Times New Roman" w:cs="Times New Roman"/>
          <w:i/>
          <w:sz w:val="24"/>
          <w:szCs w:val="24"/>
          <w:highlight w:val="none"/>
        </w:rPr>
        <w:t>P</w:t>
      </w:r>
      <w:r>
        <w:rPr>
          <w:rFonts w:hint="default" w:ascii="Times New Roman" w:hAnsi="Times New Roman" w:cs="Times New Roman"/>
          <w:sz w:val="24"/>
          <w:szCs w:val="24"/>
          <w:highlight w:val="none"/>
        </w:rPr>
        <w:t>&lt;0.01.</w:t>
      </w:r>
    </w:p>
    <w:p>
      <w:pPr>
        <w:rPr>
          <w:rFonts w:hint="default" w:cs="Times New Roman"/>
          <w:sz w:val="21"/>
          <w:szCs w:val="18"/>
          <w:highlight w:val="none"/>
          <w:lang w:eastAsia="zh-CN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A0204"/>
    <w:charset w:val="00"/>
    <w:family w:val="roman"/>
    <w:pitch w:val="default"/>
    <w:sig w:usb0="E00002FF" w:usb1="4000045F" w:usb2="00000000" w:usb3="00000000" w:csb0="200001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C0601A"/>
    <w:multiLevelType w:val="multilevel"/>
    <w:tmpl w:val="1EC0601A"/>
    <w:lvl w:ilvl="0" w:tentative="0">
      <w:start w:val="1"/>
      <w:numFmt w:val="decimal"/>
      <w:pStyle w:val="2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 w:tentative="0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 w:tentative="0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1">
    <w:nsid w:val="225305B5"/>
    <w:multiLevelType w:val="multilevel"/>
    <w:tmpl w:val="225305B5"/>
    <w:lvl w:ilvl="0" w:tentative="0">
      <w:start w:val="1"/>
      <w:numFmt w:val="bullet"/>
      <w:pStyle w:val="3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DD3905"/>
    <w:rsid w:val="07A67CEE"/>
    <w:rsid w:val="090470B4"/>
    <w:rsid w:val="09824284"/>
    <w:rsid w:val="0CCA58BE"/>
    <w:rsid w:val="0D12757D"/>
    <w:rsid w:val="102C7615"/>
    <w:rsid w:val="11B331FB"/>
    <w:rsid w:val="1976071E"/>
    <w:rsid w:val="1B9B4505"/>
    <w:rsid w:val="1BAE2ACB"/>
    <w:rsid w:val="1C184AE2"/>
    <w:rsid w:val="208463DF"/>
    <w:rsid w:val="29191756"/>
    <w:rsid w:val="2A120463"/>
    <w:rsid w:val="2CAA5BBF"/>
    <w:rsid w:val="2D0F6B01"/>
    <w:rsid w:val="2DB17694"/>
    <w:rsid w:val="33915A2B"/>
    <w:rsid w:val="35681AD1"/>
    <w:rsid w:val="36A26F5D"/>
    <w:rsid w:val="37744459"/>
    <w:rsid w:val="383B3893"/>
    <w:rsid w:val="3C983556"/>
    <w:rsid w:val="45541132"/>
    <w:rsid w:val="486D5951"/>
    <w:rsid w:val="496A7128"/>
    <w:rsid w:val="4C465DC0"/>
    <w:rsid w:val="52397075"/>
    <w:rsid w:val="530D0BA2"/>
    <w:rsid w:val="55466588"/>
    <w:rsid w:val="559F7FB5"/>
    <w:rsid w:val="573C75F2"/>
    <w:rsid w:val="5D213AD4"/>
    <w:rsid w:val="67C45B0A"/>
    <w:rsid w:val="6A313AF6"/>
    <w:rsid w:val="6CD42D3A"/>
    <w:rsid w:val="6F434CD5"/>
    <w:rsid w:val="71A76913"/>
    <w:rsid w:val="74342EF5"/>
    <w:rsid w:val="758D37CE"/>
    <w:rsid w:val="7F036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2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3"/>
    <w:next w:val="1"/>
    <w:qFormat/>
    <w:uiPriority w:val="2"/>
    <w:pPr>
      <w:numPr>
        <w:ilvl w:val="0"/>
        <w:numId w:val="1"/>
      </w:numPr>
      <w:spacing w:before="240"/>
      <w:contextualSpacing w:val="0"/>
      <w:outlineLvl w:val="0"/>
    </w:pPr>
    <w:rPr>
      <w:b/>
    </w:rPr>
  </w:style>
  <w:style w:type="paragraph" w:styleId="4">
    <w:name w:val="heading 4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List Paragraph"/>
    <w:basedOn w:val="1"/>
    <w:qFormat/>
    <w:uiPriority w:val="3"/>
    <w:pPr>
      <w:numPr>
        <w:ilvl w:val="0"/>
        <w:numId w:val="2"/>
      </w:numPr>
      <w:contextualSpacing/>
    </w:pPr>
    <w:rPr>
      <w:rFonts w:eastAsia="Cambria" w:cs="Times New Roman"/>
      <w:szCs w:val="24"/>
    </w:rPr>
  </w:style>
  <w:style w:type="character" w:styleId="7">
    <w:name w:val="Hyperlink"/>
    <w:basedOn w:val="5"/>
    <w:unhideWhenUsed/>
    <w:qFormat/>
    <w:uiPriority w:val="99"/>
    <w:rPr>
      <w:color w:val="0000FF"/>
      <w:u w:val="single"/>
    </w:rPr>
  </w:style>
  <w:style w:type="paragraph" w:styleId="8">
    <w:name w:val="Subtitle"/>
    <w:basedOn w:val="1"/>
    <w:next w:val="1"/>
    <w:qFormat/>
    <w:uiPriority w:val="0"/>
    <w:pPr>
      <w:spacing w:before="240" w:after="240" w:line="480" w:lineRule="auto"/>
      <w:outlineLvl w:val="1"/>
    </w:pPr>
    <w:rPr>
      <w:rFonts w:ascii="Times New Roman" w:hAnsi="Times New Roman" w:eastAsia="Arial" w:cs="Times New Roman"/>
      <w:b/>
      <w:bCs/>
      <w:kern w:val="28"/>
      <w:sz w:val="24"/>
      <w:szCs w:val="21"/>
      <w:shd w:val="clear" w:color="auto" w:fill="FFFFFF"/>
    </w:rPr>
  </w:style>
  <w:style w:type="table" w:styleId="9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Title"/>
    <w:basedOn w:val="3"/>
    <w:next w:val="1"/>
    <w:qFormat/>
    <w:uiPriority w:val="0"/>
    <w:pPr>
      <w:suppressLineNumbers/>
      <w:spacing w:before="240" w:after="360"/>
      <w:jc w:val="center"/>
    </w:pPr>
    <w:rPr>
      <w:b/>
      <w:sz w:val="32"/>
      <w:szCs w:val="32"/>
    </w:rPr>
  </w:style>
  <w:style w:type="paragraph" w:customStyle="1" w:styleId="11">
    <w:name w:val="Supplementary Material"/>
    <w:basedOn w:val="10"/>
    <w:next w:val="10"/>
    <w:qFormat/>
    <w:uiPriority w:val="0"/>
    <w:pPr>
      <w:spacing w:before="360" w:after="240"/>
    </w:pPr>
    <w:rPr>
      <w:i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2023-03-31T01:18:00Z</dcterms:created>
  <dc:creator>Administrator</dc:creator>
  <cp:lastModifiedBy>Xiao-Man Liu</cp:lastModifiedBy>
  <dcterms:modified xsi:type="dcterms:W3CDTF">2023-06-27T11:41:47Z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152DAA136E2F49C5ACF04EADCEE44EEC</vt:lpwstr>
  </property>
</Properties>
</file>