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10690225" cy="807085"/>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pict>
          <v:shape id="Text Box 6" o:spid="_x0000_s1027" o:spt="202" type="#_x0000_t202" style="position:absolute;left:0pt;margin-left:187.95pt;margin-top:15.9pt;height:42.8pt;width:477.9pt;mso-position-horizontal-relative:page;mso-position-vertical-relative:page;z-index:251661312;mso-width-relative:margin;mso-height-relative:margin;"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">
            <v:path/>
            <v:fill on="f" focussize="0,0"/>
            <v:stroke on="f" weight="0.5pt" joinstyle="miter"/>
            <v:imagedata o:title=""/>
            <o:lock v:ext="edit" text="t" aspectratio="t"/>
            <v:textbox>
              <w:txbxContent>
                <w:p>
                  <w:pPr>
                    <w:rPr>
                      <w:rFonts w:ascii="Roboto" w:hAnsi="Roboto"/>
                      <w:color w:val="0F2B46"/>
                      <w:sz w:val="28"/>
                      <w:lang w:val="en-US"/>
                    </w:rPr>
                  </w:pPr>
                  <w:r>
                    <w:rPr>
                      <w:rFonts w:ascii="Roboto" w:hAnsi="Roboto"/>
                      <w:color w:val="0F2B46"/>
                      <w:sz w:val="20"/>
                      <w:lang w:val="en-US"/>
                    </w:rPr>
                    <w:t>Subscribe to DeepL Pro to edit this document.</w:t>
                  </w:r>
                  <w:r>
                    <w:br w:type="textWrapping"/>
                  </w:r>
                  <w:r>
                    <w:rPr>
                      <w:rFonts w:ascii="Roboto" w:hAnsi="Roboto"/>
                      <w:color w:val="0F2B46"/>
                      <w:sz w:val="20"/>
                    </w:rPr>
                    <w:t xml:space="preserve">Visit </w:t>
                  </w:r>
                  <w:r>
                    <w:fldChar w:fldCharType="begin"/>
                  </w:r>
                  <w:r>
                    <w:instrText xml:space="preserve"> HYPERLINK "https://www.deepl.com/pro?cta=edit-document" \h </w:instrText>
                  </w:r>
                  <w:r>
                    <w:fldChar w:fldCharType="separate"/>
                  </w:r>
                  <w:r>
                    <w:rPr>
                      <w:rFonts w:ascii="Roboto" w:hAnsi="Roboto"/>
                      <w:color w:val="006494"/>
                      <w:sz w:val="20"/>
                    </w:rPr>
                    <w:t>www.DeepL.com/pro</w:t>
                  </w:r>
                  <w:r>
                    <w:rPr>
                      <w:rFonts w:ascii="Roboto" w:hAnsi="Roboto"/>
                      <w:color w:val="006494"/>
                      <w:sz w:val="20"/>
                    </w:rPr>
                    <w:fldChar w:fldCharType="end"/>
                  </w:r>
                  <w:r>
                    <w:rPr>
                      <w:rFonts w:ascii="Roboto" w:hAnsi="Roboto"/>
                      <w:color w:val="0F2B46"/>
                      <w:sz w:val="20"/>
                    </w:rPr>
                    <w:t xml:space="preserve"> for more information.</w:t>
                  </w:r>
                </w:p>
              </w:txbxContent>
            </v:textbox>
          </v:shape>
        </w:pict>
      </w:r>
      <w:r>
        <w:pict>
          <v:shape id="DeepLBoxSPIDType" o:spid="_x0000_s1026" o:spt="202" type="#_x0000_t202" style="position:absolute;left:0pt;margin-left:0pt;margin-top:0pt;height:50pt;width:50pt;visibility:hidden;z-index:251660288;mso-width-relative:page;mso-height-relative:page;" coordsize="21600,21600">
            <v:path/>
            <v:fill focussize="0,0"/>
            <v:stroke joinstyle="miter"/>
            <v:imagedata o:title=""/>
            <o:lock v:ext="edit" selection="t"/>
          </v:shape>
        </w:pict>
      </w:r>
    </w:p>
    <w:p>
      <w:pPr>
        <w:jc w:val="center"/>
        <w:rPr>
          <w:rFonts w:hint="eastAsia"/>
          <w:b/>
          <w:bCs/>
          <w:sz w:val="28"/>
          <w:szCs w:val="28"/>
        </w:rPr>
      </w:pPr>
      <w:r>
        <w:rPr>
          <w:rFonts w:hint="eastAsia"/>
          <w:b/>
          <w:bCs/>
          <w:sz w:val="28"/>
          <w:szCs w:val="28"/>
        </w:rPr>
        <w:t>Clinical Trial Study Proposal</w:t>
      </w:r>
    </w:p>
    <w:p>
      <w:pPr>
        <w:rPr>
          <w:rFonts w:hint="eastAsia"/>
        </w:rPr>
      </w:pPr>
      <w:r>
        <w:rPr>
          <w:rFonts w:hint="eastAsia"/>
        </w:rPr>
        <w:t>The content of this study plan is based on the study planning guidelines for interventional randomized controlled trials recommended by the SPIRIT Working Group, adapted to the different requirements of a variety of different clinical trials. Investigators are required to make appropriate adjustments according to the characteristics and needs of their respective studies.</w:t>
      </w:r>
    </w:p>
    <w:p>
      <w:pPr>
        <w:rPr>
          <w:rFonts w:hint="eastAsia"/>
        </w:rPr>
      </w:pPr>
      <w:r>
        <w:rPr>
          <w:rFonts w:hint="eastAsia"/>
        </w:rPr>
        <w:t>1. Affirmation of good faith</w:t>
      </w:r>
    </w:p>
    <w:p>
      <w:pPr>
        <w:rPr>
          <w:rFonts w:hint="eastAsia"/>
        </w:rPr>
      </w:pPr>
      <w:r>
        <w:rPr>
          <w:rFonts w:hint="eastAsia"/>
        </w:rPr>
        <w:t>The study guarantees that the operations were carried out in strict accordance with the test protocol and the authenticity of the data records, and there is no conflict of interest in this study.</w:t>
      </w:r>
    </w:p>
    <w:p>
      <w:pPr>
        <w:rPr>
          <w:rFonts w:hint="eastAsia"/>
        </w:rPr>
      </w:pPr>
      <w:r>
        <w:rPr>
          <w:rFonts w:hint="eastAsia"/>
        </w:rPr>
        <w:t>This includes two aspects: (1) assurance that the operation is in strict accordance with the test protocol and the authenticity of the data records; and (2) a truthful statement of whether there is a conflict of interest.</w:t>
      </w:r>
    </w:p>
    <w:p>
      <w:pPr>
        <w:rPr>
          <w:rFonts w:hint="eastAsia"/>
        </w:rPr>
      </w:pPr>
      <w:r>
        <w:rPr>
          <w:rFonts w:hint="eastAsia"/>
        </w:rPr>
        <w:t>2. Research topics</w:t>
      </w:r>
    </w:p>
    <w:p>
      <w:pPr>
        <w:rPr>
          <w:rFonts w:hint="eastAsia"/>
        </w:rPr>
      </w:pPr>
      <w:r>
        <w:rPr>
          <w:rFonts w:hint="eastAsia"/>
        </w:rPr>
        <w:t>Effect of dexmedetomidine on intraoperative sensory evoked potential monitoring in cervical spine surgery under total intravenous anesthesia: a randomized controlled trial</w:t>
      </w:r>
    </w:p>
    <w:p>
      <w:pPr>
        <w:rPr>
          <w:rFonts w:hint="eastAsia"/>
        </w:rPr>
      </w:pPr>
      <w:r>
        <w:rPr>
          <w:rFonts w:hint="eastAsia"/>
        </w:rPr>
        <w:t>The title of the study should accurately reflect the purpose of the study and be concise and in line with the PICOS structure, i.e., Disease or Study Subject, Treatment, Control Method, Outcome or Purpose of the Study, and Type of Study or Design (participants, intervention, control, outcome, study).</w:t>
      </w:r>
    </w:p>
    <w:p>
      <w:pPr>
        <w:rPr>
          <w:rFonts w:hint="eastAsia"/>
        </w:rPr>
      </w:pPr>
      <w:r>
        <w:rPr>
          <w:rFonts w:hint="eastAsia"/>
        </w:rPr>
        <w:t>3. Research proposal version number</w:t>
      </w:r>
    </w:p>
    <w:p>
      <w:pPr>
        <w:rPr>
          <w:rFonts w:hint="eastAsia"/>
        </w:rPr>
      </w:pPr>
      <w:r>
        <w:rPr>
          <w:rFonts w:hint="eastAsia"/>
        </w:rPr>
        <w:t>v1.0</w:t>
      </w:r>
    </w:p>
    <w:p>
      <w:pPr>
        <w:rPr>
          <w:rFonts w:hint="eastAsia"/>
        </w:rPr>
      </w:pPr>
      <w:r>
        <w:rPr>
          <w:rFonts w:hint="eastAsia"/>
        </w:rPr>
        <w:t>4. Sources of funding</w:t>
      </w:r>
    </w:p>
    <w:p>
      <w:pPr>
        <w:rPr>
          <w:rFonts w:hint="eastAsia"/>
        </w:rPr>
      </w:pPr>
      <w:r>
        <w:rPr>
          <w:rFonts w:hint="eastAsia"/>
        </w:rPr>
        <w:t>self-finance</w:t>
      </w:r>
    </w:p>
    <w:p>
      <w:pPr>
        <w:rPr>
          <w:rFonts w:hint="eastAsia"/>
        </w:rPr>
      </w:pPr>
      <w:r>
        <w:rPr>
          <w:rFonts w:hint="eastAsia"/>
        </w:rPr>
        <w:t>5. Flowchart (table) for the execution of research matters, with SPIRIT template</w:t>
      </w:r>
    </w:p>
    <w:p>
      <w:pPr>
        <w:rPr>
          <w:rFonts w:hint="eastAsia"/>
        </w:rPr>
      </w:pPr>
    </w:p>
    <w:p>
      <w:pPr>
        <w:rPr>
          <w:rFonts w:hint="eastAsia"/>
        </w:rPr>
      </w:pPr>
      <w:r>
        <w:rPr>
          <w:rFonts w:hint="eastAsia"/>
        </w:rPr>
        <w:t>March 30, 2019 to December 30, 2020</w:t>
      </w:r>
      <w:r>
        <w:rPr>
          <w:rFonts w:hint="eastAsia"/>
          <w:lang w:val="en-US" w:eastAsia="zh-CN"/>
        </w:rPr>
        <w:t xml:space="preserve"> </w:t>
      </w:r>
      <w:bookmarkStart w:id="0" w:name="_GoBack"/>
      <w:bookmarkEnd w:id="0"/>
      <w:r>
        <w:rPr>
          <w:rFonts w:hint="eastAsia"/>
        </w:rPr>
        <w:t>Enrollment of patients and collection of clinical data</w:t>
      </w:r>
    </w:p>
    <w:p>
      <w:pPr>
        <w:rPr>
          <w:rFonts w:hint="eastAsia"/>
        </w:rPr>
      </w:pPr>
    </w:p>
    <w:p>
      <w:pPr>
        <w:rPr>
          <w:rFonts w:hint="eastAsia"/>
        </w:rPr>
      </w:pPr>
      <w:r>
        <w:rPr>
          <w:rFonts w:hint="eastAsia"/>
        </w:rPr>
        <w:t>January 1, 2021 to March 1, 2021 Analyze data and write paper</w:t>
      </w:r>
    </w:p>
    <w:p>
      <w:pPr>
        <w:rPr>
          <w:rFonts w:hint="eastAsia"/>
        </w:rPr>
      </w:pPr>
    </w:p>
    <w:p>
      <w:pPr>
        <w:rPr>
          <w:rFonts w:hint="eastAsia"/>
        </w:rPr>
      </w:pPr>
      <w:r>
        <w:rPr>
          <w:rFonts w:hint="eastAsia"/>
        </w:rPr>
        <w:t>Organize the various things to be done at various points in the study</w:t>
      </w:r>
    </w:p>
    <w:p>
      <w:pPr>
        <w:rPr>
          <w:rFonts w:hint="eastAsia"/>
        </w:rPr>
      </w:pPr>
      <w:r>
        <w:rPr>
          <w:rFonts w:hint="eastAsia"/>
        </w:rPr>
        <w:t>6. Background of the study</w:t>
      </w:r>
    </w:p>
    <w:p>
      <w:pPr>
        <w:rPr>
          <w:rFonts w:hint="eastAsia"/>
        </w:rPr>
      </w:pPr>
      <w:r>
        <w:rPr>
          <w:rFonts w:hint="eastAsia"/>
        </w:rPr>
        <w:t>Somatosensory evoked potential (SEP) refers to the stimulation of sensory nerve fibers in the skin or peripheral nerves, which generates action potentials along the nerve endings, plexuses, sensory nerve roots, and pseudo-unipolar cell bodies in the dorsal root ganglion, and spinal cord, and conducts along the sensory conduction pathways or sensory cortex in the brain.</w:t>
      </w:r>
    </w:p>
    <w:p>
      <w:pPr>
        <w:rPr>
          <w:rFonts w:hint="eastAsia"/>
        </w:rPr>
      </w:pPr>
      <w:r>
        <w:rPr>
          <w:rFonts w:hint="eastAsia"/>
        </w:rPr>
        <w:t>The action potentials recorded on the corresponding scalp of the projection area reflect the functional status of the upward sensory conduction pathway of the spinal cord, which mainly monitors the sensory nerve conduction pathway of the posterior fasciculus of the spinal cord, especially the dorsal column-medial thalamus pathway. Common cervical spine diseases include degenerative cervical spondylosis, cervical spine trauma and cervical spinal cord tumor. Degenerative cervical spondylosis is a common and frequent disease in clinical practice, and with the emergence of "low-head people" and the aging of society, cervical spondylosis may occur in all age groups. Cervical spine joint instability caused by long-term strain injury, degeneration caused by osteophytes, or cervical disc herniation, etc. These pathological factors lead to compression of the spinal cord or nerve roots, blood vessels, and ultimately lead to cervical spondylosis. Most patients with cervical spondylosis suffer from severe and extensive neurological damage, resulting in a lower quality of life and a high disability rate. Surgery is the treatment of choice for many patients with cervical spondylosis. Cervical spine surgery, due to the complexity of the anatomical structure of the neck, involves a wide range of easy to cause a lot of complications, such as soft tissue damage, loss of fixation, adjacent segment degeneration, dysphagia, pharyngeal perforation, pharyngeal polyps, etc., and even during the operation of the spinal cord backward displacement, swelling, the occurrence of neuromedullary injuries and other complications, which is not conducive to the recovery of the patient's spinal cord and neurological function after the operation. In addition, tracheal intubation, positioning, spinal decompression and other processes can also lead to secondary damage to the cervical spine, resulting in medical injury. Intraoperative monitoring of SEP in cervical spine surgery can provide timely feedback to surgeons, anesthesiologists, and evoked potential monitoring technicians on the changes in spinal cord nerve function, thus guiding appropriate interventions, avoiding medical-originated spinal cord nerve injuries, and reducing perioperative complications. Currently, the effects of dexmedetomidine, an α2-adrenergic agonist, on evoked potentials in the brain and spinal cord are still unclear. Therefore, the present study was conducted to observe the effects of dexmedetomidine on intraoperative sensory evoked potentials during cervical spine surgery under general intravenous anesthesia for clinical reference.</w:t>
      </w:r>
    </w:p>
    <w:p>
      <w:pPr>
        <w:rPr>
          <w:rFonts w:hint="eastAsia"/>
        </w:rPr>
      </w:pPr>
    </w:p>
    <w:p>
      <w:pPr>
        <w:rPr>
          <w:rFonts w:hint="eastAsia"/>
        </w:rPr>
      </w:pPr>
      <w:r>
        <w:rPr>
          <w:rFonts w:hint="eastAsia"/>
        </w:rPr>
        <w:t>A four-part structure can usually be used: (1) an overview of the health problem or research question: definition of the health problem, epidemiologic information, etiology, natural history of the disease, burden of disease, etc.; (2) the scientific hypothesis: the mechanism or rationale; (3) the clinical application, e.g., a treatment study would need to describe the method of treatment; and (4) the need for the study the current evidence available and a statement as to why the present study is needed.</w:t>
      </w:r>
    </w:p>
    <w:p>
      <w:pPr>
        <w:rPr>
          <w:rFonts w:hint="eastAsia"/>
        </w:rPr>
      </w:pPr>
      <w:r>
        <w:rPr>
          <w:rFonts w:hint="eastAsia"/>
        </w:rPr>
        <w:t>7. Purpose of the study</w:t>
      </w:r>
    </w:p>
    <w:p>
      <w:pPr>
        <w:rPr>
          <w:rFonts w:hint="eastAsia"/>
        </w:rPr>
      </w:pPr>
      <w:r>
        <w:rPr>
          <w:rFonts w:hint="eastAsia"/>
        </w:rPr>
        <w:t>The present study was designed to observe the effects of dexmedetomidine on intraoperative sensory evoked potentials in cervical spine surgery under general intravenous anesthesia, and to provide clinical reference.</w:t>
      </w:r>
    </w:p>
    <w:p>
      <w:pPr>
        <w:rPr>
          <w:rFonts w:hint="eastAsia"/>
        </w:rPr>
      </w:pPr>
      <w:r>
        <w:rPr>
          <w:rFonts w:hint="eastAsia"/>
        </w:rPr>
        <w:t>8. Inclusion and exclusion criteria</w:t>
      </w:r>
    </w:p>
    <w:p>
      <w:pPr>
        <w:rPr>
          <w:rFonts w:hint="eastAsia"/>
        </w:rPr>
      </w:pPr>
      <w:r>
        <w:rPr>
          <w:rFonts w:hint="eastAsia"/>
        </w:rPr>
        <w:t>Inclusion Criteria ① Patients with cervical spondylosis who underwent anterior cervical decompression and fusion surgery.</w:t>
      </w:r>
    </w:p>
    <w:p>
      <w:pPr>
        <w:rPr>
          <w:rFonts w:hint="eastAsia"/>
        </w:rPr>
      </w:pPr>
      <w:r>
        <w:rPr>
          <w:rFonts w:hint="eastAsia"/>
        </w:rPr>
        <w:t>② ASA classification I~III.</w:t>
      </w:r>
    </w:p>
    <w:p>
      <w:pPr>
        <w:rPr>
          <w:rFonts w:hint="eastAsia"/>
        </w:rPr>
      </w:pPr>
      <w:r>
        <w:rPr>
          <w:rFonts w:hint="eastAsia"/>
        </w:rPr>
        <w:t>③ Age 18~65 years old, gender is not limited.</w:t>
      </w:r>
    </w:p>
    <w:p>
      <w:pPr>
        <w:rPr>
          <w:rFonts w:hint="eastAsia"/>
        </w:rPr>
      </w:pPr>
      <w:r>
        <w:rPr>
          <w:rFonts w:hint="eastAsia"/>
        </w:rPr>
        <w:t>④ Body mass index 18.5-23.9 kg/m2.</w:t>
      </w:r>
    </w:p>
    <w:p>
      <w:pPr>
        <w:rPr>
          <w:rFonts w:hint="eastAsia"/>
        </w:rPr>
      </w:pPr>
      <w:r>
        <w:rPr>
          <w:rFonts w:hint="eastAsia"/>
        </w:rPr>
        <w:t>Exclusion criteria</w:t>
      </w:r>
    </w:p>
    <w:p>
      <w:pPr>
        <w:rPr>
          <w:rFonts w:hint="eastAsia"/>
        </w:rPr>
      </w:pPr>
      <w:r>
        <w:rPr>
          <w:rFonts w:hint="eastAsia"/>
        </w:rPr>
        <w:t>① Patients with craniocerebral trauma.</w:t>
      </w:r>
    </w:p>
    <w:p>
      <w:pPr>
        <w:rPr>
          <w:rFonts w:hint="eastAsia"/>
        </w:rPr>
      </w:pPr>
      <w:r>
        <w:rPr>
          <w:rFonts w:hint="eastAsia"/>
        </w:rPr>
        <w:t>② Patients suffering from diabetes; and</w:t>
      </w:r>
    </w:p>
    <w:p>
      <w:pPr>
        <w:rPr>
          <w:rFonts w:hint="eastAsia"/>
        </w:rPr>
      </w:pPr>
      <w:r>
        <w:rPr>
          <w:rFonts w:hint="eastAsia"/>
        </w:rPr>
        <w:t>(iii) Patients with preoperative electrocardiograms suggestive of atrioventricular block and/or sinus bradycardia.</w:t>
      </w:r>
    </w:p>
    <w:p>
      <w:pPr>
        <w:rPr>
          <w:rFonts w:hint="eastAsia"/>
        </w:rPr>
      </w:pPr>
      <w:r>
        <w:rPr>
          <w:rFonts w:hint="eastAsia"/>
        </w:rPr>
        <w:t>④ Patients with preoperative anemia; and</w:t>
      </w:r>
    </w:p>
    <w:p>
      <w:pPr>
        <w:rPr>
          <w:rFonts w:hint="eastAsia"/>
        </w:rPr>
      </w:pPr>
      <w:r>
        <w:rPr>
          <w:rFonts w:hint="eastAsia"/>
        </w:rPr>
        <w:t>⑤ Patients who are allergic to dexmedetomidine.</w:t>
      </w:r>
    </w:p>
    <w:p>
      <w:pPr>
        <w:rPr>
          <w:rFonts w:hint="eastAsia"/>
        </w:rPr>
      </w:pPr>
      <w:r>
        <w:rPr>
          <w:rFonts w:hint="eastAsia"/>
        </w:rPr>
        <w:t>Inclusion criteria are defining the subject of the study and determining the representativeness of the study population; exclusion criteria are defining the individuals in the subject of the study who may influence the study and determining the homogeneity of the study population.</w:t>
      </w:r>
    </w:p>
    <w:p>
      <w:pPr>
        <w:rPr>
          <w:rFonts w:hint="eastAsia"/>
        </w:rPr>
      </w:pPr>
      <w:r>
        <w:rPr>
          <w:rFonts w:hint="eastAsia"/>
        </w:rPr>
        <w:t>9. Design plan, design pattern diagram with SPIRIT template</w:t>
      </w:r>
    </w:p>
    <w:p>
      <w:pPr>
        <w:rPr>
          <w:rFonts w:hint="eastAsia"/>
        </w:rPr>
      </w:pPr>
      <w:r>
        <w:rPr>
          <w:rFonts w:hint="eastAsia"/>
        </w:rPr>
        <w:t>Randomized controlled trial, parallel design</w:t>
      </w:r>
    </w:p>
    <w:p>
      <w:pPr>
        <w:rPr>
          <w:rFonts w:hint="eastAsia"/>
        </w:rPr>
      </w:pPr>
      <w:r>
        <w:rPr>
          <w:rFonts w:hint="eastAsia"/>
        </w:rPr>
        <w:t>10. Sample size estimation</w:t>
      </w:r>
    </w:p>
    <w:p>
      <w:pPr>
        <w:rPr>
          <w:rFonts w:hint="eastAsia"/>
        </w:rPr>
      </w:pPr>
      <w:r>
        <w:rPr>
          <w:rFonts w:hint="eastAsia"/>
        </w:rPr>
        <w:t>The present study was a randomized controlled trial,the wave amplitude of SEP was the main index to observe the outcome.According to the review of the literature and the pre-test it was observed that the mean of the wave amplitude in the control group was 1.70 with a standard deviation of 0.19.It was predicted that the wave amplitude would decrease by 0.18 after the administration of dexmedetomidine.Assuming a bilateral α= 0.05 and an efficacy of 0.8,according to the sample size calculation equation</w:t>
      </w:r>
    </w:p>
    <w:p>
      <w:pPr>
        <w:rPr>
          <w:rFonts w:hint="eastAsia"/>
        </w:rPr>
      </w:pPr>
      <w:r>
        <w:rPr>
          <w:rFonts w:hint="eastAsia"/>
        </w:rPr>
        <w:t>N = Z2 × p × (1-p) / d2</w:t>
      </w:r>
    </w:p>
    <w:p>
      <w:pPr>
        <w:rPr>
          <w:rFonts w:hint="eastAsia"/>
        </w:rPr>
      </w:pPr>
    </w:p>
    <w:p>
      <w:pPr>
        <w:rPr>
          <w:rFonts w:hint="eastAsia"/>
        </w:rPr>
      </w:pPr>
      <w:r>
        <w:rPr>
          <w:rFonts w:hint="eastAsia"/>
        </w:rPr>
        <w:t>The required sample size of 17 cases was calculated for each of Groups D and C for the study subjects. Considering the shedding rate of 15%, the number of cases in each group was set at 20.</w:t>
      </w:r>
    </w:p>
    <w:p>
      <w:pPr>
        <w:rPr>
          <w:rFonts w:hint="eastAsia"/>
        </w:rPr>
      </w:pPr>
      <w:r>
        <w:rPr>
          <w:rFonts w:hint="eastAsia"/>
        </w:rPr>
        <w:t>The four elements δ(Δ) or π1, π2, α, β, or Power need to be listed, and the formula can be written out</w:t>
      </w:r>
    </w:p>
    <w:p>
      <w:pPr>
        <w:rPr>
          <w:rFonts w:hint="eastAsia"/>
        </w:rPr>
      </w:pPr>
      <w:r>
        <w:rPr>
          <w:rFonts w:hint="eastAsia"/>
        </w:rPr>
        <w:t>11. Random and hidden grouping methods</w:t>
      </w:r>
    </w:p>
    <w:p>
      <w:pPr>
        <w:rPr>
          <w:rFonts w:hint="eastAsia"/>
        </w:rPr>
      </w:pPr>
      <w:r>
        <w:rPr>
          <w:rFonts w:hint="eastAsia"/>
        </w:rPr>
        <w:t>A computer program was used to generate pseudo-random numbers for simple grouping, and the random numbers were sorted according to the order of smallest to largest (or largest to smallest), and then the corresponding number of samples was selected in sequence and assigned to the two groups according to the pre-determined size of the sample size of each treatment group.</w:t>
      </w:r>
    </w:p>
    <w:p>
      <w:pPr>
        <w:rPr>
          <w:rFonts w:hint="eastAsia"/>
        </w:rPr>
      </w:pPr>
      <w:r>
        <w:rPr>
          <w:rFonts w:hint="eastAsia"/>
        </w:rPr>
        <w:t>Randomization is done to reduce the risk of selective bias. Methods of generating random number sequences (RNS) such as: computer software, random number tables, semi-random or pseudo-random methods (single and double numbers for dates, birthdays, or order of visits). Describe the people and methods that generate random number sequences. \n Concealed grouping methods: concealed grouping is used in treatment studies to reduce the risk of selective bias; the key is three grouping components (a person determines the grouping sequence (allocation sequence), that person does not take part in the inclusion of cases, and strict maintenance of the allocation table), which need to be described in detail; central randomization is an adequate method of concealed grouping. Please describe the person and method for determining the allocation sequence.</w:t>
      </w:r>
    </w:p>
    <w:p>
      <w:pPr>
        <w:rPr>
          <w:rFonts w:hint="eastAsia"/>
        </w:rPr>
      </w:pPr>
      <w:r>
        <w:rPr>
          <w:rFonts w:hint="eastAsia"/>
        </w:rPr>
        <w:t>12. Blinding</w:t>
      </w:r>
    </w:p>
    <w:p>
      <w:pPr>
        <w:rPr>
          <w:rFonts w:hint="eastAsia"/>
        </w:rPr>
      </w:pPr>
      <w:r>
        <w:rPr>
          <w:rFonts w:hint="eastAsia"/>
        </w:rPr>
        <w:t>not have</w:t>
      </w:r>
    </w:p>
    <w:p>
      <w:pPr>
        <w:rPr>
          <w:rFonts w:hint="eastAsia"/>
        </w:rPr>
      </w:pPr>
      <w:r>
        <w:rPr>
          <w:rFonts w:hint="eastAsia"/>
        </w:rPr>
        <w:t>Blinding of therapeutic studies and diagnostic trials is used to reduce the risk of implementation bias and measurement bias; the use of simulants or simulated manipulations with strict confidentiality during the conduct of the study is a more effective method of blinding. If your study is a therapeutic study or diagnostic trial and there is a need and feasibility for blinding, please describe the methodology and process for blinding.</w:t>
      </w:r>
    </w:p>
    <w:p>
      <w:pPr>
        <w:rPr>
          <w:rFonts w:hint="eastAsia"/>
        </w:rPr>
      </w:pPr>
      <w:r>
        <w:rPr>
          <w:rFonts w:hint="eastAsia"/>
        </w:rPr>
        <w:t>13. Measurement indicators</w:t>
      </w:r>
    </w:p>
    <w:p>
      <w:pPr>
        <w:rPr>
          <w:rFonts w:hint="eastAsia"/>
        </w:rPr>
      </w:pPr>
      <w:r>
        <w:rPr>
          <w:rFonts w:hint="eastAsia"/>
        </w:rPr>
        <w:t>General data of the two groups were recorded, including age, BMI, ASA classification, fluid intake, urine output, bleeding, operation time, operation segment and operation style.</w:t>
      </w:r>
    </w:p>
    <w:p>
      <w:pPr>
        <w:rPr>
          <w:rFonts w:hint="eastAsia"/>
        </w:rPr>
      </w:pPr>
      <w:r>
        <w:rPr>
          <w:rFonts w:hint="eastAsia"/>
        </w:rPr>
        <w:t>(ii) Record the preoperative and postoperative HCT counts in both groups; record the amount of intraoperative propofol and remifentanil used in both groups.</w:t>
      </w:r>
    </w:p>
    <w:p>
      <w:pPr>
        <w:rPr>
          <w:rFonts w:hint="eastAsia"/>
        </w:rPr>
      </w:pPr>
      <w:r>
        <w:rPr>
          <w:rFonts w:hint="eastAsia"/>
        </w:rPr>
        <w:t>(iii) The N13-P15 and N45-P37 wave amplitudes with N13, P15, N45 and P37 latencies of SEP and HR were recorded at seven time points, namely, when the patients were awake ( T0), at the end of loading-dose pumping (T1), after induction of anesthesia (T2), after intubation (T3), after posturing (T4), during decompression of the spinal canal (T5), and at the time of insertion of interbody fusion device (T6) in both groups, MAP, T, and BIS values.</w:t>
      </w:r>
    </w:p>
    <w:p>
      <w:pPr>
        <w:rPr>
          <w:rFonts w:hint="eastAsia"/>
        </w:rPr>
      </w:pPr>
      <w:r>
        <w:rPr>
          <w:rFonts w:hint="eastAsia"/>
        </w:rPr>
        <w:t>④ The number of cases of bradycardia, tachycardia, intraoperative hypotension, and intraoperative hypertension were recorded in both groups.</w:t>
      </w:r>
    </w:p>
    <w:p>
      <w:pPr>
        <w:rPr>
          <w:rFonts w:hint="eastAsia"/>
        </w:rPr>
      </w:pPr>
    </w:p>
    <w:p>
      <w:pPr>
        <w:rPr>
          <w:rFonts w:hint="eastAsia"/>
        </w:rPr>
      </w:pPr>
      <w:r>
        <w:rPr>
          <w:rFonts w:hint="eastAsia"/>
        </w:rPr>
        <w:t>Measurement metrics are used to assess the results of the study and are categorized as primary, secondary, and safety metrics, including adverse events, and adverse reactions. Please describe the name of the indicator, the method of measurement and the time point of measurement.</w:t>
      </w:r>
    </w:p>
    <w:p>
      <w:pPr>
        <w:rPr>
          <w:rFonts w:hint="eastAsia"/>
        </w:rPr>
      </w:pPr>
      <w:r>
        <w:rPr>
          <w:rFonts w:hint="eastAsia"/>
        </w:rPr>
        <w:t>14. Definition of participant validity determination</w:t>
      </w:r>
    </w:p>
    <w:p>
      <w:pPr>
        <w:rPr>
          <w:rFonts w:hint="eastAsia"/>
        </w:rPr>
      </w:pPr>
      <w:r>
        <w:rPr>
          <w:rFonts w:hint="eastAsia"/>
        </w:rPr>
        <w:t>Exclusion criteria</w:t>
      </w:r>
    </w:p>
    <w:p>
      <w:pPr>
        <w:rPr>
          <w:rFonts w:hint="eastAsia"/>
        </w:rPr>
      </w:pPr>
      <w:r>
        <w:rPr>
          <w:rFonts w:hint="eastAsia"/>
        </w:rPr>
        <w:t>①Patients with massive intraoperative blood loss; patients with frequent use of vasopressor drugs; and</w:t>
      </w:r>
    </w:p>
    <w:p>
      <w:pPr>
        <w:rPr>
          <w:rFonts w:hint="eastAsia"/>
        </w:rPr>
      </w:pPr>
      <w:r>
        <w:rPr>
          <w:rFonts w:hint="eastAsia"/>
        </w:rPr>
        <w:t>(ii) Patients whose intraoperative temperature is not within the normal range; and</w:t>
      </w:r>
    </w:p>
    <w:p>
      <w:pPr>
        <w:rPr>
          <w:rFonts w:hint="eastAsia"/>
        </w:rPr>
      </w:pPr>
      <w:r>
        <w:rPr>
          <w:rFonts w:hint="eastAsia"/>
        </w:rPr>
        <w:t>(iii) Patients who fail intraoperative SEP monitoring for various reasons; and</w:t>
      </w:r>
    </w:p>
    <w:p>
      <w:pPr>
        <w:rPr>
          <w:rFonts w:hint="eastAsia"/>
        </w:rPr>
      </w:pPr>
      <w:r>
        <w:rPr>
          <w:rFonts w:hint="eastAsia"/>
        </w:rPr>
        <w:t>④ Patients with intraoperative changes in surgical position; and</w:t>
      </w:r>
    </w:p>
    <w:p>
      <w:pPr>
        <w:rPr>
          <w:rFonts w:hint="eastAsia"/>
        </w:rPr>
      </w:pPr>
      <w:r>
        <w:rPr>
          <w:rFonts w:hint="eastAsia"/>
        </w:rPr>
        <w:t>⑤ Patients whose surgery time exceeds 3h.</w:t>
      </w:r>
    </w:p>
    <w:p>
      <w:pPr>
        <w:rPr>
          <w:rFonts w:hint="eastAsia"/>
        </w:rPr>
      </w:pPr>
      <w:r>
        <w:rPr>
          <w:rFonts w:hint="eastAsia"/>
        </w:rPr>
        <w:t>Includes definitions of withdrawal, strikeout, lost visit, commingling, discontinuance, suspension</w:t>
      </w:r>
    </w:p>
    <w:p>
      <w:pPr>
        <w:rPr>
          <w:rFonts w:hint="eastAsia"/>
        </w:rPr>
      </w:pPr>
      <w:r>
        <w:rPr>
          <w:rFonts w:hint="eastAsia"/>
        </w:rPr>
        <w:t>15. Definition of adverse events and adverse reactions, identification methods and management systems</w:t>
      </w:r>
    </w:p>
    <w:p>
      <w:pPr>
        <w:rPr>
          <w:rFonts w:hint="eastAsia"/>
        </w:rPr>
      </w:pPr>
      <w:r>
        <w:rPr>
          <w:rFonts w:hint="eastAsia"/>
        </w:rPr>
        <w:t>From the beginning of the patients' signing of informed consent and enrollment in the experiment to the end of the operation, any adverse events occurred, regardless of whether they were related to the experimental drugs or not, were recognized as adverse events. Hypertension, hypotension, tachycardia, bradycardia and other adverse events were recorded during the operation and treated accordingly, and patients with adverse events were followed up until they were discharged from the hospital.</w:t>
      </w:r>
    </w:p>
    <w:p>
      <w:pPr>
        <w:rPr>
          <w:rFonts w:hint="eastAsia"/>
        </w:rPr>
      </w:pPr>
      <w:r>
        <w:rPr>
          <w:rFonts w:hint="eastAsia"/>
        </w:rPr>
        <w:t>16. Ethical considerations</w:t>
      </w:r>
    </w:p>
    <w:p>
      <w:pPr>
        <w:rPr>
          <w:rFonts w:hint="eastAsia"/>
        </w:rPr>
      </w:pPr>
      <w:r>
        <w:rPr>
          <w:rFonts w:hint="eastAsia"/>
        </w:rPr>
        <w:t>Informed Consent:Before each patient is enrolled in the study, it is the responsibility of the investigating physician to provide the patient with a complete and comprehensive description of the purpose of the study, the properties of the drug and its possible toxicities and possible risks, and the patient should be made aware of their rights, the risks to be assumed and the benefits. Informed consent should be signed by the patient before enrollment and retained in the CRF.</w:t>
      </w:r>
    </w:p>
    <w:p>
      <w:pPr>
        <w:rPr>
          <w:rFonts w:hint="eastAsia"/>
        </w:rPr>
      </w:pPr>
      <w:r>
        <w:rPr>
          <w:rFonts w:hint="eastAsia"/>
        </w:rPr>
        <w:t>Ethical norms: This clinical trial must follow the Declaration of Helsinki (2000 edition), the Good Clinical Practice (GCP) issued by the SFDA, and related regulations. Before the start of the trial, the protocol was approved by the Ethics Committee of the head unit before the start of the study. Any modification of the protocol during the clinical study should be reported to the Ethics Committee for record.</w:t>
      </w:r>
    </w:p>
    <w:p>
      <w:pPr>
        <w:rPr>
          <w:rFonts w:hint="eastAsia"/>
        </w:rPr>
      </w:pPr>
    </w:p>
    <w:p>
      <w:pPr>
        <w:rPr>
          <w:rFonts w:hint="eastAsia"/>
        </w:rPr>
      </w:pPr>
      <w:r>
        <w:rPr>
          <w:rFonts w:hint="eastAsia"/>
        </w:rPr>
        <w:t>Registration: 2019. 4.20</w:t>
      </w:r>
    </w:p>
    <w:p>
      <w:pPr>
        <w:rPr>
          <w:rFonts w:hint="eastAsia"/>
        </w:rPr>
      </w:pPr>
    </w:p>
    <w:p>
      <w:pPr>
        <w:rPr>
          <w:rFonts w:hint="eastAsia"/>
        </w:rPr>
      </w:pPr>
      <w:r>
        <w:rPr>
          <w:rFonts w:hint="eastAsia"/>
        </w:rPr>
        <w:t>Registered Institution: Ethics Committee of General Hospital of Ningxia Medical University</w:t>
      </w:r>
    </w:p>
    <w:p>
      <w:pPr>
        <w:rPr>
          <w:rFonts w:hint="eastAsia"/>
        </w:rPr>
      </w:pPr>
      <w:r>
        <w:rPr>
          <w:rFonts w:hint="eastAsia"/>
        </w:rPr>
        <w:t>Submission and ethical defense of ethical applications</w:t>
      </w:r>
    </w:p>
    <w:p>
      <w:pPr>
        <w:rPr>
          <w:rFonts w:hint="eastAsia"/>
        </w:rPr>
      </w:pPr>
      <w:r>
        <w:rPr>
          <w:rFonts w:hint="eastAsia"/>
        </w:rPr>
        <w:t>Includes selection of ethics committees, approval process, informed consent process, time of registration and registering organization (after completion of registration, supplemental registration number)</w:t>
      </w:r>
    </w:p>
    <w:p>
      <w:pPr>
        <w:rPr>
          <w:rFonts w:hint="eastAsia"/>
        </w:rPr>
      </w:pPr>
      <w:r>
        <w:rPr>
          <w:rFonts w:hint="eastAsia"/>
        </w:rPr>
        <w:t>17. Recruitment of participants</w:t>
      </w:r>
    </w:p>
    <w:p>
      <w:pPr>
        <w:rPr>
          <w:rFonts w:hint="eastAsia"/>
        </w:rPr>
      </w:pPr>
      <w:r>
        <w:rPr>
          <w:rFonts w:hint="eastAsia"/>
        </w:rPr>
        <w:t>Recruitment method: open recruitment</w:t>
      </w:r>
    </w:p>
    <w:p>
      <w:pPr>
        <w:rPr>
          <w:rFonts w:hint="eastAsia"/>
        </w:rPr>
      </w:pPr>
    </w:p>
    <w:p>
      <w:pPr>
        <w:rPr>
          <w:rFonts w:hint="eastAsia"/>
        </w:rPr>
      </w:pPr>
      <w:r>
        <w:rPr>
          <w:rFonts w:hint="eastAsia"/>
        </w:rPr>
        <w:t>Screening process: Screening based on inclusion and exclusion criteria for the study</w:t>
      </w:r>
    </w:p>
    <w:p>
      <w:pPr>
        <w:rPr>
          <w:rFonts w:hint="eastAsia"/>
        </w:rPr>
      </w:pPr>
    </w:p>
    <w:p>
      <w:pPr>
        <w:rPr>
          <w:rFonts w:hint="eastAsia"/>
        </w:rPr>
      </w:pPr>
      <w:r>
        <w:rPr>
          <w:rFonts w:hint="eastAsia"/>
        </w:rPr>
        <w:t>Screened Investigators:Dr. Xiaoyong Wei, Attending Physician</w:t>
      </w:r>
    </w:p>
    <w:p>
      <w:pPr>
        <w:rPr>
          <w:rFonts w:hint="eastAsia"/>
        </w:rPr>
      </w:pPr>
      <w:r>
        <w:rPr>
          <w:rFonts w:hint="eastAsia"/>
        </w:rPr>
        <w:t>Includes selection of recruitment sites, recruitment methods, screening process and researchers conducting the screening</w:t>
      </w:r>
    </w:p>
    <w:p>
      <w:pPr>
        <w:rPr>
          <w:rFonts w:hint="eastAsia"/>
        </w:rPr>
      </w:pPr>
      <w:r>
        <w:rPr>
          <w:rFonts w:hint="eastAsia"/>
        </w:rPr>
        <w:t>18. Collection of general information on participants</w:t>
      </w:r>
    </w:p>
    <w:p>
      <w:pPr>
        <w:rPr>
          <w:rFonts w:hint="eastAsia"/>
        </w:rPr>
      </w:pPr>
      <w:r>
        <w:rPr>
          <w:rFonts w:hint="eastAsia"/>
        </w:rPr>
        <w:t>General information of patients in both groups was recorded, including height, age, weight, blood pressure, temperature, heart rate, past history, and history of allergy.</w:t>
      </w:r>
    </w:p>
    <w:p>
      <w:pPr>
        <w:rPr>
          <w:rFonts w:hint="eastAsia"/>
        </w:rPr>
      </w:pPr>
      <w:r>
        <w:rPr>
          <w:rFonts w:hint="eastAsia"/>
        </w:rPr>
        <w:t>Includes researchers implementing the collection, content of general information</w:t>
      </w:r>
    </w:p>
    <w:p>
      <w:pPr>
        <w:rPr>
          <w:rFonts w:hint="eastAsia"/>
        </w:rPr>
      </w:pPr>
      <w:r>
        <w:rPr>
          <w:rFonts w:hint="eastAsia"/>
        </w:rPr>
        <w:t>19. Baseline indicators and observational projects</w:t>
      </w:r>
    </w:p>
    <w:p>
      <w:pPr>
        <w:rPr>
          <w:rFonts w:hint="eastAsia"/>
        </w:rPr>
      </w:pPr>
      <w:r>
        <w:rPr>
          <w:rFonts w:hint="eastAsia"/>
        </w:rPr>
        <w:t>Preoperative and postoperative HCT counts were recorded in both groups; intraoperative propofol and remifentanil use was recorded in both groups.</w:t>
      </w:r>
    </w:p>
    <w:p>
      <w:pPr>
        <w:rPr>
          <w:rFonts w:hint="eastAsia"/>
        </w:rPr>
      </w:pPr>
      <w:r>
        <w:rPr>
          <w:rFonts w:hint="eastAsia"/>
        </w:rPr>
        <w:t>The N13-P15 and N45-P37 wave amplitudes with N13, P15, N45 and P37 latencies of SEP and HR were recorded at seven time points, namely, when the patients were awake ( T0), at the end of loading-dose pumping (T1), after induction of anesthesia (T2), after intubation (T3), after posturing (T4), during decompression of the spinal canal (T5), and at the time of insertion of interbody fusion device (T6) in both groups, MAP, T, and BIS values.</w:t>
      </w:r>
    </w:p>
    <w:p>
      <w:pPr>
        <w:rPr>
          <w:rFonts w:hint="eastAsia"/>
        </w:rPr>
      </w:pPr>
      <w:r>
        <w:rPr>
          <w:rFonts w:hint="eastAsia"/>
        </w:rPr>
        <w:t>The number of cases of bradycardia, tachycardia, intraoperative hypotension, and intraoperative hypertension were recorded in both groups.</w:t>
      </w:r>
    </w:p>
    <w:p>
      <w:pPr>
        <w:rPr>
          <w:rFonts w:hint="eastAsia"/>
        </w:rPr>
      </w:pPr>
      <w:r>
        <w:rPr>
          <w:rFonts w:hint="eastAsia"/>
        </w:rPr>
        <w:t>For treatment studies, observational items are not necessarily indicators of efficacy evaluation, e.g., height and weight, which may simply be related to drug dosage but are not directly related to efficacy evaluation.</w:t>
      </w:r>
    </w:p>
    <w:p>
      <w:pPr>
        <w:rPr>
          <w:rFonts w:hint="eastAsia"/>
        </w:rPr>
      </w:pPr>
      <w:r>
        <w:rPr>
          <w:rFonts w:hint="eastAsia"/>
        </w:rPr>
        <w:t>20. Standard Operating Procedures</w:t>
      </w:r>
    </w:p>
    <w:p>
      <w:pPr>
        <w:rPr>
          <w:rFonts w:hint="eastAsia"/>
        </w:rPr>
      </w:pPr>
      <w:r>
        <w:rPr>
          <w:rFonts w:hint="eastAsia"/>
        </w:rPr>
        <w:t>In group D, a loading dose of dexmedetomidine 1ug/kg was pumped for 10min before induction, and then a maintenance dose of 0.4ug/kg.h was continuously pumped until the end of the operation, and in group C, the same dose of saline was continuously pumped until the end of the operation.</w:t>
      </w:r>
    </w:p>
    <w:p>
      <w:pPr>
        <w:rPr>
          <w:rFonts w:hint="eastAsia"/>
        </w:rPr>
      </w:pPr>
      <w:r>
        <w:rPr>
          <w:rFonts w:hint="eastAsia"/>
        </w:rPr>
        <w:t>Therapeutic operations, treatments, regimens, etc.; standard protocols for diagnostic tests; standard protocols for etiologic studies; standard protocols for prognostic studies; standard protocols for epidemiologic studies</w:t>
      </w:r>
    </w:p>
    <w:p>
      <w:pPr>
        <w:rPr>
          <w:rFonts w:hint="eastAsia"/>
        </w:rPr>
      </w:pPr>
      <w:r>
        <w:rPr>
          <w:rFonts w:hint="eastAsia"/>
        </w:rPr>
        <w:t>21. Methods of statistical analysis</w:t>
      </w:r>
    </w:p>
    <w:p>
      <w:pPr>
        <w:rPr>
          <w:rFonts w:hint="eastAsia"/>
        </w:rPr>
      </w:pPr>
      <w:r>
        <w:rPr>
          <w:rFonts w:hint="eastAsia"/>
        </w:rPr>
        <w:t>SPSS 25.0 statistical software was used to process the data, and the measured data that obeyed normal distribution were expressed as the standard deviation of the mean (). Measurement data were compared between groups by t-test and between two groups and different time points by repeated-measures analysis of variance (ANOVA); count data were expressed in % and compared by chi-square test or Fisher's exact probability method; the test level was α = 0.05.</w:t>
      </w:r>
    </w:p>
    <w:p>
      <w:pPr>
        <w:rPr>
          <w:rFonts w:hint="eastAsia"/>
        </w:rPr>
      </w:pPr>
      <w:r>
        <w:rPr>
          <w:rFonts w:hint="eastAsia"/>
        </w:rPr>
        <w:t>Selection of appropriate statistical analysis methods according to the type of data for each measure; any other methods of additional analysis, such as subgroup and auxiliary analyses; when there is a reduction in personnel during the trial, indicate whether ITT analysis was used and compare it with PP analysis.</w:t>
      </w:r>
    </w:p>
    <w:p>
      <w:pPr>
        <w:rPr>
          <w:rFonts w:hint="eastAsia"/>
        </w:rPr>
      </w:pPr>
      <w:r>
        <w:rPr>
          <w:rFonts w:hint="eastAsia"/>
        </w:rPr>
        <w:t>22. Participant management system</w:t>
      </w:r>
    </w:p>
    <w:p>
      <w:pPr>
        <w:rPr>
          <w:rFonts w:hint="eastAsia"/>
        </w:rPr>
      </w:pPr>
      <w:r>
        <w:rPr>
          <w:rFonts w:hint="eastAsia"/>
        </w:rPr>
        <w:t>1. Informed consent must be signed before conducting the study</w:t>
      </w:r>
    </w:p>
    <w:p>
      <w:pPr>
        <w:rPr>
          <w:rFonts w:hint="eastAsia"/>
        </w:rPr>
      </w:pPr>
      <w:r>
        <w:rPr>
          <w:rFonts w:hint="eastAsia"/>
        </w:rPr>
        <w:t>2. Enrollment of patients according to the NAE criteria</w:t>
      </w:r>
    </w:p>
    <w:p>
      <w:pPr>
        <w:rPr>
          <w:rFonts w:hint="eastAsia"/>
        </w:rPr>
      </w:pPr>
      <w:r>
        <w:rPr>
          <w:rFonts w:hint="eastAsia"/>
        </w:rPr>
        <w:t>3. Protecting patient privacy and safety</w:t>
      </w:r>
    </w:p>
    <w:p>
      <w:pPr>
        <w:rPr>
          <w:rFonts w:hint="eastAsia"/>
        </w:rPr>
      </w:pPr>
      <w:r>
        <w:rPr>
          <w:rFonts w:hint="eastAsia"/>
        </w:rPr>
        <w:t>23. Specimen management system</w:t>
      </w:r>
    </w:p>
    <w:p>
      <w:pPr>
        <w:rPr>
          <w:rFonts w:hint="eastAsia"/>
        </w:rPr>
      </w:pPr>
      <w:r>
        <w:rPr>
          <w:rFonts w:hint="eastAsia"/>
        </w:rPr>
        <w:t>unspecimen</w:t>
      </w:r>
    </w:p>
    <w:p>
      <w:pPr>
        <w:rPr>
          <w:rFonts w:hint="eastAsia"/>
        </w:rPr>
      </w:pPr>
      <w:r>
        <w:rPr>
          <w:rFonts w:hint="eastAsia"/>
        </w:rPr>
        <w:t>Including the various processes and systems for collection, storage, and delivery for testing</w:t>
      </w:r>
    </w:p>
    <w:p>
      <w:pPr>
        <w:rPr>
          <w:rFonts w:hint="eastAsia"/>
        </w:rPr>
      </w:pPr>
      <w:r>
        <w:rPr>
          <w:rFonts w:hint="eastAsia"/>
        </w:rPr>
        <w:t>24. Drug and equipment management system</w:t>
      </w:r>
    </w:p>
    <w:p>
      <w:pPr>
        <w:rPr>
          <w:rFonts w:hint="eastAsia"/>
        </w:rPr>
      </w:pPr>
      <w:r>
        <w:rPr>
          <w:rFonts w:hint="eastAsia"/>
        </w:rPr>
        <w:t>Give the drug according to the instructions, and check and confirm before giving the drug.</w:t>
      </w:r>
    </w:p>
    <w:p>
      <w:pPr>
        <w:rPr>
          <w:rFonts w:hint="eastAsia"/>
        </w:rPr>
      </w:pPr>
      <w:r>
        <w:rPr>
          <w:rFonts w:hint="eastAsia"/>
        </w:rPr>
        <w:t>Includes custodial storage, distribution processes and checking systems, utilization, recycling</w:t>
      </w:r>
    </w:p>
    <w:p>
      <w:pPr>
        <w:rPr>
          <w:rFonts w:hint="eastAsia"/>
        </w:rPr>
      </w:pPr>
      <w:r>
        <w:rPr>
          <w:rFonts w:hint="eastAsia"/>
        </w:rPr>
        <w:t>25. Data management system</w:t>
      </w:r>
    </w:p>
    <w:p>
      <w:pPr>
        <w:rPr>
          <w:rFonts w:hint="eastAsia"/>
        </w:rPr>
      </w:pPr>
      <w:r>
        <w:rPr>
          <w:rFonts w:hint="eastAsia"/>
        </w:rPr>
        <w:t>All clinical data will be entered into a specific CRF form and statistically analyzed by me.</w:t>
      </w:r>
    </w:p>
    <w:p>
      <w:pPr>
        <w:rPr>
          <w:rFonts w:hint="eastAsia"/>
        </w:rPr>
      </w:pPr>
      <w:r>
        <w:rPr>
          <w:rFonts w:hint="eastAsia"/>
        </w:rPr>
        <w:t>Includes data collection, management of source data and their documentation, collection and entry (logging) personnel, checking system</w:t>
      </w:r>
    </w:p>
    <w:p>
      <w:pPr>
        <w:rPr>
          <w:rFonts w:hint="eastAsia"/>
        </w:rPr>
      </w:pPr>
      <w:r>
        <w:rPr>
          <w:rFonts w:hint="eastAsia"/>
        </w:rPr>
        <w:t xml:space="preserve">26. Composition and job responsibilities of the Data Security and Surveillance Committee </w:t>
      </w:r>
    </w:p>
    <w:p>
      <w:pPr>
        <w:rPr>
          <w:rFonts w:hint="eastAsia"/>
        </w:rPr>
      </w:pPr>
      <w:r>
        <w:rPr>
          <w:rFonts w:hint="eastAsia"/>
        </w:rPr>
        <w:t>Data are managed by a person and monitored by a third person.</w:t>
      </w:r>
    </w:p>
    <w:p>
      <w:pPr>
        <w:rPr>
          <w:rFonts w:hint="eastAsia"/>
        </w:rPr>
      </w:pPr>
      <w:r>
        <w:rPr>
          <w:rFonts w:hint="eastAsia"/>
        </w:rPr>
        <w:t>27. Research team</w:t>
      </w:r>
    </w:p>
    <w:p>
      <w:pPr>
        <w:rPr>
          <w:rFonts w:hint="eastAsia"/>
        </w:rPr>
      </w:pPr>
      <w:r>
        <w:rPr>
          <w:rFonts w:hint="eastAsia"/>
          <w:lang w:val="en-US" w:eastAsia="zh-CN"/>
        </w:rPr>
        <w:t xml:space="preserve">Liu Wenxun </w:t>
      </w:r>
      <w:r>
        <w:rPr>
          <w:rFonts w:hint="eastAsia"/>
        </w:rPr>
        <w:t>Regulation of Research</w:t>
      </w:r>
    </w:p>
    <w:p>
      <w:pPr>
        <w:rPr>
          <w:rFonts w:hint="eastAsia"/>
        </w:rPr>
      </w:pPr>
      <w:r>
        <w:rPr>
          <w:rFonts w:hint="eastAsia"/>
          <w:lang w:val="en-US" w:eastAsia="zh-CN"/>
        </w:rPr>
        <w:t xml:space="preserve">Kaxin Chen </w:t>
      </w:r>
      <w:r>
        <w:rPr>
          <w:rFonts w:hint="eastAsia"/>
        </w:rPr>
        <w:t>Research Data Reconciliation</w:t>
      </w:r>
    </w:p>
    <w:p>
      <w:pPr>
        <w:rPr>
          <w:rFonts w:hint="eastAsia"/>
        </w:rPr>
      </w:pPr>
      <w:r>
        <w:rPr>
          <w:rFonts w:hint="eastAsia"/>
        </w:rPr>
        <w:t>Yinghua Gu 17795322798 Drafting of research proposal, data statistics and article writing</w:t>
      </w:r>
    </w:p>
    <w:p>
      <w:pPr>
        <w:rPr>
          <w:rFonts w:hint="eastAsia"/>
        </w:rPr>
      </w:pPr>
      <w:r>
        <w:rPr>
          <w:rFonts w:hint="eastAsia"/>
        </w:rPr>
        <w:t>Includes names and contact information of members, division of labor for positions</w:t>
      </w:r>
    </w:p>
    <w:p>
      <w:pPr>
        <w:rPr>
          <w:rFonts w:hint="eastAsia"/>
        </w:rPr>
      </w:pPr>
      <w:r>
        <w:rPr>
          <w:rFonts w:hint="eastAsia"/>
        </w:rPr>
        <w:t>28. Intellectual property rights</w:t>
      </w:r>
    </w:p>
    <w:p>
      <w:pPr>
        <w:rPr>
          <w:rFonts w:hint="eastAsia"/>
        </w:rPr>
      </w:pPr>
      <w:r>
        <w:rPr>
          <w:rFonts w:hint="eastAsia"/>
        </w:rPr>
        <w:t>The intellectual property rights of the research are vested in Ningxia Medical University, and the researchers are named according to their contribution.</w:t>
      </w:r>
    </w:p>
    <w:p>
      <w:pPr>
        <w:rPr>
          <w:rFonts w:hint="eastAsia"/>
        </w:rPr>
      </w:pPr>
      <w:r>
        <w:rPr>
          <w:rFonts w:hint="eastAsia"/>
        </w:rPr>
        <w:t>29. Publication plan</w:t>
      </w:r>
    </w:p>
    <w:p>
      <w:pPr>
        <w:rPr>
          <w:rFonts w:hint="eastAsia"/>
        </w:rPr>
      </w:pPr>
      <w:r>
        <w:rPr>
          <w:rFonts w:hint="eastAsia"/>
        </w:rPr>
        <w:t>1 paper expected by the end of 2021 (delayed due to the impact of the epidemic)</w:t>
      </w:r>
    </w:p>
    <w:p>
      <w:pPr>
        <w:rPr>
          <w:rFonts w:hint="eastAsia"/>
        </w:rPr>
      </w:pPr>
      <w:r>
        <w:rPr>
          <w:rFonts w:hint="eastAsia"/>
        </w:rPr>
        <w:t>30. Raw Data Sharing Program</w:t>
      </w:r>
    </w:p>
    <w:p>
      <w:pPr>
        <w:rPr>
          <w:rFonts w:hint="eastAsia"/>
        </w:rPr>
      </w:pPr>
      <w:r>
        <w:rPr>
          <w:rFonts w:hint="eastAsia"/>
        </w:rPr>
        <w:t>Within 6 months of the end of the experiment Baidu.com http://pan.baidu.com/share/manage</w:t>
      </w:r>
    </w:p>
    <w:p>
      <w:pPr>
        <w:rPr>
          <w:rFonts w:hint="eastAsia"/>
        </w:rPr>
      </w:pPr>
      <w:r>
        <w:rPr>
          <w:rFonts w:hint="eastAsia"/>
        </w:rPr>
        <w:t>31. Treatment and management of participants at the end of the trial</w:t>
      </w:r>
    </w:p>
    <w:p>
      <w:pPr>
        <w:rPr>
          <w:rFonts w:hint="eastAsia"/>
        </w:rPr>
      </w:pPr>
      <w:r>
        <w:rPr>
          <w:rFonts w:hint="eastAsia"/>
        </w:rPr>
        <w:t>At the end of the trial, if the patient's disease was not controlled, optimal treatment was given according to the patient's physical condition.</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xN2IwMzY0ZTI3ZDczMTYxN2NiYWFlYmNiOWQ5YzcifQ=="/>
  </w:docVars>
  <w:rsids>
    <w:rsidRoot w:val="00000000"/>
    <w:rsid w:val="0216715F"/>
    <w:rsid w:val="14F0548E"/>
    <w:rsid w:val="1EFF2FFD"/>
    <w:rsid w:val="202154A9"/>
    <w:rsid w:val="365E4655"/>
    <w:rsid w:val="44323A2C"/>
    <w:rsid w:val="5254325C"/>
    <w:rsid w:val="6D4351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2603</Words>
  <Characters>14922</Characters>
  <Lines>0</Lines>
  <Paragraphs>0</Paragraphs>
  <TotalTime>4</TotalTime>
  <ScaleCrop>false</ScaleCrop>
  <LinksUpToDate>false</LinksUpToDate>
  <CharactersWithSpaces>17408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2023-05-17T15:24:00Z</dcterms:created>
  <dc:creator>admin</dc:creator>
  <cp:keywords>, docId:7CE42FECAAEC403603B3875B277B1A34</cp:keywords>
  <cp:lastModifiedBy>麻者醉也</cp:lastModifiedBy>
  <dcterms:modified xsi:type="dcterms:W3CDTF">2023-08-18T15:33:08Z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4D09AA40ADF0412AB5EB9DEBA47F9D8A_13</vt:lpwstr>
  </property>
</Properties>
</file>