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erschrift1"/>
      </w:pPr>
      <w:r>
        <w:t xml:space="preserve">Pricing model for biomethane in the EEG – M2 Revenues </w:t>
      </w:r>
    </w:p>
    <w:p>
      <w:r>
        <w:t>The price of biomethane as a fuel for biomethane-CHP units was calculated through the following relatio</w:t>
      </w:r>
      <w:bookmarkStart w:id="0" w:name="_GoBack"/>
      <w:bookmarkEnd w:id="0"/>
      <w:r>
        <w:t>n:</w:t>
      </w:r>
    </w:p>
    <w:p>
      <w:pPr>
        <w:ind w:left="360"/>
        <w:rPr>
          <w:rFonts w:cstheme="minorHAnsi"/>
        </w:rPr>
      </w:pPr>
      <m:oMathPara>
        <m:oMath>
          <m:r>
            <w:rPr>
              <w:rFonts w:ascii="Cambria Math" w:hAnsi="Cambria Math"/>
            </w:rPr>
            <m:t>Net Profit Margin=</m:t>
          </m:r>
          <m:f>
            <m:fPr>
              <m:ctrlPr>
                <w:rPr>
                  <w:rFonts w:ascii="Cambria Math" w:hAnsi="Cambria Math"/>
                  <w:i/>
                </w:rPr>
              </m:ctrlPr>
            </m:fPr>
            <m:num>
              <m:r>
                <w:rPr>
                  <w:rFonts w:ascii="Cambria Math" w:hAnsi="Cambria Math"/>
                </w:rPr>
                <m:t>Revenue-Cost</m:t>
              </m:r>
            </m:num>
            <m:den>
              <m:r>
                <w:rPr>
                  <w:rFonts w:ascii="Cambria Math" w:hAnsi="Cambria Math"/>
                </w:rPr>
                <m:t>Revenue</m:t>
              </m:r>
            </m:den>
          </m:f>
        </m:oMath>
      </m:oMathPara>
    </w:p>
    <w:p>
      <w:r>
        <w:t>Where the cost comprises OPEX and CAPEX of the CHP unit and the revenue comes from selling electricity and heat. Considering the biomethane CHP unit working under the EEG system (EEG 2023) and participating in the tender system, they generate revenue from two options available in the electricity market, market premium and direct marketing.</w:t>
      </w:r>
    </w:p>
    <w:p>
      <w:r>
        <w:fldChar w:fldCharType="begin"/>
      </w:r>
      <w:r>
        <w:instrText xml:space="preserve"> REF _Ref138078129 \h </w:instrText>
      </w:r>
      <w:r>
        <w:fldChar w:fldCharType="separate"/>
      </w:r>
      <w:r>
        <w:t xml:space="preserve">Figure </w:t>
      </w:r>
      <w:r>
        <w:rPr>
          <w:noProof/>
        </w:rPr>
        <w:t>1</w:t>
      </w:r>
      <w:r>
        <w:fldChar w:fldCharType="end"/>
      </w:r>
      <w:r>
        <w:t xml:space="preserve"> shows a boxplot created by the calculation of the biomethane price for 7056 variants. Each variant stands for a certain condition regarding CHP unit installed capacity, assumed average electricity and heat price, risk factor assigned to the revenues and desired net profit margin. Based on the boxplot, the median price of 97 €/MWh was considered for the biomethane price in M2.</w:t>
      </w:r>
    </w:p>
    <w:p>
      <w:r>
        <w:rPr>
          <w:noProof/>
        </w:rPr>
        <w:drawing>
          <wp:inline distT="0" distB="0" distL="0" distR="0">
            <wp:extent cx="5760720" cy="2211705"/>
            <wp:effectExtent l="0" t="0" r="0" b="0"/>
            <wp:docPr id="2" name="Grafik 8">
              <a:extLst xmlns:a="http://schemas.openxmlformats.org/drawingml/2006/main">
                <a:ext uri="{FF2B5EF4-FFF2-40B4-BE49-F238E27FC236}">
                  <a16:creationId xmlns:a16="http://schemas.microsoft.com/office/drawing/2014/main" id="{01CD7AD4-820D-6B4B-69FC-4FB1E333D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a:extLst>
                        <a:ext uri="{FF2B5EF4-FFF2-40B4-BE49-F238E27FC236}">
                          <a16:creationId xmlns:a16="http://schemas.microsoft.com/office/drawing/2014/main" id="{01CD7AD4-820D-6B4B-69FC-4FB1E333DB0B}"/>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2211705"/>
                    </a:xfrm>
                    <a:prstGeom prst="rect">
                      <a:avLst/>
                    </a:prstGeom>
                  </pic:spPr>
                </pic:pic>
              </a:graphicData>
            </a:graphic>
          </wp:inline>
        </w:drawing>
      </w:r>
    </w:p>
    <w:p>
      <w:pPr>
        <w:pStyle w:val="Beschriftung"/>
      </w:pPr>
      <w:bookmarkStart w:id="1" w:name="_Ref138078129"/>
      <w:r>
        <w:t xml:space="preserve">Figure </w:t>
      </w:r>
      <w:fldSimple w:instr=" SEQ Figure \* ARABIC ">
        <w:r>
          <w:rPr>
            <w:noProof/>
          </w:rPr>
          <w:t>1</w:t>
        </w:r>
      </w:fldSimple>
      <w:bookmarkEnd w:id="1"/>
      <w:r>
        <w:tab/>
        <w:t xml:space="preserve">Evaluation of BM pricing model </w:t>
      </w:r>
    </w:p>
    <w:sectPr>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7173C6"/>
    <w:multiLevelType w:val="hybridMultilevel"/>
    <w:tmpl w:val="6F023E1C"/>
    <w:lvl w:ilvl="0" w:tplc="3FC4D3E8">
      <w:start w:val="1"/>
      <w:numFmt w:val="bullet"/>
      <w:lvlText w:val="•"/>
      <w:lvlJc w:val="left"/>
      <w:pPr>
        <w:tabs>
          <w:tab w:val="num" w:pos="720"/>
        </w:tabs>
        <w:ind w:left="720" w:hanging="360"/>
      </w:pPr>
      <w:rPr>
        <w:rFonts w:ascii="Arial" w:hAnsi="Arial" w:hint="default"/>
      </w:rPr>
    </w:lvl>
    <w:lvl w:ilvl="1" w:tplc="06A680FC" w:tentative="1">
      <w:start w:val="1"/>
      <w:numFmt w:val="bullet"/>
      <w:lvlText w:val="•"/>
      <w:lvlJc w:val="left"/>
      <w:pPr>
        <w:tabs>
          <w:tab w:val="num" w:pos="1440"/>
        </w:tabs>
        <w:ind w:left="1440" w:hanging="360"/>
      </w:pPr>
      <w:rPr>
        <w:rFonts w:ascii="Arial" w:hAnsi="Arial" w:hint="default"/>
      </w:rPr>
    </w:lvl>
    <w:lvl w:ilvl="2" w:tplc="DB5C0536" w:tentative="1">
      <w:start w:val="1"/>
      <w:numFmt w:val="bullet"/>
      <w:lvlText w:val="•"/>
      <w:lvlJc w:val="left"/>
      <w:pPr>
        <w:tabs>
          <w:tab w:val="num" w:pos="2160"/>
        </w:tabs>
        <w:ind w:left="2160" w:hanging="360"/>
      </w:pPr>
      <w:rPr>
        <w:rFonts w:ascii="Arial" w:hAnsi="Arial" w:hint="default"/>
      </w:rPr>
    </w:lvl>
    <w:lvl w:ilvl="3" w:tplc="29064906" w:tentative="1">
      <w:start w:val="1"/>
      <w:numFmt w:val="bullet"/>
      <w:lvlText w:val="•"/>
      <w:lvlJc w:val="left"/>
      <w:pPr>
        <w:tabs>
          <w:tab w:val="num" w:pos="2880"/>
        </w:tabs>
        <w:ind w:left="2880" w:hanging="360"/>
      </w:pPr>
      <w:rPr>
        <w:rFonts w:ascii="Arial" w:hAnsi="Arial" w:hint="default"/>
      </w:rPr>
    </w:lvl>
    <w:lvl w:ilvl="4" w:tplc="C0D2AC02" w:tentative="1">
      <w:start w:val="1"/>
      <w:numFmt w:val="bullet"/>
      <w:lvlText w:val="•"/>
      <w:lvlJc w:val="left"/>
      <w:pPr>
        <w:tabs>
          <w:tab w:val="num" w:pos="3600"/>
        </w:tabs>
        <w:ind w:left="3600" w:hanging="360"/>
      </w:pPr>
      <w:rPr>
        <w:rFonts w:ascii="Arial" w:hAnsi="Arial" w:hint="default"/>
      </w:rPr>
    </w:lvl>
    <w:lvl w:ilvl="5" w:tplc="390614B0" w:tentative="1">
      <w:start w:val="1"/>
      <w:numFmt w:val="bullet"/>
      <w:lvlText w:val="•"/>
      <w:lvlJc w:val="left"/>
      <w:pPr>
        <w:tabs>
          <w:tab w:val="num" w:pos="4320"/>
        </w:tabs>
        <w:ind w:left="4320" w:hanging="360"/>
      </w:pPr>
      <w:rPr>
        <w:rFonts w:ascii="Arial" w:hAnsi="Arial" w:hint="default"/>
      </w:rPr>
    </w:lvl>
    <w:lvl w:ilvl="6" w:tplc="EFB227EC" w:tentative="1">
      <w:start w:val="1"/>
      <w:numFmt w:val="bullet"/>
      <w:lvlText w:val="•"/>
      <w:lvlJc w:val="left"/>
      <w:pPr>
        <w:tabs>
          <w:tab w:val="num" w:pos="5040"/>
        </w:tabs>
        <w:ind w:left="5040" w:hanging="360"/>
      </w:pPr>
      <w:rPr>
        <w:rFonts w:ascii="Arial" w:hAnsi="Arial" w:hint="default"/>
      </w:rPr>
    </w:lvl>
    <w:lvl w:ilvl="7" w:tplc="E22EAD98" w:tentative="1">
      <w:start w:val="1"/>
      <w:numFmt w:val="bullet"/>
      <w:lvlText w:val="•"/>
      <w:lvlJc w:val="left"/>
      <w:pPr>
        <w:tabs>
          <w:tab w:val="num" w:pos="5760"/>
        </w:tabs>
        <w:ind w:left="5760" w:hanging="360"/>
      </w:pPr>
      <w:rPr>
        <w:rFonts w:ascii="Arial" w:hAnsi="Arial" w:hint="default"/>
      </w:rPr>
    </w:lvl>
    <w:lvl w:ilvl="8" w:tplc="2280C91E"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0268C0-D023-4350-8576-B561F626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line="480" w:lineRule="auto"/>
      <w:jc w:val="both"/>
    </w:p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3763" w:themeColor="accent1" w:themeShade="7F"/>
      <w:sz w:val="24"/>
      <w:szCs w:val="24"/>
    </w:rPr>
  </w:style>
  <w:style w:type="paragraph" w:styleId="Beschriftung">
    <w:name w:val="caption"/>
    <w:basedOn w:val="Standard"/>
    <w:next w:val="Standard"/>
    <w:link w:val="BeschriftungZchn"/>
    <w:uiPriority w:val="35"/>
    <w:unhideWhenUsed/>
    <w:qFormat/>
    <w:pPr>
      <w:spacing w:after="200" w:line="240" w:lineRule="auto"/>
    </w:pPr>
    <w:rPr>
      <w:i/>
      <w:iCs/>
      <w:color w:val="44546A" w:themeColor="text2"/>
      <w:sz w:val="18"/>
      <w:szCs w:val="18"/>
    </w:rPr>
  </w:style>
  <w:style w:type="character" w:customStyle="1" w:styleId="BeschriftungZchn">
    <w:name w:val="Beschriftung Zchn"/>
    <w:basedOn w:val="Absatz-Standardschriftart"/>
    <w:link w:val="Beschriftung"/>
    <w:uiPriority w:val="35"/>
    <w:rPr>
      <w:i/>
      <w:iCs/>
      <w:color w:val="44546A" w:themeColor="text2"/>
      <w:sz w:val="18"/>
      <w:szCs w:val="18"/>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914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Güsewell</dc:creator>
  <cp:keywords/>
  <dc:description/>
  <cp:lastModifiedBy>Güsewell, Joshua</cp:lastModifiedBy>
  <cp:revision>7</cp:revision>
  <dcterms:created xsi:type="dcterms:W3CDTF">2023-02-07T15:21:00Z</dcterms:created>
  <dcterms:modified xsi:type="dcterms:W3CDTF">2023-06-19T12:42:00Z</dcterms:modified>
</cp:coreProperties>
</file>