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DC28A" w14:textId="7B6AB70B" w:rsidR="002066FA" w:rsidRDefault="00D0447C">
      <w:r>
        <w:rPr>
          <w:noProof/>
        </w:rPr>
        <w:drawing>
          <wp:inline distT="0" distB="0" distL="0" distR="0" wp14:anchorId="20B1D371" wp14:editId="38994A3A">
            <wp:extent cx="5796952" cy="289847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S1. A multi-peak diagram of the multi-response monitoring (MRM) mode for metabolite detection (positive ions)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782" cy="289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D253F" w14:textId="588B223F" w:rsidR="00D0447C" w:rsidRPr="00D0447C" w:rsidRDefault="00D0447C" w:rsidP="00D0447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0447C">
        <w:rPr>
          <w:rFonts w:ascii="Times New Roman" w:hAnsi="Times New Roman" w:cs="Times New Roman"/>
          <w:sz w:val="24"/>
          <w:szCs w:val="24"/>
        </w:rPr>
        <w:t>Supplementary Figure S1. A multi-peak diagram of the multi-response monitoring (MRM) mode for metabolite detection (positive ions).</w:t>
      </w:r>
    </w:p>
    <w:sectPr w:rsidR="00D0447C" w:rsidRPr="00D04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7C"/>
    <w:rsid w:val="002066FA"/>
    <w:rsid w:val="00D0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D74D7"/>
  <w15:chartTrackingRefBased/>
  <w15:docId w15:val="{DAD98E8D-ED89-4303-AF1C-A186D582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2020-05-21T09:44:00Z</dcterms:created>
  <dcterms:modified xsi:type="dcterms:W3CDTF">2020-05-21T09:45:00Z</dcterms:modified>
</cp:coreProperties>
</file>