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86E" w:rsidRDefault="00D6386E" w:rsidP="00D6386E">
      <w:pPr>
        <w:bidi w:val="0"/>
        <w:rPr>
          <w:rFonts w:asciiTheme="majorBidi" w:hAnsiTheme="majorBidi" w:cstheme="majorBidi"/>
          <w:b/>
          <w:bCs/>
          <w:sz w:val="28"/>
          <w:szCs w:val="26"/>
        </w:rPr>
      </w:pPr>
      <w:r w:rsidRPr="00366376">
        <w:rPr>
          <w:rFonts w:asciiTheme="majorBidi" w:hAnsiTheme="majorBidi" w:cstheme="majorBidi"/>
          <w:b/>
          <w:bCs/>
          <w:sz w:val="28"/>
          <w:szCs w:val="26"/>
        </w:rPr>
        <w:t>Additional information</w:t>
      </w:r>
    </w:p>
    <w:p w:rsidR="00F90D45" w:rsidRDefault="00F90D45" w:rsidP="00F90D45">
      <w:pPr>
        <w:bidi w:val="0"/>
        <w:rPr>
          <w:rFonts w:asciiTheme="majorBidi" w:hAnsiTheme="majorBidi" w:cstheme="majorBidi"/>
          <w:b/>
          <w:bCs/>
          <w:sz w:val="28"/>
          <w:szCs w:val="26"/>
        </w:rPr>
      </w:pPr>
    </w:p>
    <w:p w:rsidR="00F90D45" w:rsidRPr="00366376" w:rsidRDefault="00F90D45" w:rsidP="00F90D45">
      <w:pPr>
        <w:bidi w:val="0"/>
        <w:rPr>
          <w:rFonts w:asciiTheme="majorBidi" w:hAnsiTheme="majorBidi" w:cstheme="majorBidi"/>
          <w:sz w:val="28"/>
          <w:szCs w:val="26"/>
        </w:rPr>
      </w:pPr>
    </w:p>
    <w:p w:rsidR="00D6386E" w:rsidRPr="002617DF" w:rsidRDefault="00D6386E" w:rsidP="00D6386E">
      <w:pPr>
        <w:bidi w:val="0"/>
        <w:jc w:val="both"/>
        <w:rPr>
          <w:rFonts w:asciiTheme="majorBidi" w:hAnsiTheme="majorBidi" w:cstheme="majorBidi"/>
        </w:rPr>
      </w:pPr>
      <w:r w:rsidRPr="00366376">
        <w:rPr>
          <w:rFonts w:asciiTheme="majorBidi" w:hAnsiTheme="majorBidi" w:cstheme="majorBidi"/>
          <w:noProof/>
          <w:sz w:val="24"/>
          <w:szCs w:val="24"/>
        </w:rPr>
        <w:drawing>
          <wp:inline distT="0" distB="0" distL="0" distR="0" wp14:anchorId="40C3C9D4" wp14:editId="3222B34B">
            <wp:extent cx="6661150" cy="5374584"/>
            <wp:effectExtent l="0" t="0" r="6350" b="0"/>
            <wp:docPr id="1" name="Picture 1" descr="D:\ویدئو های آموزشی سرطان سینه\Sub type\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ویدئو های آموزشی سرطان سینه\Sub type\Fina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61150" cy="5374584"/>
                    </a:xfrm>
                    <a:prstGeom prst="rect">
                      <a:avLst/>
                    </a:prstGeom>
                    <a:noFill/>
                    <a:ln>
                      <a:noFill/>
                    </a:ln>
                  </pic:spPr>
                </pic:pic>
              </a:graphicData>
            </a:graphic>
          </wp:inline>
        </w:drawing>
      </w:r>
    </w:p>
    <w:p w:rsidR="00D6386E" w:rsidRDefault="00D6386E" w:rsidP="00D6386E">
      <w:pPr>
        <w:bidi w:val="0"/>
        <w:jc w:val="both"/>
        <w:rPr>
          <w:rFonts w:asciiTheme="majorBidi" w:hAnsiTheme="majorBidi" w:cstheme="majorBidi"/>
          <w:sz w:val="24"/>
          <w:szCs w:val="24"/>
        </w:rPr>
      </w:pPr>
      <w:r w:rsidRPr="002806BE">
        <w:rPr>
          <w:rFonts w:asciiTheme="majorBidi" w:hAnsiTheme="majorBidi" w:cstheme="majorBidi"/>
          <w:b/>
          <w:bCs/>
          <w:sz w:val="24"/>
          <w:szCs w:val="24"/>
        </w:rPr>
        <w:t>Supplementary Fig. S1</w:t>
      </w:r>
      <w:r w:rsidRPr="00366376">
        <w:rPr>
          <w:rFonts w:asciiTheme="majorBidi" w:hAnsiTheme="majorBidi" w:cstheme="majorBidi"/>
          <w:sz w:val="24"/>
          <w:szCs w:val="24"/>
        </w:rPr>
        <w:t>. The distribution of ANXAs expression according to the PAM50 subtype of breast cancer (</w:t>
      </w:r>
      <w:proofErr w:type="spellStart"/>
      <w:r w:rsidRPr="00366376">
        <w:rPr>
          <w:rFonts w:asciiTheme="majorBidi" w:hAnsiTheme="majorBidi" w:cstheme="majorBidi"/>
          <w:sz w:val="24"/>
          <w:szCs w:val="24"/>
        </w:rPr>
        <w:t>bc-GenExMiner</w:t>
      </w:r>
      <w:proofErr w:type="spellEnd"/>
      <w:r w:rsidRPr="00366376">
        <w:rPr>
          <w:rFonts w:asciiTheme="majorBidi" w:hAnsiTheme="majorBidi" w:cstheme="majorBidi"/>
          <w:sz w:val="24"/>
          <w:szCs w:val="24"/>
        </w:rPr>
        <w:t xml:space="preserve"> v4.7). Using Welch’s tests and </w:t>
      </w:r>
      <w:proofErr w:type="spellStart"/>
      <w:r w:rsidRPr="00366376">
        <w:rPr>
          <w:rFonts w:asciiTheme="majorBidi" w:hAnsiTheme="majorBidi" w:cstheme="majorBidi"/>
          <w:sz w:val="24"/>
          <w:szCs w:val="24"/>
        </w:rPr>
        <w:t>Dunnett</w:t>
      </w:r>
      <w:proofErr w:type="spellEnd"/>
      <w:r w:rsidRPr="00366376">
        <w:rPr>
          <w:rFonts w:asciiTheme="majorBidi" w:hAnsiTheme="majorBidi" w:cstheme="majorBidi"/>
          <w:sz w:val="24"/>
          <w:szCs w:val="24"/>
        </w:rPr>
        <w:t>–</w:t>
      </w:r>
      <w:proofErr w:type="spellStart"/>
      <w:r w:rsidRPr="00366376">
        <w:rPr>
          <w:rFonts w:asciiTheme="majorBidi" w:hAnsiTheme="majorBidi" w:cstheme="majorBidi"/>
          <w:sz w:val="24"/>
          <w:szCs w:val="24"/>
        </w:rPr>
        <w:t>Tukey</w:t>
      </w:r>
      <w:proofErr w:type="spellEnd"/>
      <w:r w:rsidRPr="00366376">
        <w:rPr>
          <w:rFonts w:asciiTheme="majorBidi" w:hAnsiTheme="majorBidi" w:cstheme="majorBidi"/>
          <w:sz w:val="24"/>
          <w:szCs w:val="24"/>
        </w:rPr>
        <w:t>–Kramer’s test, the difference in mRNA expression between groups was assessed. Box plot of ANXAs expression goes from the lower quartile (Q1) to the upper quartile (Q3), and the median is marked with a horizontal dotted line. Whiskers are lines at the bottom and the top of the box representing the distance between the quartiles and 1.5 times the interquartile range. The number of patients is represented in brackets. *P &lt; 0.05, **P &lt; 0.01, ***P &lt; 0.001, ****P &lt; 0.0001.</w:t>
      </w:r>
    </w:p>
    <w:p w:rsidR="00F90D45" w:rsidRDefault="00F90D45" w:rsidP="00F90D45">
      <w:pPr>
        <w:bidi w:val="0"/>
        <w:jc w:val="both"/>
        <w:rPr>
          <w:rFonts w:asciiTheme="majorBidi" w:hAnsiTheme="majorBidi" w:cstheme="majorBidi"/>
          <w:sz w:val="24"/>
          <w:szCs w:val="24"/>
        </w:rPr>
      </w:pPr>
    </w:p>
    <w:p w:rsidR="00F90D45" w:rsidRDefault="00F90D45" w:rsidP="00F90D45">
      <w:pPr>
        <w:bidi w:val="0"/>
        <w:jc w:val="both"/>
        <w:rPr>
          <w:rFonts w:asciiTheme="majorBidi" w:hAnsiTheme="majorBidi" w:cstheme="majorBidi"/>
          <w:sz w:val="24"/>
          <w:szCs w:val="24"/>
        </w:rPr>
      </w:pPr>
    </w:p>
    <w:p w:rsidR="00F90D45" w:rsidRDefault="00F90D45" w:rsidP="00F90D45">
      <w:pPr>
        <w:bidi w:val="0"/>
        <w:jc w:val="both"/>
        <w:rPr>
          <w:rFonts w:asciiTheme="majorBidi" w:hAnsiTheme="majorBidi" w:cstheme="majorBidi"/>
          <w:sz w:val="24"/>
          <w:szCs w:val="24"/>
        </w:rPr>
      </w:pPr>
    </w:p>
    <w:p w:rsidR="00F90D45" w:rsidRDefault="00F90D45" w:rsidP="00F90D45">
      <w:pPr>
        <w:bidi w:val="0"/>
        <w:jc w:val="both"/>
        <w:rPr>
          <w:rFonts w:asciiTheme="majorBidi" w:hAnsiTheme="majorBidi" w:cstheme="majorBidi"/>
          <w:sz w:val="24"/>
          <w:szCs w:val="24"/>
        </w:rPr>
      </w:pPr>
    </w:p>
    <w:p w:rsidR="00F90D45" w:rsidRDefault="00F90D45" w:rsidP="00F90D45">
      <w:pPr>
        <w:bidi w:val="0"/>
        <w:jc w:val="both"/>
        <w:rPr>
          <w:rFonts w:asciiTheme="majorBidi" w:hAnsiTheme="majorBidi" w:cstheme="majorBidi"/>
          <w:sz w:val="24"/>
          <w:szCs w:val="24"/>
        </w:rPr>
      </w:pPr>
      <w:bookmarkStart w:id="0" w:name="_GoBack"/>
      <w:bookmarkEnd w:id="0"/>
    </w:p>
    <w:p w:rsidR="00D6386E" w:rsidRDefault="00D6386E" w:rsidP="00D6386E">
      <w:pPr>
        <w:bidi w:val="0"/>
      </w:pPr>
      <w:r>
        <w:rPr>
          <w:rFonts w:asciiTheme="majorBidi" w:hAnsiTheme="majorBidi" w:cstheme="majorBidi"/>
          <w:noProof/>
          <w:sz w:val="24"/>
          <w:szCs w:val="24"/>
        </w:rPr>
        <w:drawing>
          <wp:inline distT="0" distB="0" distL="0" distR="0" wp14:anchorId="7844FF96" wp14:editId="0A0E184E">
            <wp:extent cx="6661150" cy="4581525"/>
            <wp:effectExtent l="0" t="0" r="635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61150" cy="4581525"/>
                    </a:xfrm>
                    <a:prstGeom prst="rect">
                      <a:avLst/>
                    </a:prstGeom>
                  </pic:spPr>
                </pic:pic>
              </a:graphicData>
            </a:graphic>
          </wp:inline>
        </w:drawing>
      </w:r>
    </w:p>
    <w:p w:rsidR="00D6386E" w:rsidRDefault="00D6386E" w:rsidP="00D6386E">
      <w:pPr>
        <w:bidi w:val="0"/>
        <w:jc w:val="both"/>
        <w:rPr>
          <w:rFonts w:asciiTheme="majorBidi" w:hAnsiTheme="majorBidi" w:cstheme="majorBidi"/>
          <w:sz w:val="24"/>
          <w:szCs w:val="24"/>
        </w:rPr>
      </w:pPr>
      <w:r w:rsidRPr="002806BE">
        <w:rPr>
          <w:rFonts w:asciiTheme="majorBidi" w:hAnsiTheme="majorBidi" w:cstheme="majorBidi"/>
          <w:b/>
          <w:bCs/>
          <w:sz w:val="24"/>
          <w:szCs w:val="24"/>
        </w:rPr>
        <w:t>Supplementary Fig. S2</w:t>
      </w:r>
      <w:r w:rsidRPr="00824307">
        <w:rPr>
          <w:rFonts w:asciiTheme="majorBidi" w:hAnsiTheme="majorBidi" w:cstheme="majorBidi"/>
          <w:sz w:val="24"/>
          <w:szCs w:val="24"/>
        </w:rPr>
        <w:t xml:space="preserve">. The prognostic value of the </w:t>
      </w:r>
      <w:proofErr w:type="spellStart"/>
      <w:r w:rsidRPr="00824307">
        <w:rPr>
          <w:rFonts w:asciiTheme="majorBidi" w:hAnsiTheme="majorBidi" w:cstheme="majorBidi"/>
          <w:sz w:val="24"/>
          <w:szCs w:val="24"/>
        </w:rPr>
        <w:t>miRNAs</w:t>
      </w:r>
      <w:proofErr w:type="spellEnd"/>
      <w:r w:rsidRPr="00824307">
        <w:rPr>
          <w:rFonts w:asciiTheme="majorBidi" w:hAnsiTheme="majorBidi" w:cstheme="majorBidi"/>
          <w:sz w:val="24"/>
          <w:szCs w:val="24"/>
        </w:rPr>
        <w:t xml:space="preserve"> regulating </w:t>
      </w:r>
      <w:r>
        <w:rPr>
          <w:rFonts w:asciiTheme="majorBidi" w:hAnsiTheme="majorBidi" w:cstheme="majorBidi"/>
          <w:sz w:val="24"/>
          <w:szCs w:val="24"/>
        </w:rPr>
        <w:t>ANXA</w:t>
      </w:r>
      <w:r w:rsidRPr="00824307">
        <w:rPr>
          <w:rFonts w:asciiTheme="majorBidi" w:hAnsiTheme="majorBidi" w:cstheme="majorBidi"/>
          <w:sz w:val="24"/>
          <w:szCs w:val="24"/>
        </w:rPr>
        <w:t>s</w:t>
      </w:r>
      <w:r>
        <w:rPr>
          <w:rFonts w:asciiTheme="majorBidi" w:hAnsiTheme="majorBidi" w:cstheme="majorBidi"/>
          <w:sz w:val="24"/>
          <w:szCs w:val="24"/>
        </w:rPr>
        <w:t xml:space="preserve">. </w:t>
      </w:r>
      <w:r w:rsidRPr="00824307">
        <w:rPr>
          <w:rFonts w:asciiTheme="majorBidi" w:hAnsiTheme="majorBidi" w:cstheme="majorBidi"/>
          <w:sz w:val="24"/>
          <w:szCs w:val="24"/>
        </w:rPr>
        <w:t xml:space="preserve">(Kaplan-Meier plotter). The association of </w:t>
      </w:r>
      <w:r>
        <w:rPr>
          <w:rFonts w:asciiTheme="majorBidi" w:hAnsiTheme="majorBidi" w:cstheme="majorBidi"/>
          <w:sz w:val="24"/>
          <w:szCs w:val="24"/>
        </w:rPr>
        <w:t>mi</w:t>
      </w:r>
      <w:r w:rsidRPr="00824307">
        <w:rPr>
          <w:rFonts w:asciiTheme="majorBidi" w:hAnsiTheme="majorBidi" w:cstheme="majorBidi"/>
          <w:sz w:val="24"/>
          <w:szCs w:val="24"/>
        </w:rPr>
        <w:t>R-</w:t>
      </w:r>
      <w:r>
        <w:rPr>
          <w:rFonts w:asciiTheme="majorBidi" w:hAnsiTheme="majorBidi" w:cstheme="majorBidi"/>
          <w:sz w:val="24"/>
          <w:szCs w:val="24"/>
        </w:rPr>
        <w:t>26b</w:t>
      </w:r>
      <w:r w:rsidRPr="00824307">
        <w:rPr>
          <w:rFonts w:asciiTheme="majorBidi" w:hAnsiTheme="majorBidi" w:cstheme="majorBidi"/>
          <w:sz w:val="24"/>
          <w:szCs w:val="24"/>
        </w:rPr>
        <w:t xml:space="preserve">, </w:t>
      </w:r>
      <w:r>
        <w:rPr>
          <w:rFonts w:asciiTheme="majorBidi" w:hAnsiTheme="majorBidi" w:cstheme="majorBidi"/>
          <w:sz w:val="24"/>
          <w:szCs w:val="24"/>
        </w:rPr>
        <w:t>mi</w:t>
      </w:r>
      <w:r w:rsidRPr="00824307">
        <w:rPr>
          <w:rFonts w:asciiTheme="majorBidi" w:hAnsiTheme="majorBidi" w:cstheme="majorBidi"/>
          <w:sz w:val="24"/>
          <w:szCs w:val="24"/>
        </w:rPr>
        <w:t>R-</w:t>
      </w:r>
      <w:r>
        <w:rPr>
          <w:rFonts w:asciiTheme="majorBidi" w:hAnsiTheme="majorBidi" w:cstheme="majorBidi"/>
          <w:sz w:val="24"/>
          <w:szCs w:val="24"/>
        </w:rPr>
        <w:t>124</w:t>
      </w:r>
      <w:r w:rsidRPr="00824307">
        <w:rPr>
          <w:rFonts w:asciiTheme="majorBidi" w:hAnsiTheme="majorBidi" w:cstheme="majorBidi"/>
          <w:sz w:val="24"/>
          <w:szCs w:val="24"/>
        </w:rPr>
        <w:t xml:space="preserve">, </w:t>
      </w:r>
      <w:r>
        <w:rPr>
          <w:rFonts w:asciiTheme="majorBidi" w:hAnsiTheme="majorBidi" w:cstheme="majorBidi"/>
          <w:sz w:val="24"/>
          <w:szCs w:val="24"/>
        </w:rPr>
        <w:t>mi</w:t>
      </w:r>
      <w:r w:rsidRPr="00824307">
        <w:rPr>
          <w:rFonts w:asciiTheme="majorBidi" w:hAnsiTheme="majorBidi" w:cstheme="majorBidi"/>
          <w:sz w:val="24"/>
          <w:szCs w:val="24"/>
        </w:rPr>
        <w:t>R-</w:t>
      </w:r>
      <w:r>
        <w:rPr>
          <w:rFonts w:asciiTheme="majorBidi" w:hAnsiTheme="majorBidi" w:cstheme="majorBidi"/>
          <w:sz w:val="24"/>
          <w:szCs w:val="24"/>
        </w:rPr>
        <w:t>196a</w:t>
      </w:r>
      <w:r w:rsidRPr="00824307">
        <w:rPr>
          <w:rFonts w:asciiTheme="majorBidi" w:hAnsiTheme="majorBidi" w:cstheme="majorBidi"/>
          <w:sz w:val="24"/>
          <w:szCs w:val="24"/>
        </w:rPr>
        <w:t xml:space="preserve">, </w:t>
      </w:r>
      <w:r>
        <w:rPr>
          <w:rFonts w:asciiTheme="majorBidi" w:hAnsiTheme="majorBidi" w:cstheme="majorBidi"/>
          <w:sz w:val="24"/>
          <w:szCs w:val="24"/>
        </w:rPr>
        <w:t>mi</w:t>
      </w:r>
      <w:r w:rsidRPr="00824307">
        <w:rPr>
          <w:rFonts w:asciiTheme="majorBidi" w:hAnsiTheme="majorBidi" w:cstheme="majorBidi"/>
          <w:sz w:val="24"/>
          <w:szCs w:val="24"/>
        </w:rPr>
        <w:t>R-</w:t>
      </w:r>
      <w:r>
        <w:rPr>
          <w:rFonts w:asciiTheme="majorBidi" w:hAnsiTheme="majorBidi" w:cstheme="majorBidi"/>
          <w:sz w:val="24"/>
          <w:szCs w:val="24"/>
        </w:rPr>
        <w:t>324-5p,</w:t>
      </w:r>
      <w:r w:rsidRPr="00194B25">
        <w:rPr>
          <w:rFonts w:asciiTheme="majorBidi" w:hAnsiTheme="majorBidi" w:cstheme="majorBidi"/>
          <w:sz w:val="24"/>
          <w:szCs w:val="24"/>
        </w:rPr>
        <w:t xml:space="preserve"> </w:t>
      </w:r>
      <w:r>
        <w:rPr>
          <w:rFonts w:asciiTheme="majorBidi" w:hAnsiTheme="majorBidi" w:cstheme="majorBidi"/>
          <w:sz w:val="24"/>
          <w:szCs w:val="24"/>
        </w:rPr>
        <w:t>mi</w:t>
      </w:r>
      <w:r w:rsidRPr="00824307">
        <w:rPr>
          <w:rFonts w:asciiTheme="majorBidi" w:hAnsiTheme="majorBidi" w:cstheme="majorBidi"/>
          <w:sz w:val="24"/>
          <w:szCs w:val="24"/>
        </w:rPr>
        <w:t>R-</w:t>
      </w:r>
      <w:r>
        <w:rPr>
          <w:rFonts w:asciiTheme="majorBidi" w:hAnsiTheme="majorBidi" w:cstheme="majorBidi"/>
          <w:sz w:val="24"/>
          <w:szCs w:val="24"/>
        </w:rPr>
        <w:t>1246</w:t>
      </w:r>
      <w:r w:rsidRPr="00824307">
        <w:rPr>
          <w:rFonts w:asciiTheme="majorBidi" w:hAnsiTheme="majorBidi" w:cstheme="majorBidi"/>
          <w:sz w:val="24"/>
          <w:szCs w:val="24"/>
        </w:rPr>
        <w:t xml:space="preserve"> and </w:t>
      </w:r>
      <w:r>
        <w:rPr>
          <w:rFonts w:asciiTheme="majorBidi" w:hAnsiTheme="majorBidi" w:cstheme="majorBidi"/>
          <w:sz w:val="24"/>
          <w:szCs w:val="24"/>
        </w:rPr>
        <w:t>mi</w:t>
      </w:r>
      <w:r w:rsidRPr="00824307">
        <w:rPr>
          <w:rFonts w:asciiTheme="majorBidi" w:hAnsiTheme="majorBidi" w:cstheme="majorBidi"/>
          <w:sz w:val="24"/>
          <w:szCs w:val="24"/>
        </w:rPr>
        <w:t>R-</w:t>
      </w:r>
      <w:r>
        <w:rPr>
          <w:rFonts w:asciiTheme="majorBidi" w:hAnsiTheme="majorBidi" w:cstheme="majorBidi"/>
          <w:sz w:val="24"/>
          <w:szCs w:val="24"/>
        </w:rPr>
        <w:t xml:space="preserve">5579 </w:t>
      </w:r>
      <w:r w:rsidRPr="00824307">
        <w:rPr>
          <w:rFonts w:asciiTheme="majorBidi" w:hAnsiTheme="majorBidi" w:cstheme="majorBidi"/>
          <w:sz w:val="24"/>
          <w:szCs w:val="24"/>
        </w:rPr>
        <w:t>expression wi</w:t>
      </w:r>
      <w:r>
        <w:rPr>
          <w:rFonts w:asciiTheme="majorBidi" w:hAnsiTheme="majorBidi" w:cstheme="majorBidi"/>
          <w:sz w:val="24"/>
          <w:szCs w:val="24"/>
        </w:rPr>
        <w:t xml:space="preserve">th OS in BC </w:t>
      </w:r>
      <w:r w:rsidRPr="00824307">
        <w:rPr>
          <w:rFonts w:asciiTheme="majorBidi" w:hAnsiTheme="majorBidi" w:cstheme="majorBidi"/>
          <w:sz w:val="24"/>
          <w:szCs w:val="24"/>
        </w:rPr>
        <w:t>patients. A value of P &lt; 0.05 was defined as significant. The confidence</w:t>
      </w:r>
      <w:r>
        <w:rPr>
          <w:rFonts w:asciiTheme="majorBidi" w:hAnsiTheme="majorBidi" w:cstheme="majorBidi"/>
          <w:sz w:val="24"/>
          <w:szCs w:val="24"/>
        </w:rPr>
        <w:t xml:space="preserve"> </w:t>
      </w:r>
      <w:r w:rsidRPr="00824307">
        <w:rPr>
          <w:rFonts w:asciiTheme="majorBidi" w:hAnsiTheme="majorBidi" w:cstheme="majorBidi"/>
          <w:sz w:val="24"/>
          <w:szCs w:val="24"/>
        </w:rPr>
        <w:t>interva</w:t>
      </w:r>
      <w:r>
        <w:rPr>
          <w:rFonts w:asciiTheme="majorBidi" w:hAnsiTheme="majorBidi" w:cstheme="majorBidi"/>
          <w:sz w:val="24"/>
          <w:szCs w:val="24"/>
        </w:rPr>
        <w:t xml:space="preserve">ls are represented in brackets. </w:t>
      </w:r>
      <w:r w:rsidRPr="00366376">
        <w:rPr>
          <w:rFonts w:asciiTheme="majorBidi" w:hAnsiTheme="majorBidi" w:cstheme="majorBidi"/>
          <w:sz w:val="24"/>
          <w:szCs w:val="24"/>
        </w:rPr>
        <w:t>Red line represents higher expression and black l</w:t>
      </w:r>
      <w:r>
        <w:rPr>
          <w:rFonts w:asciiTheme="majorBidi" w:hAnsiTheme="majorBidi" w:cstheme="majorBidi"/>
          <w:sz w:val="24"/>
          <w:szCs w:val="24"/>
        </w:rPr>
        <w:t>ine represents lower expression</w:t>
      </w:r>
      <w:r w:rsidRPr="00824307">
        <w:rPr>
          <w:rFonts w:asciiTheme="majorBidi" w:hAnsiTheme="majorBidi" w:cstheme="majorBidi"/>
          <w:sz w:val="24"/>
          <w:szCs w:val="24"/>
        </w:rPr>
        <w:t>. HR,</w:t>
      </w:r>
      <w:r>
        <w:rPr>
          <w:rFonts w:asciiTheme="majorBidi" w:hAnsiTheme="majorBidi" w:cstheme="majorBidi"/>
          <w:sz w:val="24"/>
          <w:szCs w:val="24"/>
        </w:rPr>
        <w:t xml:space="preserve"> </w:t>
      </w:r>
      <w:r w:rsidRPr="00824307">
        <w:rPr>
          <w:rFonts w:asciiTheme="majorBidi" w:hAnsiTheme="majorBidi" w:cstheme="majorBidi"/>
          <w:sz w:val="24"/>
          <w:szCs w:val="24"/>
        </w:rPr>
        <w:t>hazard ratio.</w:t>
      </w:r>
    </w:p>
    <w:p w:rsidR="00D6386E" w:rsidRDefault="00D6386E" w:rsidP="00D6386E">
      <w:pPr>
        <w:bidi w:val="0"/>
        <w:jc w:val="center"/>
      </w:pPr>
    </w:p>
    <w:p w:rsidR="00D6386E" w:rsidRDefault="00D6386E" w:rsidP="00D6386E">
      <w:pPr>
        <w:bidi w:val="0"/>
      </w:pPr>
    </w:p>
    <w:p w:rsidR="00D6386E" w:rsidRDefault="00D6386E" w:rsidP="00D6386E">
      <w:pPr>
        <w:bidi w:val="0"/>
        <w:jc w:val="center"/>
      </w:pPr>
      <w:r>
        <w:rPr>
          <w:rFonts w:asciiTheme="majorBidi" w:hAnsiTheme="majorBidi" w:cstheme="majorBidi"/>
          <w:noProof/>
          <w:sz w:val="24"/>
          <w:szCs w:val="24"/>
        </w:rPr>
        <w:lastRenderedPageBreak/>
        <w:drawing>
          <wp:inline distT="0" distB="0" distL="0" distR="0" wp14:anchorId="59C710B9" wp14:editId="44D95F60">
            <wp:extent cx="4332605" cy="33395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final.png"/>
                    <pic:cNvPicPr/>
                  </pic:nvPicPr>
                  <pic:blipFill>
                    <a:blip r:embed="rId6">
                      <a:extLst>
                        <a:ext uri="{28A0092B-C50C-407E-A947-70E740481C1C}">
                          <a14:useLocalDpi xmlns:a14="http://schemas.microsoft.com/office/drawing/2010/main" val="0"/>
                        </a:ext>
                      </a:extLst>
                    </a:blip>
                    <a:stretch>
                      <a:fillRect/>
                    </a:stretch>
                  </pic:blipFill>
                  <pic:spPr>
                    <a:xfrm>
                      <a:off x="0" y="0"/>
                      <a:ext cx="4337789" cy="3343544"/>
                    </a:xfrm>
                    <a:prstGeom prst="rect">
                      <a:avLst/>
                    </a:prstGeom>
                  </pic:spPr>
                </pic:pic>
              </a:graphicData>
            </a:graphic>
          </wp:inline>
        </w:drawing>
      </w:r>
    </w:p>
    <w:p w:rsidR="00D6386E" w:rsidRDefault="00D6386E" w:rsidP="00D6386E">
      <w:pPr>
        <w:bidi w:val="0"/>
        <w:rPr>
          <w:rFonts w:asciiTheme="majorBidi" w:hAnsiTheme="majorBidi" w:cstheme="majorBidi"/>
          <w:sz w:val="24"/>
          <w:szCs w:val="24"/>
        </w:rPr>
      </w:pPr>
      <w:r w:rsidRPr="002806BE">
        <w:rPr>
          <w:rFonts w:asciiTheme="majorBidi" w:hAnsiTheme="majorBidi" w:cstheme="majorBidi"/>
          <w:b/>
          <w:bCs/>
          <w:sz w:val="24"/>
          <w:szCs w:val="24"/>
        </w:rPr>
        <w:t>Supplementary Fig. S3</w:t>
      </w:r>
      <w:r w:rsidRPr="00824307">
        <w:rPr>
          <w:rFonts w:asciiTheme="majorBidi" w:hAnsiTheme="majorBidi" w:cstheme="majorBidi"/>
          <w:sz w:val="24"/>
          <w:szCs w:val="24"/>
        </w:rPr>
        <w:t xml:space="preserve">. The prognostic value of the </w:t>
      </w:r>
      <w:r>
        <w:rPr>
          <w:rFonts w:asciiTheme="majorBidi" w:hAnsiTheme="majorBidi" w:cstheme="majorBidi"/>
          <w:sz w:val="24"/>
          <w:szCs w:val="24"/>
        </w:rPr>
        <w:t>Transcription Factor</w:t>
      </w:r>
      <w:r w:rsidRPr="00824307">
        <w:rPr>
          <w:rFonts w:asciiTheme="majorBidi" w:hAnsiTheme="majorBidi" w:cstheme="majorBidi"/>
          <w:sz w:val="24"/>
          <w:szCs w:val="24"/>
        </w:rPr>
        <w:t xml:space="preserve"> regulating </w:t>
      </w:r>
      <w:r>
        <w:rPr>
          <w:rFonts w:asciiTheme="majorBidi" w:hAnsiTheme="majorBidi" w:cstheme="majorBidi"/>
          <w:sz w:val="24"/>
          <w:szCs w:val="24"/>
        </w:rPr>
        <w:t>ANXA</w:t>
      </w:r>
      <w:r w:rsidRPr="00824307">
        <w:rPr>
          <w:rFonts w:asciiTheme="majorBidi" w:hAnsiTheme="majorBidi" w:cstheme="majorBidi"/>
          <w:sz w:val="24"/>
          <w:szCs w:val="24"/>
        </w:rPr>
        <w:t>s</w:t>
      </w:r>
      <w:r>
        <w:rPr>
          <w:rFonts w:asciiTheme="majorBidi" w:hAnsiTheme="majorBidi" w:cstheme="majorBidi"/>
          <w:sz w:val="24"/>
          <w:szCs w:val="24"/>
        </w:rPr>
        <w:t xml:space="preserve">. </w:t>
      </w:r>
      <w:r w:rsidRPr="00824307">
        <w:rPr>
          <w:rFonts w:asciiTheme="majorBidi" w:hAnsiTheme="majorBidi" w:cstheme="majorBidi"/>
          <w:sz w:val="24"/>
          <w:szCs w:val="24"/>
        </w:rPr>
        <w:t xml:space="preserve">(Kaplan-Meier plotter). The association of </w:t>
      </w:r>
      <w:r w:rsidRPr="007D5C45">
        <w:rPr>
          <w:rFonts w:asciiTheme="majorBidi" w:hAnsiTheme="majorBidi" w:cstheme="majorBidi"/>
          <w:sz w:val="24"/>
          <w:szCs w:val="24"/>
        </w:rPr>
        <w:t>mRNA expression of</w:t>
      </w:r>
      <w:r>
        <w:rPr>
          <w:rFonts w:asciiTheme="majorBidi" w:hAnsiTheme="majorBidi" w:cstheme="majorBidi"/>
          <w:sz w:val="24"/>
          <w:szCs w:val="24"/>
        </w:rPr>
        <w:t xml:space="preserve"> SMAD3 </w:t>
      </w:r>
      <w:r w:rsidRPr="00824307">
        <w:rPr>
          <w:rFonts w:asciiTheme="majorBidi" w:hAnsiTheme="majorBidi" w:cstheme="majorBidi"/>
          <w:sz w:val="24"/>
          <w:szCs w:val="24"/>
        </w:rPr>
        <w:t>wi</w:t>
      </w:r>
      <w:r>
        <w:rPr>
          <w:rFonts w:asciiTheme="majorBidi" w:hAnsiTheme="majorBidi" w:cstheme="majorBidi"/>
          <w:sz w:val="24"/>
          <w:szCs w:val="24"/>
        </w:rPr>
        <w:t xml:space="preserve">th OS in BC </w:t>
      </w:r>
      <w:r w:rsidRPr="00824307">
        <w:rPr>
          <w:rFonts w:asciiTheme="majorBidi" w:hAnsiTheme="majorBidi" w:cstheme="majorBidi"/>
          <w:sz w:val="24"/>
          <w:szCs w:val="24"/>
        </w:rPr>
        <w:t>patients. A value of P &lt; 0.05 was defined as significant. The confidence</w:t>
      </w:r>
      <w:r>
        <w:rPr>
          <w:rFonts w:asciiTheme="majorBidi" w:hAnsiTheme="majorBidi" w:cstheme="majorBidi"/>
          <w:sz w:val="24"/>
          <w:szCs w:val="24"/>
        </w:rPr>
        <w:t xml:space="preserve"> </w:t>
      </w:r>
      <w:r w:rsidRPr="00824307">
        <w:rPr>
          <w:rFonts w:asciiTheme="majorBidi" w:hAnsiTheme="majorBidi" w:cstheme="majorBidi"/>
          <w:sz w:val="24"/>
          <w:szCs w:val="24"/>
        </w:rPr>
        <w:t>interva</w:t>
      </w:r>
      <w:r>
        <w:rPr>
          <w:rFonts w:asciiTheme="majorBidi" w:hAnsiTheme="majorBidi" w:cstheme="majorBidi"/>
          <w:sz w:val="24"/>
          <w:szCs w:val="24"/>
        </w:rPr>
        <w:t xml:space="preserve">ls are represented in brackets. </w:t>
      </w:r>
      <w:r w:rsidRPr="00366376">
        <w:rPr>
          <w:rFonts w:asciiTheme="majorBidi" w:hAnsiTheme="majorBidi" w:cstheme="majorBidi"/>
          <w:sz w:val="24"/>
          <w:szCs w:val="24"/>
        </w:rPr>
        <w:t>Red line represents higher expression and black l</w:t>
      </w:r>
      <w:r>
        <w:rPr>
          <w:rFonts w:asciiTheme="majorBidi" w:hAnsiTheme="majorBidi" w:cstheme="majorBidi"/>
          <w:sz w:val="24"/>
          <w:szCs w:val="24"/>
        </w:rPr>
        <w:t>ine represents lower expression</w:t>
      </w:r>
      <w:r w:rsidRPr="00824307">
        <w:rPr>
          <w:rFonts w:asciiTheme="majorBidi" w:hAnsiTheme="majorBidi" w:cstheme="majorBidi"/>
          <w:sz w:val="24"/>
          <w:szCs w:val="24"/>
        </w:rPr>
        <w:t>. HR,</w:t>
      </w:r>
      <w:r>
        <w:rPr>
          <w:rFonts w:asciiTheme="majorBidi" w:hAnsiTheme="majorBidi" w:cstheme="majorBidi"/>
          <w:sz w:val="24"/>
          <w:szCs w:val="24"/>
        </w:rPr>
        <w:t xml:space="preserve"> </w:t>
      </w:r>
      <w:r w:rsidRPr="00824307">
        <w:rPr>
          <w:rFonts w:asciiTheme="majorBidi" w:hAnsiTheme="majorBidi" w:cstheme="majorBidi"/>
          <w:sz w:val="24"/>
          <w:szCs w:val="24"/>
        </w:rPr>
        <w:t>hazard ratio.</w:t>
      </w:r>
    </w:p>
    <w:p w:rsidR="00F90D45" w:rsidRDefault="00F90D45" w:rsidP="00F90D45">
      <w:pPr>
        <w:bidi w:val="0"/>
        <w:rPr>
          <w:rFonts w:asciiTheme="majorBidi" w:hAnsiTheme="majorBidi" w:cstheme="majorBidi"/>
          <w:sz w:val="24"/>
          <w:szCs w:val="24"/>
        </w:rPr>
      </w:pPr>
    </w:p>
    <w:p w:rsidR="00D6386E" w:rsidRDefault="00D6386E" w:rsidP="00D6386E">
      <w:pPr>
        <w:bidi w:val="0"/>
        <w:rPr>
          <w:rFonts w:asciiTheme="majorBidi" w:hAnsiTheme="majorBidi" w:cstheme="majorBidi"/>
          <w:sz w:val="24"/>
          <w:szCs w:val="24"/>
        </w:rPr>
      </w:pPr>
    </w:p>
    <w:p w:rsidR="00D6386E" w:rsidRDefault="00D6386E" w:rsidP="00D6386E">
      <w:pPr>
        <w:bidi w:val="0"/>
        <w:rPr>
          <w:rFonts w:asciiTheme="majorBidi" w:hAnsiTheme="majorBidi" w:cstheme="majorBidi"/>
          <w:sz w:val="24"/>
          <w:szCs w:val="24"/>
        </w:rPr>
      </w:pPr>
    </w:p>
    <w:p w:rsidR="00D6386E" w:rsidRDefault="00D6386E" w:rsidP="00D6386E">
      <w:pPr>
        <w:bidi w:val="0"/>
        <w:rPr>
          <w:rFonts w:asciiTheme="majorBidi" w:hAnsiTheme="majorBidi" w:cstheme="majorBidi"/>
          <w:sz w:val="24"/>
          <w:szCs w:val="24"/>
        </w:rPr>
      </w:pPr>
      <w:r w:rsidRPr="00D6386E">
        <w:rPr>
          <w:rFonts w:asciiTheme="majorBidi" w:hAnsiTheme="majorBidi" w:cstheme="majorBidi"/>
          <w:b/>
          <w:bCs/>
          <w:sz w:val="24"/>
          <w:szCs w:val="24"/>
        </w:rPr>
        <w:t>Table s1.</w:t>
      </w:r>
      <w:r w:rsidRPr="00D6386E">
        <w:rPr>
          <w:rFonts w:asciiTheme="majorBidi" w:hAnsiTheme="majorBidi" w:cstheme="majorBidi"/>
          <w:sz w:val="24"/>
          <w:szCs w:val="24"/>
        </w:rPr>
        <w:t xml:space="preserve"> The top 50 frequently altered neighbor genes co-expressed with ANXAs members in BC.</w:t>
      </w:r>
    </w:p>
    <w:tbl>
      <w:tblPr>
        <w:tblStyle w:val="GridTable6Colorful"/>
        <w:tblW w:w="0" w:type="auto"/>
        <w:tblLook w:val="04A0" w:firstRow="1" w:lastRow="0" w:firstColumn="1" w:lastColumn="0" w:noHBand="0" w:noVBand="1"/>
      </w:tblPr>
      <w:tblGrid>
        <w:gridCol w:w="1888"/>
        <w:gridCol w:w="1881"/>
        <w:gridCol w:w="1897"/>
        <w:gridCol w:w="1898"/>
        <w:gridCol w:w="1899"/>
      </w:tblGrid>
      <w:tr w:rsidR="00D6386E" w:rsidTr="005E68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dxa"/>
          </w:tcPr>
          <w:p w:rsidR="00D6386E" w:rsidRPr="002806BE" w:rsidRDefault="00D6386E" w:rsidP="005E68E9">
            <w:pPr>
              <w:bidi w:val="0"/>
              <w:rPr>
                <w:rFonts w:asciiTheme="majorBidi" w:hAnsiTheme="majorBidi" w:cstheme="majorBidi"/>
                <w:sz w:val="24"/>
                <w:szCs w:val="24"/>
              </w:rPr>
            </w:pPr>
            <w:r w:rsidRPr="002806BE">
              <w:t>FLNA</w:t>
            </w:r>
          </w:p>
        </w:tc>
        <w:tc>
          <w:tcPr>
            <w:tcW w:w="2096" w:type="dxa"/>
          </w:tcPr>
          <w:p w:rsidR="00D6386E" w:rsidRPr="002806BE" w:rsidRDefault="00D6386E" w:rsidP="005E68E9">
            <w:pPr>
              <w:bidi w:val="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2806BE">
              <w:t>PARVG</w:t>
            </w:r>
          </w:p>
        </w:tc>
        <w:tc>
          <w:tcPr>
            <w:tcW w:w="2096" w:type="dxa"/>
          </w:tcPr>
          <w:p w:rsidR="00D6386E" w:rsidRPr="002806BE" w:rsidRDefault="00D6386E" w:rsidP="005E68E9">
            <w:pPr>
              <w:bidi w:val="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2806BE">
              <w:t>IL10RA</w:t>
            </w:r>
          </w:p>
        </w:tc>
        <w:tc>
          <w:tcPr>
            <w:tcW w:w="2096" w:type="dxa"/>
          </w:tcPr>
          <w:p w:rsidR="00D6386E" w:rsidRPr="002806BE" w:rsidRDefault="00D6386E" w:rsidP="005E68E9">
            <w:pPr>
              <w:bidi w:val="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2806BE">
              <w:t>EGFR</w:t>
            </w:r>
          </w:p>
        </w:tc>
        <w:tc>
          <w:tcPr>
            <w:tcW w:w="2096" w:type="dxa"/>
          </w:tcPr>
          <w:p w:rsidR="00D6386E" w:rsidRPr="002806BE" w:rsidRDefault="00D6386E" w:rsidP="005E68E9">
            <w:pPr>
              <w:bidi w:val="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2806BE">
              <w:t>S100A11</w:t>
            </w:r>
          </w:p>
        </w:tc>
      </w:tr>
      <w:tr w:rsidR="00D6386E" w:rsidTr="005E6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dxa"/>
          </w:tcPr>
          <w:p w:rsidR="00D6386E" w:rsidRPr="002806BE" w:rsidRDefault="00D6386E" w:rsidP="005E68E9">
            <w:pPr>
              <w:bidi w:val="0"/>
              <w:rPr>
                <w:rFonts w:asciiTheme="majorBidi" w:hAnsiTheme="majorBidi" w:cstheme="majorBidi"/>
                <w:sz w:val="24"/>
                <w:szCs w:val="24"/>
              </w:rPr>
            </w:pPr>
            <w:r w:rsidRPr="002806BE">
              <w:t>THPO</w:t>
            </w:r>
          </w:p>
        </w:tc>
        <w:tc>
          <w:tcPr>
            <w:tcW w:w="2096" w:type="dxa"/>
          </w:tcPr>
          <w:p w:rsidR="00D6386E" w:rsidRPr="002806BE" w:rsidRDefault="00D6386E" w:rsidP="005E68E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2806BE">
              <w:rPr>
                <w:b/>
                <w:bCs/>
              </w:rPr>
              <w:t>GP2</w:t>
            </w:r>
          </w:p>
        </w:tc>
        <w:tc>
          <w:tcPr>
            <w:tcW w:w="2096" w:type="dxa"/>
          </w:tcPr>
          <w:p w:rsidR="00D6386E" w:rsidRPr="002806BE" w:rsidRDefault="00D6386E" w:rsidP="005E68E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2806BE">
              <w:rPr>
                <w:b/>
                <w:bCs/>
              </w:rPr>
              <w:t>FBLIM1</w:t>
            </w:r>
          </w:p>
        </w:tc>
        <w:tc>
          <w:tcPr>
            <w:tcW w:w="2096" w:type="dxa"/>
          </w:tcPr>
          <w:p w:rsidR="00D6386E" w:rsidRPr="002806BE" w:rsidRDefault="00D6386E" w:rsidP="005E68E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2806BE">
              <w:rPr>
                <w:b/>
                <w:bCs/>
              </w:rPr>
              <w:t>HCLS1</w:t>
            </w:r>
          </w:p>
        </w:tc>
        <w:tc>
          <w:tcPr>
            <w:tcW w:w="2096" w:type="dxa"/>
          </w:tcPr>
          <w:p w:rsidR="00D6386E" w:rsidRPr="002806BE" w:rsidRDefault="00D6386E" w:rsidP="005E68E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2806BE">
              <w:rPr>
                <w:b/>
                <w:bCs/>
              </w:rPr>
              <w:t>C4BPA</w:t>
            </w:r>
          </w:p>
        </w:tc>
      </w:tr>
      <w:tr w:rsidR="00D6386E" w:rsidTr="005E68E9">
        <w:tc>
          <w:tcPr>
            <w:cnfStyle w:val="001000000000" w:firstRow="0" w:lastRow="0" w:firstColumn="1" w:lastColumn="0" w:oddVBand="0" w:evenVBand="0" w:oddHBand="0" w:evenHBand="0" w:firstRowFirstColumn="0" w:firstRowLastColumn="0" w:lastRowFirstColumn="0" w:lastRowLastColumn="0"/>
            <w:tcW w:w="2096" w:type="dxa"/>
          </w:tcPr>
          <w:p w:rsidR="00D6386E" w:rsidRPr="002806BE" w:rsidRDefault="00D6386E" w:rsidP="005E68E9">
            <w:pPr>
              <w:bidi w:val="0"/>
              <w:rPr>
                <w:rFonts w:asciiTheme="majorBidi" w:hAnsiTheme="majorBidi" w:cstheme="majorBidi"/>
                <w:sz w:val="24"/>
                <w:szCs w:val="24"/>
              </w:rPr>
            </w:pPr>
            <w:r w:rsidRPr="002806BE">
              <w:t>GRP</w:t>
            </w:r>
          </w:p>
        </w:tc>
        <w:tc>
          <w:tcPr>
            <w:tcW w:w="2096" w:type="dxa"/>
          </w:tcPr>
          <w:p w:rsidR="00D6386E" w:rsidRPr="002806BE" w:rsidRDefault="00D6386E" w:rsidP="005E68E9">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2806BE">
              <w:rPr>
                <w:b/>
                <w:bCs/>
              </w:rPr>
              <w:t>LAMP1</w:t>
            </w:r>
          </w:p>
        </w:tc>
        <w:tc>
          <w:tcPr>
            <w:tcW w:w="2096" w:type="dxa"/>
          </w:tcPr>
          <w:p w:rsidR="00D6386E" w:rsidRPr="002806BE" w:rsidRDefault="00D6386E" w:rsidP="005E68E9">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2806BE">
              <w:rPr>
                <w:b/>
                <w:bCs/>
              </w:rPr>
              <w:t>MDM2</w:t>
            </w:r>
          </w:p>
        </w:tc>
        <w:tc>
          <w:tcPr>
            <w:tcW w:w="2096" w:type="dxa"/>
          </w:tcPr>
          <w:p w:rsidR="00D6386E" w:rsidRPr="002806BE" w:rsidRDefault="00D6386E" w:rsidP="005E68E9">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2806BE">
              <w:rPr>
                <w:b/>
                <w:bCs/>
              </w:rPr>
              <w:t>CD244</w:t>
            </w:r>
          </w:p>
        </w:tc>
        <w:tc>
          <w:tcPr>
            <w:tcW w:w="2096" w:type="dxa"/>
          </w:tcPr>
          <w:p w:rsidR="00D6386E" w:rsidRPr="002806BE" w:rsidRDefault="00D6386E" w:rsidP="005E68E9">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2806BE">
              <w:rPr>
                <w:b/>
                <w:bCs/>
              </w:rPr>
              <w:t>ALOX5</w:t>
            </w:r>
          </w:p>
        </w:tc>
      </w:tr>
      <w:tr w:rsidR="00D6386E" w:rsidTr="005E6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dxa"/>
          </w:tcPr>
          <w:p w:rsidR="00D6386E" w:rsidRPr="002806BE" w:rsidRDefault="00D6386E" w:rsidP="005E68E9">
            <w:pPr>
              <w:bidi w:val="0"/>
              <w:rPr>
                <w:rFonts w:asciiTheme="majorBidi" w:hAnsiTheme="majorBidi" w:cstheme="majorBidi"/>
                <w:sz w:val="24"/>
                <w:szCs w:val="24"/>
              </w:rPr>
            </w:pPr>
            <w:r w:rsidRPr="002806BE">
              <w:t>DNM1</w:t>
            </w:r>
          </w:p>
        </w:tc>
        <w:tc>
          <w:tcPr>
            <w:tcW w:w="2096" w:type="dxa"/>
          </w:tcPr>
          <w:p w:rsidR="00D6386E" w:rsidRPr="002806BE" w:rsidRDefault="00D6386E" w:rsidP="005E68E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2806BE">
              <w:rPr>
                <w:b/>
                <w:bCs/>
              </w:rPr>
              <w:t>GMFG</w:t>
            </w:r>
          </w:p>
        </w:tc>
        <w:tc>
          <w:tcPr>
            <w:tcW w:w="2096" w:type="dxa"/>
          </w:tcPr>
          <w:p w:rsidR="00D6386E" w:rsidRPr="002806BE" w:rsidRDefault="00D6386E" w:rsidP="005E68E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2806BE">
              <w:rPr>
                <w:b/>
                <w:bCs/>
              </w:rPr>
              <w:t>AGGF1</w:t>
            </w:r>
          </w:p>
        </w:tc>
        <w:tc>
          <w:tcPr>
            <w:tcW w:w="2096" w:type="dxa"/>
          </w:tcPr>
          <w:p w:rsidR="00D6386E" w:rsidRPr="002806BE" w:rsidRDefault="00D6386E" w:rsidP="005E68E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2806BE">
              <w:rPr>
                <w:b/>
                <w:bCs/>
              </w:rPr>
              <w:t>EFNA4</w:t>
            </w:r>
          </w:p>
        </w:tc>
        <w:tc>
          <w:tcPr>
            <w:tcW w:w="2096" w:type="dxa"/>
          </w:tcPr>
          <w:p w:rsidR="00D6386E" w:rsidRPr="002806BE" w:rsidRDefault="00D6386E" w:rsidP="005E68E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2806BE">
              <w:rPr>
                <w:b/>
                <w:bCs/>
              </w:rPr>
              <w:t>PIK3CD</w:t>
            </w:r>
          </w:p>
        </w:tc>
      </w:tr>
      <w:tr w:rsidR="00D6386E" w:rsidTr="005E68E9">
        <w:tc>
          <w:tcPr>
            <w:cnfStyle w:val="001000000000" w:firstRow="0" w:lastRow="0" w:firstColumn="1" w:lastColumn="0" w:oddVBand="0" w:evenVBand="0" w:oddHBand="0" w:evenHBand="0" w:firstRowFirstColumn="0" w:firstRowLastColumn="0" w:lastRowFirstColumn="0" w:lastRowLastColumn="0"/>
            <w:tcW w:w="2096" w:type="dxa"/>
          </w:tcPr>
          <w:p w:rsidR="00D6386E" w:rsidRPr="002806BE" w:rsidRDefault="00D6386E" w:rsidP="005E68E9">
            <w:pPr>
              <w:bidi w:val="0"/>
              <w:rPr>
                <w:rFonts w:asciiTheme="majorBidi" w:hAnsiTheme="majorBidi" w:cstheme="majorBidi"/>
                <w:sz w:val="24"/>
                <w:szCs w:val="24"/>
              </w:rPr>
            </w:pPr>
            <w:r w:rsidRPr="002806BE">
              <w:t>PSTPIP1</w:t>
            </w:r>
          </w:p>
        </w:tc>
        <w:tc>
          <w:tcPr>
            <w:tcW w:w="2096" w:type="dxa"/>
          </w:tcPr>
          <w:p w:rsidR="00D6386E" w:rsidRPr="002806BE" w:rsidRDefault="00D6386E" w:rsidP="005E68E9">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2806BE">
              <w:rPr>
                <w:b/>
                <w:bCs/>
              </w:rPr>
              <w:t>LCAT</w:t>
            </w:r>
          </w:p>
        </w:tc>
        <w:tc>
          <w:tcPr>
            <w:tcW w:w="2096" w:type="dxa"/>
          </w:tcPr>
          <w:p w:rsidR="00D6386E" w:rsidRPr="002806BE" w:rsidRDefault="00D6386E" w:rsidP="005E68E9">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2806BE">
              <w:rPr>
                <w:b/>
                <w:bCs/>
              </w:rPr>
              <w:t>S100A6</w:t>
            </w:r>
          </w:p>
        </w:tc>
        <w:tc>
          <w:tcPr>
            <w:tcW w:w="2096" w:type="dxa"/>
          </w:tcPr>
          <w:p w:rsidR="00D6386E" w:rsidRPr="002806BE" w:rsidRDefault="00D6386E" w:rsidP="005E68E9">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2806BE">
              <w:rPr>
                <w:b/>
                <w:bCs/>
              </w:rPr>
              <w:t>CYTH4</w:t>
            </w:r>
          </w:p>
        </w:tc>
        <w:tc>
          <w:tcPr>
            <w:tcW w:w="2096" w:type="dxa"/>
          </w:tcPr>
          <w:p w:rsidR="00D6386E" w:rsidRPr="002806BE" w:rsidRDefault="00D6386E" w:rsidP="005E68E9">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2806BE">
              <w:rPr>
                <w:b/>
                <w:bCs/>
              </w:rPr>
              <w:t>CCNE1</w:t>
            </w:r>
          </w:p>
        </w:tc>
      </w:tr>
      <w:tr w:rsidR="00D6386E" w:rsidTr="005E6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dxa"/>
          </w:tcPr>
          <w:p w:rsidR="00D6386E" w:rsidRPr="002806BE" w:rsidRDefault="00D6386E" w:rsidP="005E68E9">
            <w:pPr>
              <w:bidi w:val="0"/>
              <w:rPr>
                <w:rFonts w:asciiTheme="majorBidi" w:hAnsiTheme="majorBidi" w:cstheme="majorBidi"/>
                <w:sz w:val="24"/>
                <w:szCs w:val="24"/>
              </w:rPr>
            </w:pPr>
            <w:r w:rsidRPr="002806BE">
              <w:t>CYTH3</w:t>
            </w:r>
          </w:p>
        </w:tc>
        <w:tc>
          <w:tcPr>
            <w:tcW w:w="2096" w:type="dxa"/>
          </w:tcPr>
          <w:p w:rsidR="00D6386E" w:rsidRPr="002806BE" w:rsidRDefault="00D6386E" w:rsidP="005E68E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2806BE">
              <w:rPr>
                <w:b/>
                <w:bCs/>
              </w:rPr>
              <w:t>MPRIP</w:t>
            </w:r>
          </w:p>
        </w:tc>
        <w:tc>
          <w:tcPr>
            <w:tcW w:w="2096" w:type="dxa"/>
          </w:tcPr>
          <w:p w:rsidR="00D6386E" w:rsidRPr="002806BE" w:rsidRDefault="00D6386E" w:rsidP="005E68E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2806BE">
              <w:rPr>
                <w:b/>
                <w:bCs/>
              </w:rPr>
              <w:t>CDK6</w:t>
            </w:r>
          </w:p>
        </w:tc>
        <w:tc>
          <w:tcPr>
            <w:tcW w:w="2096" w:type="dxa"/>
          </w:tcPr>
          <w:p w:rsidR="00D6386E" w:rsidRPr="002806BE" w:rsidRDefault="00D6386E" w:rsidP="005E68E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2806BE">
              <w:rPr>
                <w:b/>
                <w:bCs/>
              </w:rPr>
              <w:t>EVL</w:t>
            </w:r>
          </w:p>
        </w:tc>
        <w:tc>
          <w:tcPr>
            <w:tcW w:w="2096" w:type="dxa"/>
          </w:tcPr>
          <w:p w:rsidR="00D6386E" w:rsidRPr="002806BE" w:rsidRDefault="00D6386E" w:rsidP="005E68E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2806BE">
              <w:rPr>
                <w:b/>
                <w:bCs/>
              </w:rPr>
              <w:t>CCND2</w:t>
            </w:r>
          </w:p>
        </w:tc>
      </w:tr>
      <w:tr w:rsidR="00D6386E" w:rsidTr="005E68E9">
        <w:tc>
          <w:tcPr>
            <w:cnfStyle w:val="001000000000" w:firstRow="0" w:lastRow="0" w:firstColumn="1" w:lastColumn="0" w:oddVBand="0" w:evenVBand="0" w:oddHBand="0" w:evenHBand="0" w:firstRowFirstColumn="0" w:firstRowLastColumn="0" w:lastRowFirstColumn="0" w:lastRowLastColumn="0"/>
            <w:tcW w:w="2096" w:type="dxa"/>
          </w:tcPr>
          <w:p w:rsidR="00D6386E" w:rsidRPr="002806BE" w:rsidRDefault="00D6386E" w:rsidP="005E68E9">
            <w:pPr>
              <w:bidi w:val="0"/>
              <w:rPr>
                <w:rFonts w:asciiTheme="majorBidi" w:hAnsiTheme="majorBidi" w:cstheme="majorBidi"/>
                <w:sz w:val="24"/>
                <w:szCs w:val="24"/>
              </w:rPr>
            </w:pPr>
            <w:r w:rsidRPr="002806BE">
              <w:t>HSH2D</w:t>
            </w:r>
          </w:p>
        </w:tc>
        <w:tc>
          <w:tcPr>
            <w:tcW w:w="2096" w:type="dxa"/>
          </w:tcPr>
          <w:p w:rsidR="00D6386E" w:rsidRPr="002806BE" w:rsidRDefault="00D6386E" w:rsidP="005E68E9">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2806BE">
              <w:rPr>
                <w:b/>
                <w:bCs/>
              </w:rPr>
              <w:t>EFNB1</w:t>
            </w:r>
          </w:p>
        </w:tc>
        <w:tc>
          <w:tcPr>
            <w:tcW w:w="2096" w:type="dxa"/>
          </w:tcPr>
          <w:p w:rsidR="00D6386E" w:rsidRPr="002806BE" w:rsidRDefault="00D6386E" w:rsidP="005E68E9">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2806BE">
              <w:rPr>
                <w:b/>
                <w:bCs/>
              </w:rPr>
              <w:t>ENO1</w:t>
            </w:r>
          </w:p>
        </w:tc>
        <w:tc>
          <w:tcPr>
            <w:tcW w:w="2096" w:type="dxa"/>
          </w:tcPr>
          <w:p w:rsidR="00D6386E" w:rsidRPr="002806BE" w:rsidRDefault="00D6386E" w:rsidP="005E68E9">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2806BE">
              <w:rPr>
                <w:b/>
                <w:bCs/>
              </w:rPr>
              <w:t>HSPB2</w:t>
            </w:r>
          </w:p>
        </w:tc>
        <w:tc>
          <w:tcPr>
            <w:tcW w:w="2096" w:type="dxa"/>
          </w:tcPr>
          <w:p w:rsidR="00D6386E" w:rsidRPr="002806BE" w:rsidRDefault="00D6386E" w:rsidP="005E68E9">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2806BE">
              <w:rPr>
                <w:b/>
                <w:bCs/>
              </w:rPr>
              <w:t>VIM</w:t>
            </w:r>
          </w:p>
        </w:tc>
      </w:tr>
      <w:tr w:rsidR="00D6386E" w:rsidTr="005E6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dxa"/>
          </w:tcPr>
          <w:p w:rsidR="00D6386E" w:rsidRPr="002806BE" w:rsidRDefault="00D6386E" w:rsidP="005E68E9">
            <w:pPr>
              <w:bidi w:val="0"/>
              <w:rPr>
                <w:rFonts w:asciiTheme="majorBidi" w:hAnsiTheme="majorBidi" w:cstheme="majorBidi"/>
                <w:sz w:val="24"/>
                <w:szCs w:val="24"/>
              </w:rPr>
            </w:pPr>
            <w:r w:rsidRPr="002806BE">
              <w:t>PLCB2</w:t>
            </w:r>
          </w:p>
        </w:tc>
        <w:tc>
          <w:tcPr>
            <w:tcW w:w="2096" w:type="dxa"/>
          </w:tcPr>
          <w:p w:rsidR="00D6386E" w:rsidRPr="002806BE" w:rsidRDefault="00D6386E" w:rsidP="005E68E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2806BE">
              <w:rPr>
                <w:b/>
                <w:bCs/>
              </w:rPr>
              <w:t>NMB</w:t>
            </w:r>
          </w:p>
        </w:tc>
        <w:tc>
          <w:tcPr>
            <w:tcW w:w="2096" w:type="dxa"/>
          </w:tcPr>
          <w:p w:rsidR="00D6386E" w:rsidRPr="002806BE" w:rsidRDefault="00D6386E" w:rsidP="005E68E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2806BE">
              <w:rPr>
                <w:b/>
                <w:bCs/>
              </w:rPr>
              <w:t>CD40</w:t>
            </w:r>
          </w:p>
        </w:tc>
        <w:tc>
          <w:tcPr>
            <w:tcW w:w="2096" w:type="dxa"/>
          </w:tcPr>
          <w:p w:rsidR="00D6386E" w:rsidRPr="002806BE" w:rsidRDefault="00D6386E" w:rsidP="005E68E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2806BE">
              <w:rPr>
                <w:b/>
                <w:bCs/>
              </w:rPr>
              <w:t>MAP4K4</w:t>
            </w:r>
          </w:p>
        </w:tc>
        <w:tc>
          <w:tcPr>
            <w:tcW w:w="2096" w:type="dxa"/>
          </w:tcPr>
          <w:p w:rsidR="00D6386E" w:rsidRPr="002806BE" w:rsidRDefault="00D6386E" w:rsidP="005E68E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2806BE">
              <w:rPr>
                <w:b/>
                <w:bCs/>
              </w:rPr>
              <w:t>TAGLN2</w:t>
            </w:r>
          </w:p>
        </w:tc>
      </w:tr>
      <w:tr w:rsidR="00D6386E" w:rsidTr="005E68E9">
        <w:tc>
          <w:tcPr>
            <w:cnfStyle w:val="001000000000" w:firstRow="0" w:lastRow="0" w:firstColumn="1" w:lastColumn="0" w:oddVBand="0" w:evenVBand="0" w:oddHBand="0" w:evenHBand="0" w:firstRowFirstColumn="0" w:firstRowLastColumn="0" w:lastRowFirstColumn="0" w:lastRowLastColumn="0"/>
            <w:tcW w:w="2096" w:type="dxa"/>
          </w:tcPr>
          <w:p w:rsidR="00D6386E" w:rsidRPr="002806BE" w:rsidRDefault="00D6386E" w:rsidP="005E68E9">
            <w:pPr>
              <w:bidi w:val="0"/>
              <w:rPr>
                <w:rFonts w:asciiTheme="majorBidi" w:hAnsiTheme="majorBidi" w:cstheme="majorBidi"/>
                <w:sz w:val="24"/>
                <w:szCs w:val="24"/>
              </w:rPr>
            </w:pPr>
            <w:r w:rsidRPr="002806BE">
              <w:t>CD276</w:t>
            </w:r>
          </w:p>
        </w:tc>
        <w:tc>
          <w:tcPr>
            <w:tcW w:w="2096" w:type="dxa"/>
          </w:tcPr>
          <w:p w:rsidR="00D6386E" w:rsidRPr="002806BE" w:rsidRDefault="00D6386E" w:rsidP="005E68E9">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2806BE">
              <w:rPr>
                <w:b/>
                <w:bCs/>
              </w:rPr>
              <w:t>FGF11</w:t>
            </w:r>
          </w:p>
        </w:tc>
        <w:tc>
          <w:tcPr>
            <w:tcW w:w="2096" w:type="dxa"/>
          </w:tcPr>
          <w:p w:rsidR="00D6386E" w:rsidRPr="002806BE" w:rsidRDefault="00D6386E" w:rsidP="005E68E9">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2806BE">
              <w:rPr>
                <w:b/>
                <w:bCs/>
              </w:rPr>
              <w:t>MNDA</w:t>
            </w:r>
          </w:p>
        </w:tc>
        <w:tc>
          <w:tcPr>
            <w:tcW w:w="2096" w:type="dxa"/>
          </w:tcPr>
          <w:p w:rsidR="00D6386E" w:rsidRPr="002806BE" w:rsidRDefault="00D6386E" w:rsidP="005E68E9">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2806BE">
              <w:rPr>
                <w:b/>
                <w:bCs/>
              </w:rPr>
              <w:t>WAS</w:t>
            </w:r>
          </w:p>
        </w:tc>
        <w:tc>
          <w:tcPr>
            <w:tcW w:w="2096" w:type="dxa"/>
          </w:tcPr>
          <w:p w:rsidR="00D6386E" w:rsidRPr="002806BE" w:rsidRDefault="00D6386E" w:rsidP="005E68E9">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2806BE">
              <w:rPr>
                <w:b/>
                <w:bCs/>
              </w:rPr>
              <w:t>MYH9</w:t>
            </w:r>
          </w:p>
        </w:tc>
      </w:tr>
      <w:tr w:rsidR="00D6386E" w:rsidTr="005E6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dxa"/>
          </w:tcPr>
          <w:p w:rsidR="00D6386E" w:rsidRPr="002806BE" w:rsidRDefault="00D6386E" w:rsidP="005E68E9">
            <w:pPr>
              <w:bidi w:val="0"/>
              <w:rPr>
                <w:rFonts w:asciiTheme="majorBidi" w:hAnsiTheme="majorBidi" w:cstheme="majorBidi"/>
                <w:sz w:val="24"/>
                <w:szCs w:val="24"/>
              </w:rPr>
            </w:pPr>
            <w:r w:rsidRPr="002806BE">
              <w:t>MYO1F</w:t>
            </w:r>
          </w:p>
        </w:tc>
        <w:tc>
          <w:tcPr>
            <w:tcW w:w="2096" w:type="dxa"/>
          </w:tcPr>
          <w:p w:rsidR="00D6386E" w:rsidRPr="002806BE" w:rsidRDefault="00D6386E" w:rsidP="005E68E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2806BE">
              <w:rPr>
                <w:b/>
                <w:bCs/>
              </w:rPr>
              <w:t>PROM1</w:t>
            </w:r>
          </w:p>
        </w:tc>
        <w:tc>
          <w:tcPr>
            <w:tcW w:w="2096" w:type="dxa"/>
          </w:tcPr>
          <w:p w:rsidR="00D6386E" w:rsidRPr="002806BE" w:rsidRDefault="00D6386E" w:rsidP="005E68E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2806BE">
              <w:rPr>
                <w:b/>
                <w:bCs/>
              </w:rPr>
              <w:t>CORO1A</w:t>
            </w:r>
          </w:p>
        </w:tc>
        <w:tc>
          <w:tcPr>
            <w:tcW w:w="2096" w:type="dxa"/>
          </w:tcPr>
          <w:p w:rsidR="00D6386E" w:rsidRPr="002806BE" w:rsidRDefault="00D6386E" w:rsidP="005E68E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2806BE">
              <w:rPr>
                <w:b/>
                <w:bCs/>
              </w:rPr>
              <w:t>LMNA</w:t>
            </w:r>
          </w:p>
        </w:tc>
        <w:tc>
          <w:tcPr>
            <w:tcW w:w="2096" w:type="dxa"/>
          </w:tcPr>
          <w:p w:rsidR="00D6386E" w:rsidRPr="002806BE" w:rsidRDefault="00D6386E" w:rsidP="005E68E9">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2806BE">
              <w:rPr>
                <w:b/>
                <w:bCs/>
              </w:rPr>
              <w:t>DIAPH1</w:t>
            </w:r>
          </w:p>
        </w:tc>
      </w:tr>
    </w:tbl>
    <w:p w:rsidR="00D6386E" w:rsidRDefault="00D6386E" w:rsidP="00D6386E">
      <w:pPr>
        <w:bidi w:val="0"/>
        <w:rPr>
          <w:rFonts w:asciiTheme="majorBidi" w:hAnsiTheme="majorBidi" w:cstheme="majorBidi"/>
          <w:b/>
          <w:bCs/>
          <w:sz w:val="24"/>
          <w:szCs w:val="24"/>
        </w:rPr>
      </w:pPr>
    </w:p>
    <w:p w:rsidR="00B3031A" w:rsidRDefault="00B3031A" w:rsidP="00D6386E">
      <w:pPr>
        <w:bidi w:val="0"/>
      </w:pPr>
    </w:p>
    <w:sectPr w:rsidR="00B3031A" w:rsidSect="00D6386E">
      <w:pgSz w:w="11906" w:h="16838"/>
      <w:pgMar w:top="1440" w:right="1440" w:bottom="1440" w:left="993"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882"/>
    <w:rsid w:val="008D6882"/>
    <w:rsid w:val="00910EB7"/>
    <w:rsid w:val="00B3031A"/>
    <w:rsid w:val="00D6386E"/>
    <w:rsid w:val="00F90D4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240242-581C-4833-ACC0-107CE5CC2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8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6Colorful">
    <w:name w:val="Grid Table 6 Colorful"/>
    <w:basedOn w:val="TableNormal"/>
    <w:uiPriority w:val="51"/>
    <w:rsid w:val="00D6386E"/>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280</Words>
  <Characters>1596</Characters>
  <Application>Microsoft Office Word</Application>
  <DocSecurity>0</DocSecurity>
  <Lines>13</Lines>
  <Paragraphs>3</Paragraphs>
  <ScaleCrop>false</ScaleCrop>
  <Company>Moorche 30 DVDs</Company>
  <LinksUpToDate>false</LinksUpToDate>
  <CharactersWithSpaces>1873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MRT www.Win2Farsi.com</cp:lastModifiedBy>
  <cp:revision>3</cp:revision>
  <dcterms:created xsi:type="dcterms:W3CDTF">2023-06-02T10:26:00Z</dcterms:created>
  <dcterms:modified xsi:type="dcterms:W3CDTF">2023-06-02T10:29:00Z</dcterms:modified>
</cp:coreProperties>
</file>