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AD6F2" w14:textId="77777777" w:rsidR="00B25433" w:rsidRPr="004C1CEF" w:rsidRDefault="00B25433" w:rsidP="00B25433">
      <w:pPr>
        <w:spacing w:after="0" w:line="276" w:lineRule="auto"/>
        <w:jc w:val="both"/>
        <w:rPr>
          <w:rFonts w:ascii="Garamond" w:hAnsi="Garamond"/>
          <w:b/>
          <w:bCs/>
          <w:color w:val="000000"/>
          <w:sz w:val="24"/>
          <w:szCs w:val="24"/>
        </w:rPr>
      </w:pPr>
      <w:r w:rsidRPr="004C1CEF">
        <w:rPr>
          <w:rFonts w:ascii="Garamond" w:hAnsi="Garamond"/>
          <w:b/>
          <w:bCs/>
          <w:color w:val="000000"/>
          <w:sz w:val="24"/>
          <w:szCs w:val="24"/>
        </w:rPr>
        <w:t>Appendix B: Data items and data collection process</w:t>
      </w:r>
    </w:p>
    <w:p w14:paraId="66E4D1DC" w14:textId="77777777" w:rsidR="00B25433" w:rsidRPr="004C1CEF" w:rsidRDefault="00B25433" w:rsidP="00B25433">
      <w:p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The following items were abstracted and tabulated:</w:t>
      </w:r>
    </w:p>
    <w:p w14:paraId="7353DDDA" w14:textId="77777777" w:rsidR="00B25433" w:rsidRPr="004C1CEF" w:rsidRDefault="00B25433" w:rsidP="00B25433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 xml:space="preserve">Study characteristics </w:t>
      </w:r>
    </w:p>
    <w:p w14:paraId="7372FAD7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year of publication</w:t>
      </w:r>
    </w:p>
    <w:p w14:paraId="1D0DF3AF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country</w:t>
      </w:r>
    </w:p>
    <w:p w14:paraId="3B4A3181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objectives (not presented in Table 2)</w:t>
      </w:r>
    </w:p>
    <w:p w14:paraId="2859ECCB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study design</w:t>
      </w:r>
    </w:p>
    <w:p w14:paraId="1CDDF3CD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Definitions of immigration and chronic pain when present</w:t>
      </w:r>
      <w:r w:rsidRPr="004C1CEF">
        <w:rPr>
          <w:rStyle w:val="FootnoteReference"/>
          <w:rFonts w:ascii="Garamond" w:hAnsi="Garamond"/>
          <w:color w:val="000000"/>
        </w:rPr>
        <w:t xml:space="preserve"> </w:t>
      </w:r>
      <w:r w:rsidRPr="004C1CEF">
        <w:rPr>
          <w:rFonts w:ascii="Garamond" w:hAnsi="Garamond"/>
          <w:color w:val="000000"/>
        </w:rPr>
        <w:t xml:space="preserve"> (not presented in Table 2)</w:t>
      </w:r>
    </w:p>
    <w:p w14:paraId="09DEC0F7" w14:textId="77777777" w:rsidR="00B25433" w:rsidRPr="004C1CEF" w:rsidRDefault="00B25433" w:rsidP="00B25433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Participant characteristics</w:t>
      </w:r>
    </w:p>
    <w:p w14:paraId="419D6DC4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sample size</w:t>
      </w:r>
    </w:p>
    <w:p w14:paraId="4F88CE38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gender ratio</w:t>
      </w:r>
    </w:p>
    <w:p w14:paraId="4E5C2843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mean age</w:t>
      </w:r>
    </w:p>
    <w:p w14:paraId="40817E16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country of origin</w:t>
      </w:r>
    </w:p>
    <w:p w14:paraId="42CEF379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country of destination</w:t>
      </w:r>
    </w:p>
    <w:p w14:paraId="185F4EDD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migration status</w:t>
      </w:r>
    </w:p>
    <w:p w14:paraId="1B6128F6" w14:textId="77777777" w:rsidR="00B25433" w:rsidRPr="004C1CEF" w:rsidRDefault="00B25433" w:rsidP="00B25433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 xml:space="preserve">All chronic/musculoskeletal pain outcomes </w:t>
      </w:r>
    </w:p>
    <w:p w14:paraId="796D3370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prevalence</w:t>
      </w:r>
    </w:p>
    <w:p w14:paraId="6D5B5A3A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location</w:t>
      </w:r>
    </w:p>
    <w:p w14:paraId="64A15DBA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duration</w:t>
      </w:r>
    </w:p>
    <w:p w14:paraId="1D958FC0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risk factors</w:t>
      </w:r>
    </w:p>
    <w:p w14:paraId="0DB870CD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associations</w:t>
      </w:r>
    </w:p>
    <w:p w14:paraId="77CC16DA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treatment</w:t>
      </w:r>
    </w:p>
    <w:p w14:paraId="6B9593BE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rehabilitation referral</w:t>
      </w:r>
    </w:p>
    <w:p w14:paraId="6451C540" w14:textId="77777777" w:rsidR="00B25433" w:rsidRPr="004C1CEF" w:rsidRDefault="00B25433" w:rsidP="00B25433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 xml:space="preserve">painkiller usage </w:t>
      </w:r>
    </w:p>
    <w:p w14:paraId="30091160" w14:textId="77777777" w:rsidR="00B25433" w:rsidRPr="004C1CEF" w:rsidRDefault="00B25433" w:rsidP="00B25433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Garamond" w:hAnsi="Garamond"/>
          <w:color w:val="000000"/>
        </w:rPr>
      </w:pPr>
      <w:r w:rsidRPr="004C1CEF">
        <w:rPr>
          <w:rFonts w:ascii="Garamond" w:hAnsi="Garamond"/>
          <w:color w:val="000000"/>
        </w:rPr>
        <w:t>Mental health outcomes.</w:t>
      </w:r>
    </w:p>
    <w:p w14:paraId="3054EDFC" w14:textId="77777777" w:rsidR="00775C34" w:rsidRDefault="00775C34"/>
    <w:sectPr w:rsidR="00775C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1450DC"/>
    <w:multiLevelType w:val="hybridMultilevel"/>
    <w:tmpl w:val="B07E6E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26682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433"/>
    <w:rsid w:val="00010CE2"/>
    <w:rsid w:val="00775C34"/>
    <w:rsid w:val="00B2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0F651"/>
  <w15:chartTrackingRefBased/>
  <w15:docId w15:val="{015B8B8F-A2DE-4D11-8315-FB53CE00E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43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5433"/>
    <w:pPr>
      <w:ind w:left="720"/>
      <w:contextualSpacing/>
    </w:pPr>
  </w:style>
  <w:style w:type="character" w:styleId="FootnoteReference">
    <w:name w:val="footnote reference"/>
    <w:basedOn w:val="DefaultParagraphFont"/>
    <w:uiPriority w:val="99"/>
    <w:semiHidden/>
    <w:unhideWhenUsed/>
    <w:rsid w:val="00B2543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Nefeli t</dc:creator>
  <cp:keywords/>
  <dc:description/>
  <cp:lastModifiedBy>Maria Nefeli t</cp:lastModifiedBy>
  <cp:revision>1</cp:revision>
  <dcterms:created xsi:type="dcterms:W3CDTF">2023-07-05T05:35:00Z</dcterms:created>
  <dcterms:modified xsi:type="dcterms:W3CDTF">2023-07-05T05:36:00Z</dcterms:modified>
</cp:coreProperties>
</file>