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AC98" w14:textId="03DD147A" w:rsidR="007D63BE" w:rsidRDefault="007D63BE">
      <w:pPr>
        <w:rPr>
          <w:b/>
          <w:bCs/>
        </w:rPr>
      </w:pPr>
      <w:r w:rsidRPr="00645B4F">
        <w:rPr>
          <w:b/>
          <w:bCs/>
        </w:rPr>
        <w:t>Supplementary information</w:t>
      </w:r>
    </w:p>
    <w:p w14:paraId="2BAE1078" w14:textId="77777777" w:rsidR="00175BFB" w:rsidRDefault="00175BFB" w:rsidP="00175BFB">
      <w:pPr>
        <w:spacing w:line="480" w:lineRule="auto"/>
      </w:pPr>
      <w:r>
        <w:rPr>
          <w:noProof/>
        </w:rPr>
        <w:drawing>
          <wp:inline distT="0" distB="0" distL="0" distR="0" wp14:anchorId="434A48F3" wp14:editId="13DD666D">
            <wp:extent cx="3981450" cy="3182620"/>
            <wp:effectExtent l="0" t="0" r="0" b="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92"/>
                    <a:stretch/>
                  </pic:blipFill>
                  <pic:spPr bwMode="auto">
                    <a:xfrm>
                      <a:off x="0" y="0"/>
                      <a:ext cx="3996657" cy="319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A909A" w14:textId="6F2E6BC7" w:rsidR="00175BFB" w:rsidRDefault="00584DEB" w:rsidP="00175BFB">
      <w:pPr>
        <w:spacing w:line="480" w:lineRule="auto"/>
        <w:jc w:val="both"/>
      </w:pPr>
      <w:r>
        <w:t xml:space="preserve">Supplementary </w:t>
      </w:r>
      <w:r w:rsidR="00175BFB">
        <w:t>Figure 1:</w:t>
      </w:r>
      <w:r w:rsidR="00175BFB" w:rsidRPr="000479D6">
        <w:t xml:space="preserve"> Dose-</w:t>
      </w:r>
      <w:r w:rsidR="00175BFB">
        <w:t>response curve</w:t>
      </w:r>
      <w:r w:rsidR="00175BFB" w:rsidRPr="000479D6">
        <w:t xml:space="preserve"> of </w:t>
      </w:r>
      <w:r w:rsidR="00175BFB" w:rsidRPr="000479D6">
        <w:rPr>
          <w:sz w:val="20"/>
          <w:szCs w:val="20"/>
        </w:rPr>
        <w:t>D</w:t>
      </w:r>
      <w:r w:rsidR="00175BFB">
        <w:t xml:space="preserve">-Ser (A, B) and </w:t>
      </w:r>
      <w:r w:rsidR="00175BFB" w:rsidRPr="000479D6">
        <w:rPr>
          <w:sz w:val="20"/>
          <w:szCs w:val="20"/>
        </w:rPr>
        <w:t>D</w:t>
      </w:r>
      <w:r w:rsidR="00175BFB">
        <w:t>-Ala</w:t>
      </w:r>
      <w:r w:rsidR="00175BFB" w:rsidRPr="000479D6">
        <w:t xml:space="preserve"> </w:t>
      </w:r>
      <w:r w:rsidR="00175BFB">
        <w:t xml:space="preserve">(C, D) </w:t>
      </w:r>
      <w:r w:rsidR="00175BFB" w:rsidRPr="000479D6">
        <w:t xml:space="preserve">on </w:t>
      </w:r>
      <w:r w:rsidR="00175BFB">
        <w:t>HepG2 cells</w:t>
      </w:r>
      <w:r w:rsidR="00175BFB" w:rsidRPr="000479D6">
        <w:t xml:space="preserve"> over a </w:t>
      </w:r>
      <w:r w:rsidR="00175BFB">
        <w:t>24</w:t>
      </w:r>
      <w:r w:rsidR="00175BFB" w:rsidRPr="000479D6">
        <w:t xml:space="preserve">- </w:t>
      </w:r>
      <w:r w:rsidR="00175BFB">
        <w:t>and</w:t>
      </w:r>
      <w:r w:rsidR="00175BFB" w:rsidRPr="000479D6">
        <w:t xml:space="preserve"> 48-h</w:t>
      </w:r>
      <w:r w:rsidR="00175BFB">
        <w:t>rs</w:t>
      </w:r>
      <w:r w:rsidR="00175BFB" w:rsidRPr="000479D6">
        <w:t xml:space="preserve"> period using the MTT assay.</w:t>
      </w:r>
      <w:r w:rsidR="00175BFB">
        <w:t xml:space="preserve"> HepG2 were treated with various concentrations (ranging from 12.5 mM to 600 mM)</w:t>
      </w:r>
      <w:r w:rsidR="00175BFB" w:rsidRPr="007F4716">
        <w:t xml:space="preserve"> </w:t>
      </w:r>
      <w:r w:rsidR="00175BFB">
        <w:t xml:space="preserve">for 24 and 48 hrs. Increasing concentrations of </w:t>
      </w:r>
      <w:r w:rsidR="00175BFB" w:rsidRPr="000479D6">
        <w:rPr>
          <w:sz w:val="20"/>
          <w:szCs w:val="20"/>
        </w:rPr>
        <w:t>D</w:t>
      </w:r>
      <w:r w:rsidR="00175BFB">
        <w:t>-Ser</w:t>
      </w:r>
      <w:r w:rsidR="00175BFB" w:rsidRPr="000479D6">
        <w:t xml:space="preserve"> </w:t>
      </w:r>
      <w:r w:rsidR="00175BFB">
        <w:t xml:space="preserve">and </w:t>
      </w:r>
      <w:r w:rsidR="00175BFB" w:rsidRPr="000479D6">
        <w:rPr>
          <w:sz w:val="20"/>
          <w:szCs w:val="20"/>
        </w:rPr>
        <w:t>D</w:t>
      </w:r>
      <w:r w:rsidR="00175BFB">
        <w:t>-Ala</w:t>
      </w:r>
      <w:r w:rsidR="00175BFB" w:rsidRPr="000479D6">
        <w:t xml:space="preserve"> </w:t>
      </w:r>
      <w:r w:rsidR="00175BFB">
        <w:t xml:space="preserve">reduced the cell viability of HepG2. </w:t>
      </w:r>
      <w:r w:rsidR="00175BFB" w:rsidRPr="000479D6">
        <w:t xml:space="preserve">The </w:t>
      </w:r>
      <w:r w:rsidR="00175BFB">
        <w:t xml:space="preserve">data are expressed as </w:t>
      </w:r>
      <w:r w:rsidR="00175BFB" w:rsidRPr="000479D6">
        <w:t>the mean ± S</w:t>
      </w:r>
      <w:r w:rsidR="00175BFB">
        <w:t>EM (n = 3)</w:t>
      </w:r>
      <w:r w:rsidR="00175BFB" w:rsidRPr="000479D6">
        <w:t>.</w:t>
      </w:r>
      <w:r w:rsidR="00175BFB">
        <w:t xml:space="preserve"> </w:t>
      </w:r>
    </w:p>
    <w:p w14:paraId="5D3146F1" w14:textId="77777777" w:rsidR="007F4716" w:rsidRPr="00645B4F" w:rsidRDefault="007F4716">
      <w:pPr>
        <w:rPr>
          <w:b/>
          <w:bCs/>
        </w:rPr>
      </w:pPr>
    </w:p>
    <w:p w14:paraId="09106D54" w14:textId="698DA32C" w:rsidR="00EB2FF2" w:rsidRDefault="00EB2FF2">
      <w:r>
        <w:rPr>
          <w:noProof/>
        </w:rPr>
        <w:drawing>
          <wp:inline distT="0" distB="0" distL="0" distR="0" wp14:anchorId="70B2DF68" wp14:editId="43C04D17">
            <wp:extent cx="2166891" cy="1657350"/>
            <wp:effectExtent l="0" t="0" r="5080" b="0"/>
            <wp:docPr id="4" name="Picture 4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582" cy="16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41B6F" w14:textId="6EB51CD2" w:rsidR="00C77E07" w:rsidRDefault="00584DEB" w:rsidP="00C77E07">
      <w:pPr>
        <w:spacing w:line="480" w:lineRule="auto"/>
        <w:jc w:val="both"/>
      </w:pPr>
      <w:r>
        <w:t>Supplementary</w:t>
      </w:r>
      <w:r>
        <w:t xml:space="preserve"> </w:t>
      </w:r>
      <w:r w:rsidR="00C77E07">
        <w:t xml:space="preserve">Figure </w:t>
      </w:r>
      <w:r w:rsidR="007F4716">
        <w:t>2</w:t>
      </w:r>
      <w:r w:rsidR="00C77E07">
        <w:t xml:space="preserve">: </w:t>
      </w:r>
      <w:r w:rsidR="00C77E07" w:rsidRPr="00C77E07">
        <w:t xml:space="preserve">Dose-response curve of </w:t>
      </w:r>
      <w:r w:rsidR="00C77E07">
        <w:t>H</w:t>
      </w:r>
      <w:r w:rsidR="00C77E07" w:rsidRPr="00C77E07">
        <w:rPr>
          <w:vertAlign w:val="subscript"/>
        </w:rPr>
        <w:t>2</w:t>
      </w:r>
      <w:r w:rsidR="00C77E07">
        <w:t>O</w:t>
      </w:r>
      <w:r w:rsidR="00C77E07" w:rsidRPr="00C77E07">
        <w:rPr>
          <w:vertAlign w:val="subscript"/>
        </w:rPr>
        <w:t>2</w:t>
      </w:r>
      <w:r w:rsidR="00C77E07">
        <w:rPr>
          <w:vertAlign w:val="subscript"/>
        </w:rPr>
        <w:t xml:space="preserve"> </w:t>
      </w:r>
      <w:r w:rsidR="00C77E07" w:rsidRPr="00C77E07">
        <w:t>on HepG2 cells over a 48-h period using the MTT assay. Increasing concentrations of H</w:t>
      </w:r>
      <w:r w:rsidR="00C77E07" w:rsidRPr="00C77E07">
        <w:rPr>
          <w:vertAlign w:val="subscript"/>
        </w:rPr>
        <w:t>2</w:t>
      </w:r>
      <w:r w:rsidR="00C77E07" w:rsidRPr="00C77E07">
        <w:t>O</w:t>
      </w:r>
      <w:r w:rsidR="00C77E07" w:rsidRPr="00C77E07">
        <w:rPr>
          <w:vertAlign w:val="subscript"/>
        </w:rPr>
        <w:t>2</w:t>
      </w:r>
      <w:r w:rsidR="00C77E07">
        <w:t xml:space="preserve"> </w:t>
      </w:r>
      <w:r w:rsidR="00C77E07" w:rsidRPr="00C77E07">
        <w:t>reduced the cell viability of HepG2</w:t>
      </w:r>
      <w:r w:rsidR="00C77E07">
        <w:t xml:space="preserve"> and the</w:t>
      </w:r>
      <w:r w:rsidR="009A4722">
        <w:t xml:space="preserve"> </w:t>
      </w:r>
      <w:r w:rsidR="009A4722">
        <w:lastRenderedPageBreak/>
        <w:t>calculated</w:t>
      </w:r>
      <w:r w:rsidR="00C77E07">
        <w:t xml:space="preserve"> IC</w:t>
      </w:r>
      <w:r w:rsidR="00C77E07" w:rsidRPr="00C77E07">
        <w:rPr>
          <w:vertAlign w:val="subscript"/>
        </w:rPr>
        <w:t>50</w:t>
      </w:r>
      <w:r w:rsidR="00C77E07">
        <w:t xml:space="preserve"> for H</w:t>
      </w:r>
      <w:r w:rsidR="00C77E07" w:rsidRPr="00C77E07">
        <w:rPr>
          <w:vertAlign w:val="subscript"/>
        </w:rPr>
        <w:t>2</w:t>
      </w:r>
      <w:r w:rsidR="00C77E07">
        <w:t>O</w:t>
      </w:r>
      <w:r w:rsidR="00C77E07" w:rsidRPr="00C77E07">
        <w:rPr>
          <w:vertAlign w:val="subscript"/>
        </w:rPr>
        <w:t>2</w:t>
      </w:r>
      <w:r w:rsidR="00C77E07">
        <w:rPr>
          <w:vertAlign w:val="subscript"/>
        </w:rPr>
        <w:t xml:space="preserve"> </w:t>
      </w:r>
      <w:r w:rsidR="00C77E07">
        <w:t xml:space="preserve">is approximately 5.8 </w:t>
      </w:r>
      <w:proofErr w:type="spellStart"/>
      <w:r w:rsidR="00C77E07">
        <w:t>mM</w:t>
      </w:r>
      <w:r w:rsidR="00C77E07" w:rsidRPr="00C77E07">
        <w:t>.</w:t>
      </w:r>
      <w:proofErr w:type="spellEnd"/>
      <w:r w:rsidR="00C77E07" w:rsidRPr="00C77E07">
        <w:t xml:space="preserve"> The data are expressed as the mean ± SEM (n = 3).</w:t>
      </w:r>
    </w:p>
    <w:p w14:paraId="06860CBB" w14:textId="77777777" w:rsidR="00584DEB" w:rsidRDefault="00584DEB" w:rsidP="00C77E07">
      <w:pPr>
        <w:spacing w:line="480" w:lineRule="auto"/>
        <w:jc w:val="both"/>
      </w:pPr>
    </w:p>
    <w:p w14:paraId="1E507463" w14:textId="263D4475" w:rsidR="00645B4F" w:rsidRDefault="00232F28">
      <w:r>
        <w:rPr>
          <w:noProof/>
        </w:rPr>
        <w:drawing>
          <wp:inline distT="0" distB="0" distL="0" distR="0" wp14:anchorId="78EEE54A" wp14:editId="42335925">
            <wp:extent cx="5945010" cy="34440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503" cy="3457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8160C" w14:textId="183B9B70" w:rsidR="00232F28" w:rsidRDefault="00584DEB" w:rsidP="00307C75">
      <w:pPr>
        <w:spacing w:line="480" w:lineRule="auto"/>
        <w:jc w:val="both"/>
      </w:pPr>
      <w:r>
        <w:t>Supplementary</w:t>
      </w:r>
      <w:r>
        <w:t xml:space="preserve"> </w:t>
      </w:r>
      <w:r w:rsidR="00232F28">
        <w:t xml:space="preserve">Figure </w:t>
      </w:r>
      <w:r w:rsidR="009D3A58">
        <w:t>3</w:t>
      </w:r>
      <w:r w:rsidR="00232F28">
        <w:t xml:space="preserve">: </w:t>
      </w:r>
      <w:r w:rsidR="00307C75">
        <w:t xml:space="preserve">Flow cytometry </w:t>
      </w:r>
      <w:r w:rsidR="009D2FF2">
        <w:t>plots</w:t>
      </w:r>
      <w:r w:rsidR="00307C75">
        <w:t xml:space="preserve"> for apoptosis using Annexin-V </w:t>
      </w:r>
      <w:r w:rsidR="009D2FF2">
        <w:t xml:space="preserve">(FITC) </w:t>
      </w:r>
      <w:r w:rsidR="00307C75">
        <w:t xml:space="preserve">binding and propidium iodide </w:t>
      </w:r>
      <w:r w:rsidR="009D2FF2">
        <w:t xml:space="preserve">(PI) </w:t>
      </w:r>
      <w:r w:rsidR="00307C75">
        <w:t xml:space="preserve">staining in HepG2 cells. </w:t>
      </w:r>
      <w:r w:rsidR="006302E4">
        <w:t>The plots shown represent one of the experiment replicates.</w:t>
      </w:r>
    </w:p>
    <w:p w14:paraId="162B6868" w14:textId="1A512A96" w:rsidR="00232F28" w:rsidRDefault="00232F28"/>
    <w:p w14:paraId="1C2D391F" w14:textId="750BF27E" w:rsidR="00307C75" w:rsidRDefault="00307C75" w:rsidP="00307C75">
      <w:pPr>
        <w:spacing w:line="480" w:lineRule="auto"/>
        <w:jc w:val="both"/>
      </w:pPr>
    </w:p>
    <w:p w14:paraId="6039959B" w14:textId="77777777" w:rsidR="00307C75" w:rsidRPr="007D63BE" w:rsidRDefault="00307C75"/>
    <w:sectPr w:rsidR="00307C75" w:rsidRPr="007D6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BE"/>
    <w:rsid w:val="00080E3E"/>
    <w:rsid w:val="00175BFB"/>
    <w:rsid w:val="00232F28"/>
    <w:rsid w:val="002518AA"/>
    <w:rsid w:val="002E523D"/>
    <w:rsid w:val="00307C75"/>
    <w:rsid w:val="00463264"/>
    <w:rsid w:val="004B721A"/>
    <w:rsid w:val="004C674A"/>
    <w:rsid w:val="00545B2D"/>
    <w:rsid w:val="00584DEB"/>
    <w:rsid w:val="005B5D79"/>
    <w:rsid w:val="006302E4"/>
    <w:rsid w:val="00645B4F"/>
    <w:rsid w:val="00657FBE"/>
    <w:rsid w:val="006B226B"/>
    <w:rsid w:val="007361A3"/>
    <w:rsid w:val="007D63BE"/>
    <w:rsid w:val="007F4716"/>
    <w:rsid w:val="009A3113"/>
    <w:rsid w:val="009A4722"/>
    <w:rsid w:val="009D2FF2"/>
    <w:rsid w:val="009D3A58"/>
    <w:rsid w:val="00A001B9"/>
    <w:rsid w:val="00BC3060"/>
    <w:rsid w:val="00C77E07"/>
    <w:rsid w:val="00C83B43"/>
    <w:rsid w:val="00CB587E"/>
    <w:rsid w:val="00CF3C61"/>
    <w:rsid w:val="00D5577C"/>
    <w:rsid w:val="00EB2FF2"/>
    <w:rsid w:val="00F44DBC"/>
    <w:rsid w:val="00FA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81CB6"/>
  <w15:chartTrackingRefBased/>
  <w15:docId w15:val="{A7A9E04D-B5AB-484D-A7F4-D962177E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44D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D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D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D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D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YAP SIEW HWEI</dc:creator>
  <cp:keywords/>
  <dc:description/>
  <cp:lastModifiedBy>YAP SIEW HWEI</cp:lastModifiedBy>
  <cp:revision>3</cp:revision>
  <dcterms:created xsi:type="dcterms:W3CDTF">2023-06-26T05:25:00Z</dcterms:created>
  <dcterms:modified xsi:type="dcterms:W3CDTF">2023-06-26T05:26:00Z</dcterms:modified>
</cp:coreProperties>
</file>