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78C85" w14:textId="77777777" w:rsidR="001077BB" w:rsidRPr="008D0C86" w:rsidRDefault="001077BB" w:rsidP="001077BB">
      <w:pPr>
        <w:spacing w:line="240" w:lineRule="auto"/>
        <w:jc w:val="both"/>
        <w:rPr>
          <w:rFonts w:ascii="Times New Roman" w:hAnsi="Times New Roman" w:cs="Times New Roman"/>
          <w:b/>
          <w:color w:val="202020"/>
          <w:sz w:val="20"/>
          <w:szCs w:val="20"/>
          <w:highlight w:val="white"/>
        </w:rPr>
      </w:pPr>
      <w:r w:rsidRPr="008D0C86">
        <w:rPr>
          <w:rFonts w:ascii="Times New Roman" w:hAnsi="Times New Roman" w:cs="Times New Roman"/>
          <w:b/>
          <w:color w:val="202020"/>
          <w:sz w:val="20"/>
          <w:szCs w:val="20"/>
          <w:highlight w:val="white"/>
        </w:rPr>
        <w:t>Supplemental figures</w:t>
      </w:r>
    </w:p>
    <w:p w14:paraId="2BD6B41E" w14:textId="77777777" w:rsidR="001077BB" w:rsidRPr="008D0C86" w:rsidRDefault="001077BB" w:rsidP="001077BB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D0C86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66C8A8A8" w14:textId="42F61231" w:rsidR="001077BB" w:rsidRPr="008D0C86" w:rsidRDefault="001077BB" w:rsidP="001077BB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16BE7">
        <w:rPr>
          <w:rFonts w:ascii="Times New Roman" w:eastAsia="Times New Roman" w:hAnsi="Times New Roman" w:cs="Times New Roman"/>
          <w:b/>
          <w:noProof/>
          <w:sz w:val="20"/>
          <w:szCs w:val="20"/>
          <w:lang w:val="en-US" w:eastAsia="en-US"/>
        </w:rPr>
        <w:drawing>
          <wp:inline distT="0" distB="0" distL="0" distR="0" wp14:anchorId="08144AF5" wp14:editId="0D09906B">
            <wp:extent cx="3409950" cy="34099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99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B12FE" w14:textId="77777777" w:rsidR="001077BB" w:rsidRPr="0069716C" w:rsidRDefault="001077BB" w:rsidP="001077BB">
      <w:pPr>
        <w:spacing w:line="240" w:lineRule="auto"/>
        <w:jc w:val="both"/>
        <w:rPr>
          <w:rFonts w:ascii="Times New Roman" w:hAnsi="Times New Roman" w:cs="Times New Roman"/>
          <w:b/>
          <w:sz w:val="16"/>
          <w:szCs w:val="16"/>
        </w:rPr>
      </w:pPr>
      <w:r w:rsidRPr="0069716C">
        <w:rPr>
          <w:rFonts w:ascii="Times New Roman" w:hAnsi="Times New Roman" w:cs="Times New Roman"/>
          <w:b/>
          <w:sz w:val="16"/>
          <w:szCs w:val="16"/>
        </w:rPr>
        <w:t xml:space="preserve">Supplemental Figure 1 </w:t>
      </w:r>
      <w:r w:rsidRPr="0069716C">
        <w:rPr>
          <w:rFonts w:ascii="Times New Roman" w:hAnsi="Times New Roman" w:cs="Times New Roman"/>
          <w:bCs/>
          <w:sz w:val="16"/>
          <w:szCs w:val="16"/>
        </w:rPr>
        <w:t xml:space="preserve">CCI values for the MDTM concordant and discordant groups. Box plot with single dot presentation of score values for each patient. Kruskal-Wallis test of CCI of the study population with statistically significant higher score in the discordance population (median 5 [4.00;14.0] vs 6 [4.00;13.0], </w:t>
      </w:r>
      <w:r w:rsidRPr="0069716C">
        <w:rPr>
          <w:rFonts w:ascii="Times New Roman" w:hAnsi="Times New Roman" w:cs="Times New Roman"/>
          <w:bCs/>
          <w:i/>
          <w:iCs/>
          <w:sz w:val="16"/>
          <w:szCs w:val="16"/>
        </w:rPr>
        <w:t xml:space="preserve">p </w:t>
      </w:r>
      <w:r w:rsidRPr="0069716C">
        <w:rPr>
          <w:rFonts w:ascii="Times New Roman" w:hAnsi="Times New Roman" w:cs="Times New Roman"/>
          <w:bCs/>
          <w:sz w:val="16"/>
          <w:szCs w:val="16"/>
        </w:rPr>
        <w:t>= 0.017). CCI is determined retrospectively at the time point of diagnosis based on the</w:t>
      </w:r>
      <w:hyperlink r:id="rId5">
        <w:r w:rsidRPr="0069716C">
          <w:rPr>
            <w:rFonts w:ascii="Times New Roman" w:hAnsi="Times New Roman" w:cs="Times New Roman"/>
            <w:bCs/>
            <w:sz w:val="16"/>
            <w:szCs w:val="16"/>
          </w:rPr>
          <w:t xml:space="preserve"> </w:t>
        </w:r>
      </w:hyperlink>
      <w:hyperlink r:id="rId6">
        <w:r w:rsidRPr="0069716C">
          <w:rPr>
            <w:rFonts w:ascii="Times New Roman" w:hAnsi="Times New Roman" w:cs="Times New Roman"/>
            <w:bCs/>
            <w:color w:val="131413"/>
            <w:sz w:val="16"/>
            <w:szCs w:val="16"/>
            <w:u w:val="single"/>
          </w:rPr>
          <w:t>ICD</w:t>
        </w:r>
      </w:hyperlink>
      <w:r w:rsidRPr="0069716C">
        <w:rPr>
          <w:rFonts w:ascii="Times New Roman" w:hAnsi="Times New Roman" w:cs="Times New Roman"/>
          <w:bCs/>
          <w:sz w:val="16"/>
          <w:szCs w:val="16"/>
        </w:rPr>
        <w:t xml:space="preserve"> diagnosis codes found in the hospital patient charts data including nineteen comorbidity categories. Each comorbidity category has an associated weight (from 1 to 6), based on the adjusted risk of mortality or resource use, and the sum of all the weights results in a single comorbidity score for a patient</w:t>
      </w:r>
    </w:p>
    <w:p w14:paraId="4D146B92" w14:textId="77777777" w:rsidR="001077BB" w:rsidRPr="008D0C86" w:rsidRDefault="001077BB" w:rsidP="001077BB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 w:rsidRPr="008D0C86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236F9CF4" w14:textId="18153FBB" w:rsidR="001077BB" w:rsidRPr="008D0C86" w:rsidRDefault="001077BB" w:rsidP="001077BB">
      <w:pPr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416BE7">
        <w:rPr>
          <w:rFonts w:ascii="Times New Roman" w:eastAsia="Times New Roman" w:hAnsi="Times New Roman" w:cs="Times New Roman"/>
          <w:b/>
          <w:noProof/>
          <w:sz w:val="20"/>
          <w:szCs w:val="20"/>
          <w:lang w:val="en-US" w:eastAsia="en-US"/>
        </w:rPr>
        <w:drawing>
          <wp:inline distT="0" distB="0" distL="0" distR="0" wp14:anchorId="0D8C431E" wp14:editId="4D6ADFB7">
            <wp:extent cx="4864100" cy="34036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100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4F91C" w14:textId="77777777" w:rsidR="001077BB" w:rsidRPr="0069716C" w:rsidRDefault="001077BB" w:rsidP="001077BB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16"/>
          <w:szCs w:val="16"/>
        </w:rPr>
      </w:pPr>
      <w:r w:rsidRPr="0069716C">
        <w:rPr>
          <w:rFonts w:ascii="Times New Roman" w:hAnsi="Times New Roman" w:cs="Times New Roman"/>
          <w:b/>
          <w:sz w:val="16"/>
          <w:szCs w:val="16"/>
        </w:rPr>
        <w:t xml:space="preserve">Supplemental Figure 2 </w:t>
      </w:r>
      <w:r w:rsidRPr="0069716C">
        <w:rPr>
          <w:rFonts w:ascii="Times New Roman" w:hAnsi="Times New Roman" w:cs="Times New Roman"/>
          <w:bCs/>
          <w:sz w:val="16"/>
          <w:szCs w:val="16"/>
        </w:rPr>
        <w:t xml:space="preserve">Survival outcomes for </w:t>
      </w:r>
      <w:r w:rsidRPr="0069716C">
        <w:rPr>
          <w:rFonts w:ascii="Times New Roman" w:eastAsia="Arial Unicode MS" w:hAnsi="Times New Roman" w:cs="Times New Roman" w:hint="eastAsia"/>
          <w:bCs/>
          <w:color w:val="333333"/>
          <w:sz w:val="16"/>
          <w:szCs w:val="16"/>
          <w:highlight w:val="white"/>
        </w:rPr>
        <w:t>≥</w:t>
      </w:r>
      <w:r w:rsidRPr="0069716C">
        <w:rPr>
          <w:rFonts w:ascii="Times New Roman" w:hAnsi="Times New Roman" w:cs="Times New Roman"/>
          <w:bCs/>
          <w:sz w:val="16"/>
          <w:szCs w:val="16"/>
        </w:rPr>
        <w:t xml:space="preserve">80-year-old patients in concordant and discordant groups. Kaplan-Meier curve time to event analysis for patients </w:t>
      </w:r>
      <w:r w:rsidRPr="0069716C">
        <w:rPr>
          <w:rFonts w:ascii="Times New Roman" w:eastAsia="Arial Unicode MS" w:hAnsi="Times New Roman" w:cs="Times New Roman" w:hint="eastAsia"/>
          <w:bCs/>
          <w:color w:val="333333"/>
          <w:sz w:val="16"/>
          <w:szCs w:val="16"/>
          <w:highlight w:val="white"/>
        </w:rPr>
        <w:t>≥</w:t>
      </w:r>
      <w:r w:rsidRPr="0069716C">
        <w:rPr>
          <w:rFonts w:ascii="Times New Roman" w:hAnsi="Times New Roman" w:cs="Times New Roman"/>
          <w:bCs/>
          <w:sz w:val="16"/>
          <w:szCs w:val="16"/>
        </w:rPr>
        <w:t>80-years-old shows no significant difference in OS (</w:t>
      </w:r>
      <w:r w:rsidRPr="0069716C">
        <w:rPr>
          <w:rFonts w:ascii="Times New Roman" w:hAnsi="Times New Roman" w:cs="Times New Roman"/>
          <w:bCs/>
          <w:i/>
          <w:iCs/>
          <w:sz w:val="16"/>
          <w:szCs w:val="16"/>
        </w:rPr>
        <w:t xml:space="preserve">p </w:t>
      </w:r>
      <w:r w:rsidRPr="0069716C">
        <w:rPr>
          <w:rFonts w:ascii="Times New Roman" w:hAnsi="Times New Roman" w:cs="Times New Roman"/>
          <w:bCs/>
          <w:sz w:val="16"/>
          <w:szCs w:val="16"/>
        </w:rPr>
        <w:t>= 0.44, 75</w:t>
      </w:r>
      <w:r w:rsidRPr="0069716C">
        <w:rPr>
          <w:rFonts w:ascii="Times New Roman" w:hAnsi="Times New Roman" w:cs="Times New Roman"/>
          <w:bCs/>
          <w:sz w:val="16"/>
          <w:szCs w:val="16"/>
          <w:vertAlign w:val="superscript"/>
        </w:rPr>
        <w:t>th</w:t>
      </w:r>
      <w:r w:rsidRPr="0069716C">
        <w:rPr>
          <w:rFonts w:ascii="Times New Roman" w:hAnsi="Times New Roman" w:cs="Times New Roman"/>
          <w:bCs/>
          <w:sz w:val="16"/>
          <w:szCs w:val="16"/>
        </w:rPr>
        <w:t xml:space="preserve"> quantile 7.43 vs 43.12 months)</w:t>
      </w:r>
    </w:p>
    <w:p w14:paraId="6A35710D" w14:textId="77777777" w:rsidR="001077BB" w:rsidRPr="008D0C86" w:rsidRDefault="001077BB" w:rsidP="001077BB">
      <w:pPr>
        <w:widowControl w:val="0"/>
        <w:pBdr>
          <w:top w:val="nil"/>
          <w:left w:val="nil"/>
          <w:bottom w:val="nil"/>
          <w:right w:val="nil"/>
          <w:between w:val="nil"/>
        </w:pBdr>
        <w:ind w:left="584" w:hanging="584"/>
        <w:jc w:val="both"/>
        <w:rPr>
          <w:rFonts w:ascii="Times New Roman" w:hAnsi="Times New Roman" w:cs="Times New Roman"/>
          <w:color w:val="000000"/>
          <w:sz w:val="20"/>
          <w:szCs w:val="20"/>
          <w:highlight w:val="yellow"/>
        </w:rPr>
      </w:pPr>
    </w:p>
    <w:p w14:paraId="18E33E05" w14:textId="77777777" w:rsidR="000D4074" w:rsidRDefault="000D4074"/>
    <w:sectPr w:rsidR="000D407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96EDDC" w14:textId="77777777" w:rsidR="00C82FBE" w:rsidRDefault="001077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25A2CF" w14:textId="77777777" w:rsidR="00C82FBE" w:rsidRDefault="001077BB">
    <w:pPr>
      <w:pStyle w:val="Footer"/>
      <w:jc w:val="center"/>
      <w:rPr>
        <w:rFonts w:ascii="Times New Roman" w:hAnsi="Times New Roman" w:cs="Times New Roman"/>
      </w:rPr>
    </w:pPr>
  </w:p>
  <w:p w14:paraId="56E3DCC7" w14:textId="77777777" w:rsidR="00C82FBE" w:rsidRPr="002804FF" w:rsidRDefault="001077BB">
    <w:pPr>
      <w:pStyle w:val="Footer"/>
      <w:jc w:val="center"/>
      <w:rPr>
        <w:rFonts w:ascii="Times New Roman" w:hAnsi="Times New Roman" w:cs="Times New Roman"/>
        <w:sz w:val="20"/>
        <w:szCs w:val="20"/>
      </w:rPr>
    </w:pPr>
    <w:r w:rsidRPr="002804FF">
      <w:rPr>
        <w:rFonts w:ascii="Times New Roman" w:hAnsi="Times New Roman" w:cs="Times New Roman"/>
        <w:sz w:val="20"/>
        <w:szCs w:val="20"/>
      </w:rPr>
      <w:fldChar w:fldCharType="begin"/>
    </w:r>
    <w:r w:rsidRPr="002804FF">
      <w:rPr>
        <w:rFonts w:ascii="Times New Roman" w:hAnsi="Times New Roman" w:cs="Times New Roman"/>
        <w:sz w:val="20"/>
        <w:szCs w:val="20"/>
      </w:rPr>
      <w:instrText>PAGE   \* MERGEFORMAT</w:instrText>
    </w:r>
    <w:r w:rsidRPr="002804FF">
      <w:rPr>
        <w:rFonts w:ascii="Times New Roman" w:hAnsi="Times New Roman" w:cs="Times New Roman"/>
        <w:sz w:val="20"/>
        <w:szCs w:val="20"/>
      </w:rPr>
      <w:fldChar w:fldCharType="separate"/>
    </w:r>
    <w:r w:rsidRPr="00037245">
      <w:rPr>
        <w:rFonts w:ascii="Times New Roman" w:hAnsi="Times New Roman" w:cs="Times New Roman"/>
        <w:noProof/>
        <w:sz w:val="20"/>
        <w:szCs w:val="20"/>
        <w:lang w:val="de-DE"/>
      </w:rPr>
      <w:t>18</w:t>
    </w:r>
    <w:r w:rsidRPr="002804FF">
      <w:rPr>
        <w:rFonts w:ascii="Times New Roman" w:hAnsi="Times New Roman" w:cs="Times New Roman"/>
        <w:sz w:val="20"/>
        <w:szCs w:val="20"/>
      </w:rPr>
      <w:fldChar w:fldCharType="end"/>
    </w:r>
  </w:p>
  <w:p w14:paraId="7E99A89D" w14:textId="77777777" w:rsidR="00C82FBE" w:rsidRDefault="001077B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5196B" w14:textId="77777777" w:rsidR="00C82FBE" w:rsidRDefault="001077B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EDD4F" w14:textId="77777777" w:rsidR="00C82FBE" w:rsidRDefault="001077B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D5D78" w14:textId="77777777" w:rsidR="00C82FBE" w:rsidRDefault="001077B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9F19AB" w14:textId="77777777" w:rsidR="00C82FBE" w:rsidRDefault="001077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7BB"/>
    <w:rsid w:val="000D4074"/>
    <w:rsid w:val="001077BB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25666"/>
  <w15:chartTrackingRefBased/>
  <w15:docId w15:val="{6CE62BCA-26D5-44C7-BD2B-2A8982ED3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7BB"/>
    <w:pPr>
      <w:spacing w:after="0" w:line="276" w:lineRule="auto"/>
    </w:pPr>
    <w:rPr>
      <w:rFonts w:ascii="Arial" w:eastAsia="Arial" w:hAnsi="Arial" w:cs="Arial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77BB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77BB"/>
    <w:rPr>
      <w:rFonts w:ascii="Arial" w:eastAsia="Arial" w:hAnsi="Arial" w:cs="Arial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1077BB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77BB"/>
    <w:rPr>
      <w:rFonts w:ascii="Arial" w:eastAsia="Arial" w:hAnsi="Arial" w:cs="Arial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mchp-appserv.cpe.umanitoba.ca/viewDefinition.php?definitionID=102932" TargetMode="External"/><Relationship Id="rId11" Type="http://schemas.openxmlformats.org/officeDocument/2006/relationships/footer" Target="footer2.xml"/><Relationship Id="rId5" Type="http://schemas.openxmlformats.org/officeDocument/2006/relationships/hyperlink" Target="http://mchp-appserv.cpe.umanitoba.ca/viewDefinition.php?definitionID=102932" TargetMode="Externa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image" Target="media/image1.emf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1018</Characters>
  <Application>Microsoft Office Word</Application>
  <DocSecurity>0</DocSecurity>
  <Lines>8</Lines>
  <Paragraphs>2</Paragraphs>
  <ScaleCrop>false</ScaleCrop>
  <Company>Springer Nature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2023-07-10T12:32:00Z</dcterms:created>
  <dcterms:modified xsi:type="dcterms:W3CDTF">2023-07-10T12:32:00Z</dcterms:modified>
</cp:coreProperties>
</file>