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8EE34" w14:textId="1FF0D7DD" w:rsidR="00571F7C" w:rsidRDefault="008D6019" w:rsidP="00150031">
      <w:pPr>
        <w:widowControl/>
        <w:spacing w:line="480" w:lineRule="auto"/>
        <w:jc w:val="center"/>
        <w:rPr>
          <w:rFonts w:ascii="Arial" w:hAnsi="Arial" w:cs="Arial"/>
          <w:sz w:val="24"/>
          <w:szCs w:val="28"/>
        </w:rPr>
      </w:pPr>
      <w:r>
        <w:rPr>
          <w:noProof/>
        </w:rPr>
        <w:drawing>
          <wp:inline distT="0" distB="0" distL="0" distR="0" wp14:anchorId="38339DD3" wp14:editId="6BCA540C">
            <wp:extent cx="3662680" cy="45192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80" cy="451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AD7F1" w14:textId="77777777" w:rsidR="0067764B" w:rsidRDefault="0067764B" w:rsidP="00150031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</w:p>
    <w:p w14:paraId="25DF1ED5" w14:textId="2F23C805" w:rsidR="007C3364" w:rsidRPr="00F77FEB" w:rsidRDefault="00150031" w:rsidP="00150031">
      <w:pPr>
        <w:spacing w:line="480" w:lineRule="auto"/>
        <w:rPr>
          <w:rFonts w:ascii="Times New Roman" w:hAnsi="Times New Roman" w:cs="Times New Roman"/>
          <w:sz w:val="22"/>
          <w:szCs w:val="21"/>
        </w:rPr>
      </w:pPr>
      <w:r w:rsidRPr="00150031">
        <w:rPr>
          <w:rFonts w:ascii="Times New Roman" w:hAnsi="Times New Roman" w:cs="Times New Roman"/>
          <w:b/>
          <w:bCs/>
          <w:sz w:val="24"/>
        </w:rPr>
        <w:t>Supplementary Fig.</w:t>
      </w:r>
      <w:r>
        <w:rPr>
          <w:rFonts w:ascii="Times New Roman" w:hAnsi="Times New Roman" w:cs="Times New Roman"/>
          <w:sz w:val="24"/>
        </w:rPr>
        <w:t xml:space="preserve"> </w:t>
      </w:r>
      <w:r w:rsidR="001A0B3F">
        <w:rPr>
          <w:rFonts w:ascii="Times New Roman" w:hAnsi="Times New Roman" w:cs="Times New Roman"/>
          <w:b/>
          <w:bCs/>
          <w:sz w:val="22"/>
          <w:szCs w:val="21"/>
        </w:rPr>
        <w:t>1</w:t>
      </w:r>
      <w:r w:rsidR="007C3364" w:rsidRPr="00F77FEB">
        <w:rPr>
          <w:rFonts w:ascii="Arial" w:hAnsi="Arial" w:cs="Arial"/>
          <w:b/>
          <w:bCs/>
          <w:sz w:val="22"/>
          <w:szCs w:val="24"/>
        </w:rPr>
        <w:t xml:space="preserve"> </w:t>
      </w:r>
      <w:r w:rsidR="007C3364" w:rsidRPr="00F77FEB">
        <w:rPr>
          <w:rFonts w:ascii="Times New Roman" w:hAnsi="Times New Roman" w:cs="Times New Roman"/>
          <w:b/>
          <w:bCs/>
          <w:sz w:val="22"/>
          <w:szCs w:val="21"/>
        </w:rPr>
        <w:t xml:space="preserve">Backbone assignment for </w:t>
      </w:r>
      <w:r w:rsidR="00426A51">
        <w:rPr>
          <w:rFonts w:ascii="Times New Roman" w:hAnsi="Times New Roman" w:cs="Times New Roman"/>
          <w:b/>
          <w:bCs/>
          <w:sz w:val="22"/>
          <w:szCs w:val="21"/>
        </w:rPr>
        <w:t>HNRNPG-</w:t>
      </w:r>
      <w:r w:rsidR="007C3364" w:rsidRPr="00F77FEB">
        <w:rPr>
          <w:rFonts w:ascii="Times New Roman" w:hAnsi="Times New Roman" w:cs="Times New Roman"/>
          <w:b/>
          <w:bCs/>
          <w:sz w:val="22"/>
          <w:szCs w:val="21"/>
        </w:rPr>
        <w:t>RGG</w:t>
      </w:r>
      <w:r w:rsidR="0067764B" w:rsidRPr="00F77FEB">
        <w:rPr>
          <w:rFonts w:ascii="Times New Roman" w:hAnsi="Times New Roman" w:cs="Times New Roman"/>
          <w:b/>
          <w:bCs/>
          <w:sz w:val="22"/>
          <w:szCs w:val="21"/>
        </w:rPr>
        <w:t xml:space="preserve">. </w:t>
      </w:r>
      <w:r w:rsidR="00F77FEB" w:rsidRPr="00F77FEB">
        <w:rPr>
          <w:rFonts w:ascii="Times New Roman" w:hAnsi="Times New Roman" w:cs="Times New Roman"/>
          <w:sz w:val="22"/>
          <w:szCs w:val="21"/>
        </w:rPr>
        <w:t xml:space="preserve">The assignment was illustrated in </w:t>
      </w:r>
      <w:r w:rsidR="00F77FEB" w:rsidRPr="00F77FEB">
        <w:rPr>
          <w:rFonts w:ascii="Times New Roman" w:hAnsi="Times New Roman" w:cs="Times New Roman"/>
          <w:sz w:val="22"/>
          <w:szCs w:val="21"/>
          <w:vertAlign w:val="superscript"/>
        </w:rPr>
        <w:t>1</w:t>
      </w:r>
      <w:r w:rsidR="00F77FEB" w:rsidRPr="00F77FEB">
        <w:rPr>
          <w:rFonts w:ascii="Times New Roman" w:hAnsi="Times New Roman" w:cs="Times New Roman"/>
          <w:sz w:val="22"/>
          <w:szCs w:val="21"/>
        </w:rPr>
        <w:t>H-</w:t>
      </w:r>
      <w:r w:rsidR="00F77FEB" w:rsidRPr="00F77FEB">
        <w:rPr>
          <w:rFonts w:ascii="Times New Roman" w:hAnsi="Times New Roman" w:cs="Times New Roman"/>
          <w:sz w:val="22"/>
          <w:szCs w:val="21"/>
          <w:vertAlign w:val="superscript"/>
        </w:rPr>
        <w:t>15</w:t>
      </w:r>
      <w:r w:rsidR="00F77FEB" w:rsidRPr="00F77FEB">
        <w:rPr>
          <w:rFonts w:ascii="Times New Roman" w:hAnsi="Times New Roman" w:cs="Times New Roman"/>
          <w:sz w:val="22"/>
          <w:szCs w:val="21"/>
        </w:rPr>
        <w:t xml:space="preserve">N HSQC spectrum. </w:t>
      </w:r>
      <w:r w:rsidR="00CC1192">
        <w:rPr>
          <w:rFonts w:ascii="Times New Roman" w:hAnsi="Times New Roman" w:cs="Times New Roman"/>
          <w:sz w:val="22"/>
          <w:szCs w:val="21"/>
        </w:rPr>
        <w:t>For the assignment, a</w:t>
      </w:r>
      <w:r w:rsidR="00F77FEB" w:rsidRPr="00F77FEB">
        <w:rPr>
          <w:rFonts w:ascii="Times New Roman" w:hAnsi="Times New Roman" w:cs="Times New Roman"/>
          <w:sz w:val="22"/>
          <w:szCs w:val="21"/>
        </w:rPr>
        <w:t xml:space="preserve"> series of NMR spectrums were recorded for the backbone assignment, </w:t>
      </w:r>
      <w:r w:rsidR="00CC1192">
        <w:rPr>
          <w:rFonts w:ascii="Times New Roman" w:hAnsi="Times New Roman" w:cs="Times New Roman"/>
          <w:sz w:val="22"/>
          <w:szCs w:val="21"/>
        </w:rPr>
        <w:t>which includes</w:t>
      </w:r>
      <w:r w:rsidR="00F77FEB" w:rsidRPr="00F77FEB">
        <w:rPr>
          <w:rFonts w:ascii="Times New Roman" w:hAnsi="Times New Roman" w:cs="Times New Roman"/>
          <w:sz w:val="22"/>
          <w:szCs w:val="21"/>
        </w:rPr>
        <w:t xml:space="preserve"> </w:t>
      </w:r>
      <w:r w:rsidR="00F77FEB" w:rsidRPr="00F77FE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77FEB" w:rsidRPr="00F77FEB">
        <w:rPr>
          <w:rFonts w:ascii="Times New Roman" w:hAnsi="Times New Roman" w:cs="Times New Roman"/>
          <w:sz w:val="24"/>
          <w:szCs w:val="24"/>
        </w:rPr>
        <w:t>H</w:t>
      </w:r>
      <w:r w:rsidR="00F77FEB" w:rsidRPr="007440DE">
        <w:rPr>
          <w:rFonts w:ascii="Times New Roman" w:hAnsi="Times New Roman" w:cs="Times New Roman"/>
          <w:sz w:val="24"/>
          <w:szCs w:val="24"/>
        </w:rPr>
        <w:t>-</w:t>
      </w:r>
      <w:r w:rsidR="00F77FEB" w:rsidRPr="00A5534E">
        <w:rPr>
          <w:rFonts w:ascii="Times New Roman" w:hAnsi="Times New Roman" w:cs="Times New Roman"/>
          <w:sz w:val="24"/>
          <w:szCs w:val="24"/>
          <w:vertAlign w:val="superscript"/>
        </w:rPr>
        <w:t>15</w:t>
      </w:r>
      <w:r w:rsidR="00F77FEB" w:rsidRPr="007440DE">
        <w:rPr>
          <w:rFonts w:ascii="Times New Roman" w:hAnsi="Times New Roman" w:cs="Times New Roman"/>
          <w:sz w:val="24"/>
          <w:szCs w:val="24"/>
        </w:rPr>
        <w:t>N HSQC, HNCACB, HNCA, and HNCO</w:t>
      </w:r>
      <w:r w:rsidR="00F77FEB">
        <w:rPr>
          <w:rFonts w:ascii="Times New Roman" w:hAnsi="Times New Roman" w:cs="Times New Roman"/>
          <w:sz w:val="24"/>
          <w:szCs w:val="24"/>
        </w:rPr>
        <w:t>.</w:t>
      </w:r>
      <w:r w:rsidR="00F77FEB">
        <w:rPr>
          <w:rFonts w:ascii="Times New Roman" w:hAnsi="Times New Roman" w:cs="Times New Roman"/>
          <w:b/>
          <w:bCs/>
          <w:sz w:val="22"/>
          <w:szCs w:val="21"/>
        </w:rPr>
        <w:t xml:space="preserve"> </w:t>
      </w:r>
    </w:p>
    <w:p w14:paraId="25BD76DE" w14:textId="7085E8EE" w:rsidR="007C3364" w:rsidRDefault="007C3364" w:rsidP="00150031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</w:rPr>
      </w:pPr>
    </w:p>
    <w:p w14:paraId="5C45DAD6" w14:textId="12F54874" w:rsidR="007C3364" w:rsidRPr="00CD2F70" w:rsidRDefault="007C3364" w:rsidP="00150031">
      <w:pPr>
        <w:spacing w:line="480" w:lineRule="auto"/>
        <w:jc w:val="center"/>
        <w:rPr>
          <w:rFonts w:ascii="Arial" w:hAnsi="Arial" w:cs="Arial"/>
          <w:b/>
          <w:bCs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18B89256" wp14:editId="0D9C8973">
            <wp:extent cx="5274310" cy="69932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9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BF8FB" w14:textId="6BD0E929" w:rsidR="007C3364" w:rsidRPr="00426A51" w:rsidRDefault="00150031" w:rsidP="00150031">
      <w:pPr>
        <w:widowControl/>
        <w:spacing w:line="480" w:lineRule="auto"/>
        <w:rPr>
          <w:rFonts w:ascii="Arial" w:hAnsi="Arial" w:cs="Arial"/>
          <w:sz w:val="22"/>
          <w:szCs w:val="24"/>
        </w:rPr>
      </w:pPr>
      <w:r w:rsidRPr="00150031">
        <w:rPr>
          <w:rFonts w:ascii="Times New Roman" w:hAnsi="Times New Roman" w:cs="Times New Roman"/>
          <w:b/>
          <w:bCs/>
          <w:sz w:val="24"/>
        </w:rPr>
        <w:t>Supplementary Fig.</w:t>
      </w:r>
      <w:r>
        <w:rPr>
          <w:rFonts w:ascii="Times New Roman" w:hAnsi="Times New Roman" w:cs="Times New Roman"/>
          <w:sz w:val="24"/>
        </w:rPr>
        <w:t xml:space="preserve"> </w:t>
      </w:r>
      <w:r w:rsidR="001A0B3F">
        <w:rPr>
          <w:rFonts w:ascii="Times New Roman" w:hAnsi="Times New Roman" w:cs="Times New Roman"/>
          <w:b/>
          <w:bCs/>
          <w:sz w:val="22"/>
          <w:szCs w:val="21"/>
        </w:rPr>
        <w:t>2</w:t>
      </w:r>
      <w:r w:rsidR="007C3364" w:rsidRPr="00426A51">
        <w:rPr>
          <w:rFonts w:ascii="Arial" w:hAnsi="Arial" w:cs="Arial"/>
          <w:sz w:val="22"/>
          <w:szCs w:val="24"/>
        </w:rPr>
        <w:t xml:space="preserve"> </w:t>
      </w:r>
      <w:r w:rsidR="007C3364" w:rsidRPr="00426A51">
        <w:rPr>
          <w:rFonts w:ascii="Times New Roman" w:hAnsi="Times New Roman" w:cs="Times New Roman"/>
          <w:b/>
          <w:bCs/>
          <w:sz w:val="22"/>
          <w:szCs w:val="21"/>
        </w:rPr>
        <w:t xml:space="preserve">Peak </w:t>
      </w:r>
      <w:r w:rsidR="0067764B" w:rsidRPr="00426A51">
        <w:rPr>
          <w:rFonts w:ascii="Times New Roman" w:hAnsi="Times New Roman" w:cs="Times New Roman"/>
          <w:b/>
          <w:bCs/>
          <w:sz w:val="22"/>
          <w:szCs w:val="21"/>
        </w:rPr>
        <w:t>intensit</w:t>
      </w:r>
      <w:r w:rsidR="0067764B">
        <w:rPr>
          <w:rFonts w:ascii="Times New Roman" w:hAnsi="Times New Roman" w:cs="Times New Roman"/>
          <w:b/>
          <w:bCs/>
          <w:sz w:val="22"/>
          <w:szCs w:val="21"/>
        </w:rPr>
        <w:t>ies</w:t>
      </w:r>
      <w:r w:rsidR="0067764B" w:rsidRPr="00426A51">
        <w:rPr>
          <w:rFonts w:ascii="Times New Roman" w:hAnsi="Times New Roman" w:cs="Times New Roman"/>
          <w:b/>
          <w:bCs/>
          <w:sz w:val="22"/>
          <w:szCs w:val="21"/>
        </w:rPr>
        <w:t xml:space="preserve"> </w:t>
      </w:r>
      <w:r w:rsidR="007C3364" w:rsidRPr="00426A51">
        <w:rPr>
          <w:rFonts w:ascii="Times New Roman" w:hAnsi="Times New Roman" w:cs="Times New Roman"/>
          <w:b/>
          <w:bCs/>
          <w:sz w:val="22"/>
          <w:szCs w:val="21"/>
        </w:rPr>
        <w:t xml:space="preserve">for the backbone amide of </w:t>
      </w:r>
      <w:r w:rsidR="0067764B">
        <w:rPr>
          <w:rFonts w:ascii="Times New Roman" w:hAnsi="Times New Roman" w:cs="Times New Roman"/>
          <w:b/>
          <w:bCs/>
          <w:sz w:val="22"/>
          <w:szCs w:val="21"/>
        </w:rPr>
        <w:t>HNRNPG-</w:t>
      </w:r>
      <w:r w:rsidR="007C3364" w:rsidRPr="00426A51">
        <w:rPr>
          <w:rFonts w:ascii="Times New Roman" w:hAnsi="Times New Roman" w:cs="Times New Roman"/>
          <w:b/>
          <w:bCs/>
          <w:sz w:val="22"/>
          <w:szCs w:val="21"/>
        </w:rPr>
        <w:t>RGG.</w:t>
      </w:r>
    </w:p>
    <w:p w14:paraId="3E8BA101" w14:textId="42E0E7B1" w:rsidR="007C3364" w:rsidRPr="00426A51" w:rsidRDefault="0067764B" w:rsidP="00150031">
      <w:pPr>
        <w:spacing w:line="480" w:lineRule="auto"/>
        <w:rPr>
          <w:rFonts w:ascii="Times New Roman" w:hAnsi="Times New Roman" w:cs="Times New Roman"/>
          <w:sz w:val="22"/>
          <w:szCs w:val="21"/>
        </w:rPr>
      </w:pPr>
      <w:r>
        <w:rPr>
          <w:rFonts w:ascii="Times New Roman" w:hAnsi="Times New Roman" w:cs="Times New Roman"/>
          <w:sz w:val="22"/>
          <w:szCs w:val="21"/>
        </w:rPr>
        <w:t>The p</w:t>
      </w:r>
      <w:r w:rsidR="007C3364" w:rsidRPr="00426A51">
        <w:rPr>
          <w:rFonts w:ascii="Times New Roman" w:hAnsi="Times New Roman" w:cs="Times New Roman"/>
          <w:sz w:val="22"/>
          <w:szCs w:val="21"/>
        </w:rPr>
        <w:t xml:space="preserve">eak </w:t>
      </w:r>
      <w:r w:rsidRPr="00426A51">
        <w:rPr>
          <w:rFonts w:ascii="Times New Roman" w:hAnsi="Times New Roman" w:cs="Times New Roman"/>
          <w:sz w:val="22"/>
          <w:szCs w:val="21"/>
        </w:rPr>
        <w:t>intensit</w:t>
      </w:r>
      <w:r>
        <w:rPr>
          <w:rFonts w:ascii="Times New Roman" w:hAnsi="Times New Roman" w:cs="Times New Roman"/>
          <w:sz w:val="22"/>
          <w:szCs w:val="21"/>
        </w:rPr>
        <w:t>ies</w:t>
      </w:r>
      <w:r w:rsidRPr="00426A51">
        <w:rPr>
          <w:rFonts w:ascii="Times New Roman" w:hAnsi="Times New Roman" w:cs="Times New Roman"/>
          <w:sz w:val="22"/>
          <w:szCs w:val="21"/>
        </w:rPr>
        <w:t xml:space="preserve"> </w:t>
      </w:r>
      <w:r>
        <w:rPr>
          <w:rFonts w:ascii="Times New Roman" w:hAnsi="Times New Roman" w:cs="Times New Roman"/>
          <w:sz w:val="22"/>
          <w:szCs w:val="21"/>
        </w:rPr>
        <w:t>were measured in the HSQC spectrum collected for HNRNPG-RG</w:t>
      </w:r>
      <w:r w:rsidR="00D37426">
        <w:rPr>
          <w:rFonts w:ascii="Times New Roman" w:hAnsi="Times New Roman" w:cs="Times New Roman" w:hint="eastAsia"/>
          <w:sz w:val="22"/>
          <w:szCs w:val="21"/>
        </w:rPr>
        <w:t>G</w:t>
      </w:r>
      <w:r>
        <w:rPr>
          <w:rFonts w:ascii="Times New Roman" w:hAnsi="Times New Roman" w:cs="Times New Roman"/>
          <w:sz w:val="22"/>
          <w:szCs w:val="21"/>
        </w:rPr>
        <w:t xml:space="preserve"> domain</w:t>
      </w:r>
      <w:r w:rsidR="007C3364" w:rsidRPr="00426A51">
        <w:rPr>
          <w:rFonts w:ascii="Times New Roman" w:hAnsi="Times New Roman" w:cs="Times New Roman"/>
          <w:sz w:val="22"/>
          <w:szCs w:val="21"/>
        </w:rPr>
        <w:t xml:space="preserve"> in the absence of ATP</w:t>
      </w:r>
      <w:r w:rsidR="00CC1192">
        <w:rPr>
          <w:rFonts w:ascii="Times New Roman" w:hAnsi="Times New Roman" w:cs="Times New Roman"/>
          <w:sz w:val="22"/>
          <w:szCs w:val="21"/>
        </w:rPr>
        <w:t xml:space="preserve"> </w:t>
      </w:r>
      <w:r w:rsidR="007C3364" w:rsidRPr="00426A51">
        <w:rPr>
          <w:rFonts w:ascii="Times New Roman" w:hAnsi="Times New Roman" w:cs="Times New Roman"/>
          <w:sz w:val="22"/>
          <w:szCs w:val="21"/>
        </w:rPr>
        <w:t>(a) and the presence of 5 mM ATP (b) and 10 mM ATP (c), respectively.</w:t>
      </w:r>
    </w:p>
    <w:p w14:paraId="5D653E22" w14:textId="77777777" w:rsidR="001A0B3F" w:rsidRDefault="001A0B3F" w:rsidP="00150031">
      <w:pPr>
        <w:spacing w:line="480" w:lineRule="auto"/>
        <w:jc w:val="center"/>
        <w:rPr>
          <w:rFonts w:ascii="Arial" w:hAnsi="Arial" w:cs="Arial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012A92EC" wp14:editId="595312D1">
            <wp:extent cx="5269230" cy="5699125"/>
            <wp:effectExtent l="0" t="0" r="762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569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D9232" w14:textId="339DDE14" w:rsidR="001A0B3F" w:rsidRDefault="00150031" w:rsidP="00150031">
      <w:pPr>
        <w:spacing w:line="480" w:lineRule="auto"/>
        <w:rPr>
          <w:rFonts w:ascii="Times New Roman" w:hAnsi="Times New Roman" w:cs="Times New Roman"/>
          <w:b/>
          <w:bCs/>
          <w:sz w:val="22"/>
          <w:szCs w:val="21"/>
        </w:rPr>
      </w:pPr>
      <w:r w:rsidRPr="00150031">
        <w:rPr>
          <w:rFonts w:ascii="Times New Roman" w:hAnsi="Times New Roman" w:cs="Times New Roman"/>
          <w:b/>
          <w:bCs/>
          <w:sz w:val="24"/>
        </w:rPr>
        <w:t>Supplementary Fig.</w:t>
      </w:r>
      <w:r>
        <w:rPr>
          <w:rFonts w:ascii="Times New Roman" w:hAnsi="Times New Roman" w:cs="Times New Roman"/>
          <w:sz w:val="24"/>
        </w:rPr>
        <w:t xml:space="preserve"> </w:t>
      </w:r>
      <w:r w:rsidR="001A0B3F">
        <w:rPr>
          <w:rFonts w:ascii="Times New Roman" w:hAnsi="Times New Roman" w:cs="Times New Roman"/>
          <w:b/>
          <w:bCs/>
          <w:sz w:val="22"/>
          <w:szCs w:val="21"/>
        </w:rPr>
        <w:t>3</w:t>
      </w:r>
      <w:r w:rsidR="001A0B3F" w:rsidRPr="00040E4A">
        <w:rPr>
          <w:rFonts w:ascii="Times New Roman" w:hAnsi="Times New Roman" w:cs="Times New Roman"/>
          <w:b/>
          <w:bCs/>
          <w:sz w:val="22"/>
          <w:szCs w:val="21"/>
        </w:rPr>
        <w:t xml:space="preserve"> Experimental CLEANEX-PM build-up curves </w:t>
      </w:r>
      <w:r w:rsidR="00DB53C9">
        <w:rPr>
          <w:rFonts w:ascii="Times New Roman" w:hAnsi="Times New Roman" w:cs="Times New Roman"/>
          <w:b/>
          <w:bCs/>
          <w:sz w:val="22"/>
          <w:szCs w:val="21"/>
        </w:rPr>
        <w:t>for the backbone amide peaks of HNRNPG-</w:t>
      </w:r>
      <w:r w:rsidR="001A0B3F" w:rsidRPr="00040E4A">
        <w:rPr>
          <w:rFonts w:ascii="Times New Roman" w:hAnsi="Times New Roman" w:cs="Times New Roman"/>
          <w:b/>
          <w:bCs/>
          <w:sz w:val="22"/>
          <w:szCs w:val="21"/>
        </w:rPr>
        <w:t xml:space="preserve">RGG. </w:t>
      </w:r>
    </w:p>
    <w:p w14:paraId="73AE3498" w14:textId="297F4B63" w:rsidR="001A0B3F" w:rsidRPr="00040E4A" w:rsidRDefault="001A0B3F" w:rsidP="00150031">
      <w:pPr>
        <w:spacing w:line="480" w:lineRule="auto"/>
        <w:rPr>
          <w:rFonts w:ascii="Times New Roman" w:hAnsi="Times New Roman" w:cs="Times New Roman"/>
          <w:b/>
          <w:bCs/>
          <w:sz w:val="22"/>
          <w:szCs w:val="21"/>
        </w:rPr>
      </w:pPr>
      <w:r w:rsidRPr="00040E4A">
        <w:rPr>
          <w:rFonts w:ascii="Times New Roman" w:hAnsi="Times New Roman" w:cs="Times New Roman"/>
          <w:sz w:val="22"/>
          <w:szCs w:val="21"/>
        </w:rPr>
        <w:t xml:space="preserve">The data of experimental CLEANEX-PM of RGG domain in the absence (black) and presence of ATP (red and blue) </w:t>
      </w:r>
      <w:r>
        <w:rPr>
          <w:rFonts w:ascii="Times New Roman" w:hAnsi="Times New Roman" w:cs="Times New Roman"/>
          <w:sz w:val="22"/>
          <w:szCs w:val="21"/>
        </w:rPr>
        <w:t>are</w:t>
      </w:r>
      <w:r w:rsidRPr="00040E4A">
        <w:rPr>
          <w:rFonts w:ascii="Times New Roman" w:hAnsi="Times New Roman" w:cs="Times New Roman"/>
          <w:sz w:val="22"/>
          <w:szCs w:val="21"/>
        </w:rPr>
        <w:t xml:space="preserve"> show</w:t>
      </w:r>
      <w:r>
        <w:rPr>
          <w:rFonts w:ascii="Times New Roman" w:hAnsi="Times New Roman" w:cs="Times New Roman"/>
          <w:sz w:val="22"/>
          <w:szCs w:val="21"/>
        </w:rPr>
        <w:t>n</w:t>
      </w:r>
      <w:r w:rsidRPr="00040E4A">
        <w:rPr>
          <w:rFonts w:ascii="Times New Roman" w:hAnsi="Times New Roman" w:cs="Times New Roman"/>
          <w:sz w:val="22"/>
          <w:szCs w:val="21"/>
        </w:rPr>
        <w:t xml:space="preserve">. </w:t>
      </w:r>
      <w:r>
        <w:rPr>
          <w:rFonts w:ascii="Times New Roman" w:hAnsi="Times New Roman" w:cs="Times New Roman"/>
          <w:sz w:val="22"/>
          <w:szCs w:val="21"/>
        </w:rPr>
        <w:t xml:space="preserve">Note that some data points were missing due to poor signal, which prevented us from fitting the </w:t>
      </w:r>
      <w:r w:rsidR="00DB53C9">
        <w:rPr>
          <w:rFonts w:ascii="Times New Roman" w:hAnsi="Times New Roman" w:cs="Times New Roman"/>
          <w:sz w:val="22"/>
          <w:szCs w:val="21"/>
        </w:rPr>
        <w:t xml:space="preserve">whole </w:t>
      </w:r>
      <w:r>
        <w:rPr>
          <w:rFonts w:ascii="Times New Roman" w:hAnsi="Times New Roman" w:cs="Times New Roman"/>
          <w:sz w:val="22"/>
          <w:szCs w:val="21"/>
        </w:rPr>
        <w:t>kinetic rate curve</w:t>
      </w:r>
      <w:r w:rsidRPr="00040E4A">
        <w:rPr>
          <w:rFonts w:ascii="Times New Roman" w:hAnsi="Times New Roman" w:cs="Times New Roman"/>
          <w:sz w:val="22"/>
        </w:rPr>
        <w:t>.</w:t>
      </w:r>
    </w:p>
    <w:p w14:paraId="7D24A067" w14:textId="77777777" w:rsidR="001A0B3F" w:rsidRPr="008D6019" w:rsidRDefault="001A0B3F" w:rsidP="00150031">
      <w:pPr>
        <w:widowControl/>
        <w:spacing w:line="480" w:lineRule="auto"/>
        <w:jc w:val="lef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br w:type="page"/>
      </w:r>
    </w:p>
    <w:p w14:paraId="3812792F" w14:textId="426FA900" w:rsidR="00571F7C" w:rsidRPr="001A0B3F" w:rsidRDefault="00571F7C" w:rsidP="00150031">
      <w:pPr>
        <w:spacing w:line="480" w:lineRule="auto"/>
        <w:rPr>
          <w:rFonts w:ascii="Times New Roman" w:hAnsi="Times New Roman" w:cs="Times New Roman"/>
          <w:sz w:val="24"/>
        </w:rPr>
      </w:pPr>
    </w:p>
    <w:p w14:paraId="4B1A3E8C" w14:textId="77777777" w:rsidR="007C3364" w:rsidRDefault="007C3364" w:rsidP="00150031">
      <w:pPr>
        <w:spacing w:line="480" w:lineRule="auto"/>
        <w:jc w:val="center"/>
        <w:rPr>
          <w:rFonts w:ascii="Arial" w:hAnsi="Arial" w:cs="Arial"/>
          <w:sz w:val="24"/>
          <w:szCs w:val="28"/>
        </w:rPr>
      </w:pPr>
      <w:r>
        <w:rPr>
          <w:noProof/>
        </w:rPr>
        <w:drawing>
          <wp:inline distT="0" distB="0" distL="0" distR="0" wp14:anchorId="58146C58" wp14:editId="228D5459">
            <wp:extent cx="5273675" cy="2150110"/>
            <wp:effectExtent l="0" t="0" r="3175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4479D" w14:textId="77777777" w:rsidR="0067764B" w:rsidRDefault="0067764B" w:rsidP="00150031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</w:p>
    <w:p w14:paraId="33B87E15" w14:textId="4640235B" w:rsidR="0067764B" w:rsidRDefault="00150031" w:rsidP="00150031">
      <w:pPr>
        <w:spacing w:line="480" w:lineRule="auto"/>
        <w:rPr>
          <w:rFonts w:ascii="Times New Roman" w:hAnsi="Times New Roman" w:cs="Times New Roman"/>
          <w:sz w:val="22"/>
          <w:szCs w:val="24"/>
        </w:rPr>
      </w:pPr>
      <w:r w:rsidRPr="00150031">
        <w:rPr>
          <w:rFonts w:ascii="Times New Roman" w:hAnsi="Times New Roman" w:cs="Times New Roman"/>
          <w:b/>
          <w:bCs/>
          <w:sz w:val="24"/>
        </w:rPr>
        <w:t>Supplementary Fig.</w:t>
      </w:r>
      <w:r>
        <w:rPr>
          <w:rFonts w:ascii="Times New Roman" w:hAnsi="Times New Roman" w:cs="Times New Roman"/>
          <w:sz w:val="24"/>
        </w:rPr>
        <w:t xml:space="preserve"> </w:t>
      </w:r>
      <w:r w:rsidR="007C3364" w:rsidRPr="00426A51">
        <w:rPr>
          <w:rFonts w:ascii="Times New Roman" w:hAnsi="Times New Roman" w:cs="Times New Roman"/>
          <w:b/>
          <w:bCs/>
          <w:sz w:val="22"/>
          <w:szCs w:val="21"/>
        </w:rPr>
        <w:t xml:space="preserve">4 </w:t>
      </w:r>
      <w:r w:rsidR="0067764B">
        <w:rPr>
          <w:rFonts w:ascii="Times New Roman" w:hAnsi="Times New Roman" w:cs="Times New Roman"/>
          <w:b/>
          <w:bCs/>
          <w:sz w:val="22"/>
          <w:szCs w:val="21"/>
        </w:rPr>
        <w:t>Water</w:t>
      </w:r>
      <w:r w:rsidR="007C3364" w:rsidRPr="00426A51">
        <w:rPr>
          <w:rFonts w:ascii="Times New Roman" w:hAnsi="Times New Roman" w:cs="Times New Roman"/>
          <w:b/>
          <w:bCs/>
          <w:sz w:val="22"/>
          <w:szCs w:val="21"/>
        </w:rPr>
        <w:t xml:space="preserve">-amide hydrogen exchange rates </w:t>
      </w:r>
      <w:r w:rsidR="00DB53C9">
        <w:rPr>
          <w:rFonts w:ascii="Times New Roman" w:hAnsi="Times New Roman" w:cs="Times New Roman"/>
          <w:b/>
          <w:bCs/>
          <w:sz w:val="22"/>
          <w:szCs w:val="21"/>
        </w:rPr>
        <w:t xml:space="preserve">measured </w:t>
      </w:r>
      <w:r w:rsidR="0067764B">
        <w:rPr>
          <w:rFonts w:ascii="Times New Roman" w:hAnsi="Times New Roman" w:cs="Times New Roman"/>
          <w:b/>
          <w:bCs/>
          <w:sz w:val="22"/>
          <w:szCs w:val="21"/>
        </w:rPr>
        <w:t>for HNR</w:t>
      </w:r>
      <w:r w:rsidR="0096699A">
        <w:rPr>
          <w:rFonts w:ascii="Times New Roman" w:hAnsi="Times New Roman" w:cs="Times New Roman"/>
          <w:b/>
          <w:bCs/>
          <w:sz w:val="22"/>
          <w:szCs w:val="21"/>
        </w:rPr>
        <w:t>NP</w:t>
      </w:r>
      <w:r w:rsidR="0067764B">
        <w:rPr>
          <w:rFonts w:ascii="Times New Roman" w:hAnsi="Times New Roman" w:cs="Times New Roman"/>
          <w:b/>
          <w:bCs/>
          <w:sz w:val="22"/>
          <w:szCs w:val="21"/>
        </w:rPr>
        <w:t>G-</w:t>
      </w:r>
      <w:r w:rsidR="007C3364" w:rsidRPr="00426A51">
        <w:rPr>
          <w:rFonts w:ascii="Times New Roman" w:hAnsi="Times New Roman" w:cs="Times New Roman"/>
          <w:b/>
          <w:bCs/>
          <w:sz w:val="22"/>
          <w:szCs w:val="21"/>
        </w:rPr>
        <w:t>RGG</w:t>
      </w:r>
      <w:r w:rsidR="0067764B">
        <w:rPr>
          <w:rFonts w:ascii="Times New Roman" w:hAnsi="Times New Roman" w:cs="Times New Roman"/>
          <w:b/>
          <w:bCs/>
          <w:sz w:val="22"/>
          <w:szCs w:val="21"/>
        </w:rPr>
        <w:t>.</w:t>
      </w:r>
    </w:p>
    <w:p w14:paraId="48DE5AFF" w14:textId="4008260B" w:rsidR="007C3364" w:rsidRPr="00426A51" w:rsidRDefault="007C3364" w:rsidP="00150031">
      <w:pPr>
        <w:spacing w:line="480" w:lineRule="auto"/>
        <w:rPr>
          <w:rFonts w:ascii="Arial" w:hAnsi="Arial" w:cs="Arial"/>
          <w:sz w:val="22"/>
          <w:szCs w:val="24"/>
        </w:rPr>
      </w:pPr>
      <w:r w:rsidRPr="00426A51">
        <w:rPr>
          <w:rFonts w:ascii="Times New Roman" w:hAnsi="Times New Roman" w:cs="Times New Roman"/>
          <w:sz w:val="22"/>
          <w:szCs w:val="24"/>
        </w:rPr>
        <w:t>The</w:t>
      </w:r>
      <w:r w:rsidRPr="00426A51">
        <w:rPr>
          <w:rFonts w:ascii="Times New Roman" w:hAnsi="Times New Roman" w:cs="Times New Roman"/>
          <w:sz w:val="22"/>
          <w:szCs w:val="21"/>
        </w:rPr>
        <w:t xml:space="preserve"> exchange rates (</w:t>
      </w:r>
      <w:r w:rsidRPr="00426A51">
        <w:rPr>
          <w:rFonts w:ascii="Times New Roman" w:hAnsi="Times New Roman" w:cs="Times New Roman"/>
          <w:i/>
          <w:iCs/>
          <w:sz w:val="22"/>
          <w:szCs w:val="21"/>
        </w:rPr>
        <w:t>k</w:t>
      </w:r>
      <w:r w:rsidRPr="00426A51">
        <w:rPr>
          <w:rFonts w:ascii="Times New Roman" w:hAnsi="Times New Roman" w:cs="Times New Roman"/>
          <w:i/>
          <w:iCs/>
          <w:sz w:val="22"/>
          <w:szCs w:val="21"/>
          <w:vertAlign w:val="subscript"/>
        </w:rPr>
        <w:t>ex</w:t>
      </w:r>
      <w:r w:rsidRPr="00426A51">
        <w:rPr>
          <w:rFonts w:ascii="Times New Roman" w:hAnsi="Times New Roman" w:cs="Times New Roman"/>
          <w:sz w:val="22"/>
          <w:szCs w:val="21"/>
        </w:rPr>
        <w:t xml:space="preserve">) of </w:t>
      </w:r>
      <w:r w:rsidR="0067764B">
        <w:rPr>
          <w:rFonts w:ascii="Times New Roman" w:hAnsi="Times New Roman" w:cs="Times New Roman"/>
          <w:sz w:val="22"/>
          <w:szCs w:val="21"/>
        </w:rPr>
        <w:t xml:space="preserve">the </w:t>
      </w:r>
      <w:r w:rsidRPr="00426A51">
        <w:rPr>
          <w:rFonts w:ascii="Times New Roman" w:hAnsi="Times New Roman" w:cs="Times New Roman"/>
          <w:sz w:val="22"/>
          <w:szCs w:val="21"/>
        </w:rPr>
        <w:t xml:space="preserve">RGG domain </w:t>
      </w:r>
      <w:bookmarkStart w:id="0" w:name="_Hlk119437877"/>
      <w:r w:rsidR="0067764B" w:rsidRPr="006A26D5">
        <w:rPr>
          <w:rFonts w:ascii="Times New Roman" w:hAnsi="Times New Roman" w:cs="Times New Roman"/>
          <w:sz w:val="22"/>
          <w:szCs w:val="21"/>
        </w:rPr>
        <w:t>were measured by CLEANEX-PM</w:t>
      </w:r>
      <w:r w:rsidR="0067764B">
        <w:rPr>
          <w:rFonts w:ascii="Times New Roman" w:hAnsi="Times New Roman" w:cs="Times New Roman"/>
          <w:sz w:val="22"/>
          <w:szCs w:val="21"/>
        </w:rPr>
        <w:t xml:space="preserve"> </w:t>
      </w:r>
      <w:r w:rsidR="00AF0417">
        <w:rPr>
          <w:rFonts w:ascii="Times New Roman" w:hAnsi="Times New Roman" w:cs="Times New Roman"/>
          <w:sz w:val="22"/>
          <w:szCs w:val="21"/>
        </w:rPr>
        <w:fldChar w:fldCharType="begin"/>
      </w:r>
      <w:r w:rsidR="00ED6871">
        <w:rPr>
          <w:rFonts w:ascii="Times New Roman" w:hAnsi="Times New Roman" w:cs="Times New Roman"/>
          <w:sz w:val="22"/>
          <w:szCs w:val="21"/>
        </w:rPr>
        <w:instrText xml:space="preserve"> ADDIN EN.CITE &lt;EndNote&gt;&lt;Cite&gt;&lt;Author&gt;Hwang&lt;/Author&gt;&lt;Year&gt;1997&lt;/Year&gt;&lt;RecNum&gt;3296&lt;/RecNum&gt;&lt;DisplayText&gt;&lt;style face="superscript"&gt;1&lt;/style&gt;&lt;/DisplayText&gt;&lt;record&gt;&lt;rec-number&gt;3296&lt;/rec-number&gt;&lt;foreign-keys&gt;&lt;key app="EN" db-id="0eepvepd8fzdziep5xf5a5t1t55v0eedv5fp" timestamp="1625034900"&gt;3296&lt;/key&gt;&lt;/foreign-keys&gt;&lt;ref-type name="Journal Article"&gt;17&lt;/ref-type&gt;&lt;contributors&gt;&lt;authors&gt;&lt;author&gt;Hwang, T. L.&lt;/author&gt;&lt;author&gt;Mori, S.&lt;/author&gt;&lt;author&gt;Shaka, A. J.&lt;/author&gt;&lt;author&gt;vanZijl, P. C. M.&lt;/author&gt;&lt;/authors&gt;&lt;/contributors&gt;&lt;auth-address&gt;Johns Hopkins Univ,Sch Med,Dept Biophys &amp;amp; Biophys Chem,Baltimore,Md 21205&amp;#xD;Univ Calif Irvine,Dept Chem,Irvine,Ca 92697&lt;/auth-address&gt;&lt;titles&gt;&lt;title&gt;Application of phase-modulated CLEAN chemical EXchange spectroscopy (CLEANEX-PM) to detect water-protein proton exchange and intermolecular NOEs&lt;/title&gt;&lt;secondary-title&gt;Journal of the American Chemical Society&lt;/secondary-title&gt;&lt;alt-title&gt;J Am Chem Soc&lt;/alt-title&gt;&lt;/titles&gt;&lt;periodical&gt;&lt;full-title&gt;Journal of the American Chemical Society&lt;/full-title&gt;&lt;abbr-1&gt;J. Am. Chem. Soc.&lt;/abbr-1&gt;&lt;abbr-2&gt;J Am Chem Soc&lt;/abbr-2&gt;&lt;/periodical&gt;&lt;alt-periodical&gt;&lt;full-title&gt;J Am Chem Soc&lt;/full-title&gt;&lt;abbr-1&gt;Journal of the American Chemical Society&lt;/abbr-1&gt;&lt;abbr-2&gt;J. Am. Chem. Soc&lt;/abbr-2&gt;&lt;/alt-periodical&gt;&lt;pages&gt;6203-6204&lt;/pages&gt;&lt;volume&gt;119&lt;/volume&gt;&lt;number&gt;26&lt;/number&gt;&lt;keywords&gt;&lt;keyword&gt;nuclear-magnetic-resonance&lt;/keyword&gt;&lt;keyword&gt;cross-relaxation&lt;/keyword&gt;&lt;keyword&gt;rotating-frame&lt;/keyword&gt;&lt;keyword&gt;nmr experiments&lt;/keyword&gt;&lt;keyword&gt;rates&lt;/keyword&gt;&lt;keyword&gt;suppression&lt;/keyword&gt;&lt;keyword&gt;sensitivity&lt;/keyword&gt;&lt;keyword&gt;peptide&lt;/keyword&gt;&lt;/keywords&gt;&lt;dates&gt;&lt;year&gt;1997&lt;/year&gt;&lt;pub-dates&gt;&lt;date&gt;Jul 2&lt;/date&gt;&lt;/pub-dates&gt;&lt;/dates&gt;&lt;isbn&gt;0002-7863&lt;/isbn&gt;&lt;accession-num&gt;WOS:A1997XJ17600030&lt;/accession-num&gt;&lt;urls&gt;&lt;related-urls&gt;&lt;url&gt;&amp;lt;Go to ISI&amp;gt;://WOS:A1997XJ17600030&lt;/url&gt;&lt;/related-urls&gt;&lt;/urls&gt;&lt;electronic-resource-num&gt;DOI 10.1021/ja970160j&lt;/electronic-resource-num&gt;&lt;language&gt;English&lt;/language&gt;&lt;/record&gt;&lt;/Cite&gt;&lt;/EndNote&gt;</w:instrText>
      </w:r>
      <w:r w:rsidR="00AF0417">
        <w:rPr>
          <w:rFonts w:ascii="Times New Roman" w:hAnsi="Times New Roman" w:cs="Times New Roman"/>
          <w:sz w:val="22"/>
          <w:szCs w:val="21"/>
        </w:rPr>
        <w:fldChar w:fldCharType="separate"/>
      </w:r>
      <w:r w:rsidR="00ED6871" w:rsidRPr="00ED6871">
        <w:rPr>
          <w:rFonts w:ascii="Times New Roman" w:hAnsi="Times New Roman" w:cs="Times New Roman"/>
          <w:noProof/>
          <w:sz w:val="22"/>
          <w:szCs w:val="21"/>
          <w:vertAlign w:val="superscript"/>
        </w:rPr>
        <w:t>1</w:t>
      </w:r>
      <w:r w:rsidR="00AF0417">
        <w:rPr>
          <w:rFonts w:ascii="Times New Roman" w:hAnsi="Times New Roman" w:cs="Times New Roman"/>
          <w:sz w:val="22"/>
          <w:szCs w:val="21"/>
        </w:rPr>
        <w:fldChar w:fldCharType="end"/>
      </w:r>
      <w:r w:rsidR="0067764B" w:rsidRPr="0067764B">
        <w:rPr>
          <w:rFonts w:ascii="Times New Roman" w:hAnsi="Times New Roman" w:cs="Times New Roman"/>
          <w:sz w:val="22"/>
          <w:szCs w:val="21"/>
        </w:rPr>
        <w:t xml:space="preserve"> </w:t>
      </w:r>
      <w:r w:rsidRPr="00426A51">
        <w:rPr>
          <w:rFonts w:ascii="Times New Roman" w:hAnsi="Times New Roman" w:cs="Times New Roman"/>
          <w:sz w:val="22"/>
          <w:szCs w:val="21"/>
        </w:rPr>
        <w:t xml:space="preserve">in the absence (black) and presence of </w:t>
      </w:r>
      <w:r w:rsidR="0067764B">
        <w:rPr>
          <w:rFonts w:ascii="Times New Roman" w:hAnsi="Times New Roman" w:cs="Times New Roman"/>
          <w:sz w:val="22"/>
          <w:szCs w:val="21"/>
        </w:rPr>
        <w:t xml:space="preserve">5, 10 mM </w:t>
      </w:r>
      <w:r w:rsidRPr="00426A51">
        <w:rPr>
          <w:rFonts w:ascii="Times New Roman" w:hAnsi="Times New Roman" w:cs="Times New Roman"/>
          <w:sz w:val="22"/>
          <w:szCs w:val="21"/>
        </w:rPr>
        <w:t>ATP (red and blue)</w:t>
      </w:r>
      <w:bookmarkEnd w:id="0"/>
      <w:r w:rsidRPr="00426A51">
        <w:rPr>
          <w:rFonts w:ascii="Times New Roman" w:hAnsi="Times New Roman" w:cs="Times New Roman"/>
          <w:sz w:val="22"/>
          <w:szCs w:val="21"/>
        </w:rPr>
        <w:t>.</w:t>
      </w:r>
    </w:p>
    <w:p w14:paraId="0560CE49" w14:textId="77777777" w:rsidR="001A0B3F" w:rsidRPr="001A0B3F" w:rsidRDefault="001A0B3F" w:rsidP="00150031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sz w:val="24"/>
        </w:rPr>
      </w:pPr>
    </w:p>
    <w:p w14:paraId="0BD292CF" w14:textId="4BA03425" w:rsidR="001229FB" w:rsidRDefault="00B94D4D" w:rsidP="00150031">
      <w:pPr>
        <w:spacing w:line="480" w:lineRule="auto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lastRenderedPageBreak/>
        <w:drawing>
          <wp:inline distT="0" distB="0" distL="0" distR="0" wp14:anchorId="14BF3AA6" wp14:editId="5D6D77F7">
            <wp:extent cx="5273675" cy="6731000"/>
            <wp:effectExtent l="0" t="0" r="317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67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F5B49" w14:textId="046D1E65" w:rsidR="0067764B" w:rsidRPr="00040E4A" w:rsidRDefault="00150031" w:rsidP="00150031">
      <w:pPr>
        <w:spacing w:line="480" w:lineRule="auto"/>
        <w:rPr>
          <w:rFonts w:ascii="Times New Roman" w:hAnsi="Times New Roman" w:cs="Times New Roman"/>
          <w:b/>
          <w:bCs/>
          <w:sz w:val="22"/>
          <w:szCs w:val="21"/>
        </w:rPr>
      </w:pPr>
      <w:r w:rsidRPr="00150031">
        <w:rPr>
          <w:rFonts w:ascii="Times New Roman" w:hAnsi="Times New Roman" w:cs="Times New Roman"/>
          <w:b/>
          <w:bCs/>
          <w:sz w:val="24"/>
        </w:rPr>
        <w:t>Supplementary Fig.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1"/>
        </w:rPr>
        <w:t>5</w:t>
      </w:r>
      <w:r w:rsidR="001229FB" w:rsidRPr="00040E4A">
        <w:rPr>
          <w:rFonts w:ascii="Times New Roman" w:hAnsi="Times New Roman" w:cs="Times New Roman"/>
          <w:b/>
          <w:bCs/>
          <w:sz w:val="22"/>
          <w:szCs w:val="21"/>
        </w:rPr>
        <w:t xml:space="preserve"> Peak intensity for the backbone amide of </w:t>
      </w:r>
      <w:r w:rsidR="0067764B" w:rsidRPr="00040E4A">
        <w:rPr>
          <w:rFonts w:ascii="Times New Roman" w:hAnsi="Times New Roman" w:cs="Times New Roman"/>
          <w:b/>
          <w:bCs/>
          <w:sz w:val="22"/>
          <w:szCs w:val="21"/>
        </w:rPr>
        <w:t xml:space="preserve">FUS </w:t>
      </w:r>
      <w:r w:rsidR="001229FB" w:rsidRPr="00040E4A">
        <w:rPr>
          <w:rFonts w:ascii="Times New Roman" w:hAnsi="Times New Roman" w:cs="Times New Roman"/>
          <w:b/>
          <w:bCs/>
          <w:sz w:val="22"/>
          <w:szCs w:val="21"/>
        </w:rPr>
        <w:t xml:space="preserve">PLD </w:t>
      </w:r>
      <w:r w:rsidR="0067764B" w:rsidRPr="00040E4A">
        <w:rPr>
          <w:rFonts w:ascii="Times New Roman" w:hAnsi="Times New Roman" w:cs="Times New Roman"/>
          <w:b/>
          <w:bCs/>
          <w:sz w:val="22"/>
          <w:szCs w:val="21"/>
        </w:rPr>
        <w:t>domain</w:t>
      </w:r>
      <w:r w:rsidR="001229FB" w:rsidRPr="00040E4A">
        <w:rPr>
          <w:rFonts w:ascii="Times New Roman" w:hAnsi="Times New Roman" w:cs="Times New Roman"/>
          <w:b/>
          <w:bCs/>
          <w:sz w:val="22"/>
          <w:szCs w:val="21"/>
        </w:rPr>
        <w:t>.</w:t>
      </w:r>
    </w:p>
    <w:p w14:paraId="6CFDD127" w14:textId="1526D2E6" w:rsidR="001229FB" w:rsidRDefault="001229FB" w:rsidP="00150031">
      <w:pPr>
        <w:spacing w:line="480" w:lineRule="auto"/>
        <w:rPr>
          <w:rFonts w:ascii="Times New Roman" w:hAnsi="Times New Roman" w:cs="Times New Roman"/>
          <w:sz w:val="22"/>
          <w:szCs w:val="21"/>
        </w:rPr>
      </w:pPr>
      <w:r w:rsidRPr="00040E4A">
        <w:rPr>
          <w:rFonts w:ascii="Times New Roman" w:hAnsi="Times New Roman" w:cs="Times New Roman"/>
          <w:sz w:val="22"/>
          <w:szCs w:val="21"/>
        </w:rPr>
        <w:t xml:space="preserve">Peak </w:t>
      </w:r>
      <w:r w:rsidR="0067764B" w:rsidRPr="00040E4A">
        <w:rPr>
          <w:rFonts w:ascii="Times New Roman" w:hAnsi="Times New Roman" w:cs="Times New Roman"/>
          <w:sz w:val="22"/>
          <w:szCs w:val="21"/>
        </w:rPr>
        <w:t>intensit</w:t>
      </w:r>
      <w:r w:rsidR="0067764B">
        <w:rPr>
          <w:rFonts w:ascii="Times New Roman" w:hAnsi="Times New Roman" w:cs="Times New Roman"/>
          <w:sz w:val="22"/>
          <w:szCs w:val="21"/>
        </w:rPr>
        <w:t>ies</w:t>
      </w:r>
      <w:r w:rsidR="0067764B" w:rsidRPr="00040E4A">
        <w:rPr>
          <w:rFonts w:ascii="Times New Roman" w:hAnsi="Times New Roman" w:cs="Times New Roman"/>
          <w:sz w:val="22"/>
          <w:szCs w:val="21"/>
        </w:rPr>
        <w:t xml:space="preserve"> </w:t>
      </w:r>
      <w:r w:rsidRPr="00040E4A">
        <w:rPr>
          <w:rFonts w:ascii="Times New Roman" w:hAnsi="Times New Roman" w:cs="Times New Roman"/>
          <w:sz w:val="22"/>
          <w:szCs w:val="21"/>
        </w:rPr>
        <w:t xml:space="preserve">of </w:t>
      </w:r>
      <w:r w:rsidR="0067764B">
        <w:rPr>
          <w:rFonts w:ascii="Times New Roman" w:hAnsi="Times New Roman" w:cs="Times New Roman"/>
          <w:sz w:val="22"/>
          <w:szCs w:val="21"/>
        </w:rPr>
        <w:t xml:space="preserve">the </w:t>
      </w:r>
      <w:r w:rsidRPr="00040E4A">
        <w:rPr>
          <w:rFonts w:ascii="Times New Roman" w:hAnsi="Times New Roman" w:cs="Times New Roman"/>
          <w:sz w:val="22"/>
          <w:szCs w:val="21"/>
        </w:rPr>
        <w:t xml:space="preserve">PLD </w:t>
      </w:r>
      <w:r w:rsidR="0067764B">
        <w:rPr>
          <w:rFonts w:ascii="Times New Roman" w:hAnsi="Times New Roman" w:cs="Times New Roman"/>
          <w:sz w:val="22"/>
          <w:szCs w:val="21"/>
        </w:rPr>
        <w:t xml:space="preserve">domain are plotted </w:t>
      </w:r>
      <w:r w:rsidRPr="00040E4A">
        <w:rPr>
          <w:rFonts w:ascii="Times New Roman" w:hAnsi="Times New Roman" w:cs="Times New Roman"/>
          <w:sz w:val="22"/>
          <w:szCs w:val="21"/>
        </w:rPr>
        <w:t>in the absence of ATP</w:t>
      </w:r>
      <w:r w:rsidR="00B46CDF" w:rsidRPr="00040E4A">
        <w:rPr>
          <w:rFonts w:ascii="Times New Roman" w:hAnsi="Times New Roman" w:cs="Times New Roman"/>
          <w:sz w:val="22"/>
          <w:szCs w:val="21"/>
        </w:rPr>
        <w:t xml:space="preserve"> </w:t>
      </w:r>
      <w:r w:rsidRPr="00040E4A">
        <w:rPr>
          <w:rFonts w:ascii="Times New Roman" w:hAnsi="Times New Roman" w:cs="Times New Roman"/>
          <w:sz w:val="22"/>
          <w:szCs w:val="21"/>
        </w:rPr>
        <w:t>(a) and the presence of 5 mM ATP</w:t>
      </w:r>
      <w:r w:rsidR="00B46CDF" w:rsidRPr="00040E4A">
        <w:rPr>
          <w:rFonts w:ascii="Times New Roman" w:hAnsi="Times New Roman" w:cs="Times New Roman"/>
          <w:sz w:val="22"/>
          <w:szCs w:val="21"/>
        </w:rPr>
        <w:t xml:space="preserve"> </w:t>
      </w:r>
      <w:r w:rsidRPr="00040E4A">
        <w:rPr>
          <w:rFonts w:ascii="Times New Roman" w:hAnsi="Times New Roman" w:cs="Times New Roman"/>
          <w:sz w:val="22"/>
          <w:szCs w:val="21"/>
        </w:rPr>
        <w:t>(b) and 10 mM ATP</w:t>
      </w:r>
      <w:r w:rsidR="00B46CDF" w:rsidRPr="00040E4A">
        <w:rPr>
          <w:rFonts w:ascii="Times New Roman" w:hAnsi="Times New Roman" w:cs="Times New Roman"/>
          <w:sz w:val="22"/>
          <w:szCs w:val="21"/>
        </w:rPr>
        <w:t xml:space="preserve"> </w:t>
      </w:r>
      <w:r w:rsidRPr="00040E4A">
        <w:rPr>
          <w:rFonts w:ascii="Times New Roman" w:hAnsi="Times New Roman" w:cs="Times New Roman"/>
          <w:sz w:val="22"/>
          <w:szCs w:val="21"/>
        </w:rPr>
        <w:t>(c).</w:t>
      </w:r>
    </w:p>
    <w:p w14:paraId="1F6D930C" w14:textId="77777777" w:rsidR="00AF0417" w:rsidRDefault="00AF0417" w:rsidP="00150031">
      <w:pPr>
        <w:widowControl/>
        <w:spacing w:line="480" w:lineRule="auto"/>
        <w:jc w:val="left"/>
        <w:rPr>
          <w:rFonts w:ascii="Times New Roman" w:hAnsi="Times New Roman" w:cs="Times New Roman"/>
          <w:sz w:val="22"/>
          <w:szCs w:val="21"/>
        </w:rPr>
      </w:pPr>
    </w:p>
    <w:p w14:paraId="5A3B7EFA" w14:textId="121E445D" w:rsidR="00AF0417" w:rsidRDefault="0047117A" w:rsidP="00150031">
      <w:pPr>
        <w:widowControl/>
        <w:spacing w:line="480" w:lineRule="auto"/>
        <w:jc w:val="left"/>
        <w:rPr>
          <w:rFonts w:ascii="Times New Roman" w:hAnsi="Times New Roman" w:cs="Times New Roman"/>
          <w:sz w:val="22"/>
          <w:szCs w:val="21"/>
        </w:rPr>
      </w:pPr>
      <w:r>
        <w:rPr>
          <w:noProof/>
        </w:rPr>
        <w:lastRenderedPageBreak/>
        <w:drawing>
          <wp:inline distT="0" distB="0" distL="0" distR="0" wp14:anchorId="41DA1A95" wp14:editId="3E776F00">
            <wp:extent cx="5274310" cy="43446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4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533A3" w14:textId="52F23FCE" w:rsidR="0047117A" w:rsidRDefault="0047117A" w:rsidP="00150031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sz w:val="22"/>
          <w:szCs w:val="21"/>
        </w:rPr>
      </w:pPr>
      <w:r w:rsidRPr="00150031">
        <w:rPr>
          <w:rFonts w:ascii="Times New Roman" w:hAnsi="Times New Roman" w:cs="Times New Roman"/>
          <w:b/>
          <w:bCs/>
          <w:sz w:val="24"/>
        </w:rPr>
        <w:t>Supplementary Fig.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1"/>
        </w:rPr>
        <w:t xml:space="preserve">6 </w:t>
      </w:r>
      <w:r>
        <w:rPr>
          <w:rFonts w:ascii="Times New Roman" w:hAnsi="Times New Roman" w:cs="Times New Roman"/>
          <w:b/>
          <w:bCs/>
          <w:sz w:val="22"/>
        </w:rPr>
        <w:t>Structural models for the</w:t>
      </w:r>
      <w:r w:rsidRPr="009034FE">
        <w:rPr>
          <w:rFonts w:ascii="Times New Roman" w:hAnsi="Times New Roman" w:cs="Times New Roman"/>
          <w:b/>
          <w:bCs/>
          <w:sz w:val="22"/>
        </w:rPr>
        <w:t xml:space="preserve"> ATP</w:t>
      </w:r>
      <w:r>
        <w:rPr>
          <w:rFonts w:ascii="Times New Roman" w:hAnsi="Times New Roman" w:cs="Times New Roman"/>
          <w:b/>
          <w:bCs/>
          <w:sz w:val="22"/>
        </w:rPr>
        <w:t>-assoc</w:t>
      </w:r>
      <w:r>
        <w:rPr>
          <w:rFonts w:ascii="Times New Roman" w:hAnsi="Times New Roman" w:cs="Times New Roman" w:hint="eastAsia"/>
          <w:b/>
          <w:bCs/>
          <w:sz w:val="22"/>
        </w:rPr>
        <w:t>i</w:t>
      </w:r>
      <w:r>
        <w:rPr>
          <w:rFonts w:ascii="Times New Roman" w:hAnsi="Times New Roman" w:cs="Times New Roman"/>
          <w:b/>
          <w:bCs/>
          <w:sz w:val="22"/>
        </w:rPr>
        <w:t>ated FUS-PLD</w:t>
      </w:r>
    </w:p>
    <w:p w14:paraId="47C32B0E" w14:textId="251EFFC1" w:rsidR="0047117A" w:rsidRDefault="0047117A" w:rsidP="00150031">
      <w:pPr>
        <w:widowControl/>
        <w:spacing w:line="480" w:lineRule="auto"/>
        <w:jc w:val="left"/>
        <w:rPr>
          <w:rFonts w:ascii="Times New Roman" w:hAnsi="Times New Roman" w:cs="Times New Roman"/>
          <w:sz w:val="22"/>
          <w:szCs w:val="21"/>
        </w:rPr>
      </w:pPr>
      <w:r w:rsidRPr="008576E6">
        <w:rPr>
          <w:rFonts w:ascii="Times New Roman" w:hAnsi="Times New Roman" w:cs="Times New Roman"/>
          <w:b/>
          <w:sz w:val="22"/>
        </w:rPr>
        <w:t>a</w:t>
      </w:r>
      <w:r>
        <w:rPr>
          <w:rFonts w:ascii="Times New Roman" w:hAnsi="Times New Roman" w:cs="Times New Roman"/>
          <w:b/>
          <w:sz w:val="22"/>
        </w:rPr>
        <w:t>-c</w:t>
      </w:r>
      <w:r w:rsidRPr="009034FE">
        <w:rPr>
          <w:rFonts w:ascii="Times New Roman" w:hAnsi="Times New Roman" w:cs="Times New Roman"/>
          <w:bCs/>
          <w:sz w:val="22"/>
        </w:rPr>
        <w:t xml:space="preserve"> </w:t>
      </w:r>
      <w:r>
        <w:rPr>
          <w:rFonts w:ascii="Times New Roman" w:hAnsi="Times New Roman" w:cs="Times New Roman"/>
          <w:bCs/>
          <w:sz w:val="22"/>
        </w:rPr>
        <w:t>R</w:t>
      </w:r>
      <w:r w:rsidRPr="009034FE">
        <w:rPr>
          <w:rFonts w:ascii="Times New Roman" w:hAnsi="Times New Roman" w:cs="Times New Roman"/>
          <w:bCs/>
          <w:sz w:val="22"/>
        </w:rPr>
        <w:t>epresentative snapshots from MD simulation indicate</w:t>
      </w:r>
      <w:r>
        <w:rPr>
          <w:rFonts w:ascii="Times New Roman" w:hAnsi="Times New Roman" w:cs="Times New Roman"/>
          <w:bCs/>
          <w:sz w:val="22"/>
        </w:rPr>
        <w:t xml:space="preserve"> that ATP</w:t>
      </w:r>
      <w:r w:rsidRPr="009034FE">
        <w:rPr>
          <w:rFonts w:ascii="Times New Roman" w:hAnsi="Times New Roman" w:cs="Times New Roman"/>
          <w:bCs/>
          <w:sz w:val="22"/>
        </w:rPr>
        <w:t xml:space="preserve"> phosphate group interact</w:t>
      </w:r>
      <w:r>
        <w:rPr>
          <w:rFonts w:ascii="Times New Roman" w:hAnsi="Times New Roman" w:cs="Times New Roman"/>
          <w:bCs/>
          <w:sz w:val="22"/>
        </w:rPr>
        <w:t>s</w:t>
      </w:r>
      <w:r w:rsidRPr="009034FE">
        <w:rPr>
          <w:rFonts w:ascii="Times New Roman" w:hAnsi="Times New Roman" w:cs="Times New Roman"/>
          <w:bCs/>
          <w:sz w:val="22"/>
        </w:rPr>
        <w:t xml:space="preserve"> with </w:t>
      </w:r>
      <w:r>
        <w:rPr>
          <w:rFonts w:ascii="Times New Roman" w:hAnsi="Times New Roman" w:cs="Times New Roman"/>
          <w:bCs/>
          <w:sz w:val="22"/>
        </w:rPr>
        <w:t xml:space="preserve">Gln, Ser and </w:t>
      </w:r>
      <w:proofErr w:type="spellStart"/>
      <w:r>
        <w:rPr>
          <w:rFonts w:ascii="Times New Roman" w:hAnsi="Times New Roman" w:cs="Times New Roman"/>
          <w:bCs/>
          <w:sz w:val="22"/>
        </w:rPr>
        <w:t>Thr</w:t>
      </w:r>
      <w:proofErr w:type="spellEnd"/>
      <w:r>
        <w:rPr>
          <w:rFonts w:ascii="Times New Roman" w:hAnsi="Times New Roman" w:cs="Times New Roman"/>
          <w:bCs/>
          <w:sz w:val="22"/>
        </w:rPr>
        <w:t xml:space="preserve"> sidechain</w:t>
      </w:r>
      <w:r w:rsidRPr="009034FE">
        <w:rPr>
          <w:rFonts w:ascii="Times New Roman" w:hAnsi="Times New Roman" w:cs="Times New Roman"/>
          <w:bCs/>
          <w:sz w:val="22"/>
        </w:rPr>
        <w:t>,</w:t>
      </w:r>
      <w:r>
        <w:rPr>
          <w:rFonts w:ascii="Times New Roman" w:hAnsi="Times New Roman" w:cs="Times New Roman"/>
          <w:bCs/>
          <w:sz w:val="22"/>
        </w:rPr>
        <w:t xml:space="preserve"> respectively</w:t>
      </w:r>
      <w:r w:rsidRPr="009034FE">
        <w:rPr>
          <w:rFonts w:ascii="Times New Roman" w:hAnsi="Times New Roman" w:cs="Times New Roman"/>
          <w:bCs/>
          <w:sz w:val="22"/>
        </w:rPr>
        <w:t xml:space="preserve">. </w:t>
      </w:r>
      <w:r w:rsidRPr="008576E6">
        <w:rPr>
          <w:rFonts w:ascii="Times New Roman" w:hAnsi="Times New Roman" w:cs="Times New Roman"/>
          <w:b/>
          <w:sz w:val="22"/>
        </w:rPr>
        <w:t>b</w:t>
      </w:r>
      <w:r w:rsidRPr="009034FE">
        <w:rPr>
          <w:rFonts w:ascii="Times New Roman" w:hAnsi="Times New Roman" w:cs="Times New Roman"/>
          <w:bCs/>
          <w:sz w:val="22"/>
        </w:rPr>
        <w:t xml:space="preserve"> </w:t>
      </w:r>
      <w:r>
        <w:rPr>
          <w:rFonts w:ascii="Times New Roman" w:hAnsi="Times New Roman" w:cs="Times New Roman"/>
          <w:bCs/>
          <w:sz w:val="22"/>
        </w:rPr>
        <w:t>S</w:t>
      </w:r>
      <w:r w:rsidRPr="009034FE">
        <w:rPr>
          <w:rFonts w:ascii="Times New Roman" w:hAnsi="Times New Roman" w:cs="Times New Roman"/>
          <w:bCs/>
          <w:sz w:val="22"/>
        </w:rPr>
        <w:t>tatistic</w:t>
      </w:r>
      <w:r>
        <w:rPr>
          <w:rFonts w:ascii="Times New Roman" w:hAnsi="Times New Roman" w:cs="Times New Roman"/>
          <w:bCs/>
          <w:sz w:val="22"/>
        </w:rPr>
        <w:t>s</w:t>
      </w:r>
      <w:r w:rsidRPr="009034FE">
        <w:rPr>
          <w:rFonts w:ascii="Times New Roman" w:hAnsi="Times New Roman" w:cs="Times New Roman"/>
          <w:bCs/>
          <w:sz w:val="22"/>
        </w:rPr>
        <w:t xml:space="preserve"> of</w:t>
      </w:r>
      <w:r>
        <w:rPr>
          <w:rFonts w:ascii="Times New Roman" w:hAnsi="Times New Roman" w:cs="Times New Roman"/>
          <w:bCs/>
          <w:sz w:val="22"/>
        </w:rPr>
        <w:t xml:space="preserve"> the</w:t>
      </w:r>
      <w:r w:rsidRPr="009034FE">
        <w:rPr>
          <w:rFonts w:ascii="Times New Roman" w:hAnsi="Times New Roman" w:cs="Times New Roman"/>
          <w:bCs/>
          <w:sz w:val="22"/>
        </w:rPr>
        <w:t xml:space="preserve"> number of </w:t>
      </w:r>
      <w:r>
        <w:rPr>
          <w:rFonts w:ascii="Times New Roman" w:hAnsi="Times New Roman" w:cs="Times New Roman"/>
          <w:bCs/>
          <w:sz w:val="22"/>
        </w:rPr>
        <w:t xml:space="preserve">the </w:t>
      </w:r>
      <w:r w:rsidRPr="009034FE">
        <w:rPr>
          <w:rFonts w:ascii="Times New Roman" w:hAnsi="Times New Roman" w:cs="Times New Roman"/>
          <w:bCs/>
          <w:sz w:val="22"/>
        </w:rPr>
        <w:t>hydrogen bonds f</w:t>
      </w:r>
      <w:r w:rsidRPr="009034FE">
        <w:rPr>
          <w:rFonts w:ascii="Times New Roman" w:hAnsi="Times New Roman" w:cs="Times New Roman" w:hint="eastAsia"/>
          <w:bCs/>
          <w:sz w:val="22"/>
        </w:rPr>
        <w:t>or</w:t>
      </w:r>
      <w:r w:rsidRPr="009034FE">
        <w:rPr>
          <w:rFonts w:ascii="Times New Roman" w:hAnsi="Times New Roman" w:cs="Times New Roman"/>
          <w:bCs/>
          <w:sz w:val="22"/>
        </w:rPr>
        <w:t xml:space="preserve">med between ATP and </w:t>
      </w:r>
      <w:r>
        <w:rPr>
          <w:rFonts w:ascii="Times New Roman" w:hAnsi="Times New Roman" w:cs="Times New Roman"/>
          <w:bCs/>
          <w:sz w:val="22"/>
        </w:rPr>
        <w:t xml:space="preserve">different protein </w:t>
      </w:r>
      <w:r w:rsidRPr="009034FE">
        <w:rPr>
          <w:rFonts w:ascii="Times New Roman" w:hAnsi="Times New Roman" w:cs="Times New Roman"/>
          <w:bCs/>
          <w:sz w:val="22"/>
        </w:rPr>
        <w:t>residues</w:t>
      </w:r>
      <w:r>
        <w:rPr>
          <w:rFonts w:ascii="Times New Roman" w:hAnsi="Times New Roman" w:cs="Times New Roman"/>
          <w:bCs/>
          <w:sz w:val="22"/>
        </w:rPr>
        <w:t>, with t</w:t>
      </w:r>
      <w:r w:rsidRPr="009034FE">
        <w:rPr>
          <w:rFonts w:ascii="Times New Roman" w:hAnsi="Times New Roman" w:cs="Times New Roman"/>
          <w:bCs/>
          <w:sz w:val="22"/>
        </w:rPr>
        <w:t xml:space="preserve">he phosphate </w:t>
      </w:r>
      <w:r>
        <w:rPr>
          <w:rFonts w:ascii="Times New Roman" w:hAnsi="Times New Roman" w:cs="Times New Roman"/>
          <w:bCs/>
          <w:sz w:val="22"/>
        </w:rPr>
        <w:t>and nucleobase groups tabulated separately</w:t>
      </w:r>
      <w:r w:rsidRPr="009034FE">
        <w:rPr>
          <w:rFonts w:ascii="Times New Roman" w:hAnsi="Times New Roman" w:cs="Times New Roman"/>
          <w:bCs/>
          <w:sz w:val="22"/>
        </w:rPr>
        <w:t>.</w:t>
      </w:r>
    </w:p>
    <w:p w14:paraId="74EA142E" w14:textId="0AB6C04F" w:rsidR="00ED6871" w:rsidRPr="00ED6871" w:rsidRDefault="00AF0417" w:rsidP="00AA628B">
      <w:pPr>
        <w:pStyle w:val="EndNoteBibliography"/>
        <w:spacing w:line="480" w:lineRule="auto"/>
        <w:ind w:left="720" w:hanging="720"/>
      </w:pPr>
      <w:r>
        <w:rPr>
          <w:rFonts w:ascii="Times New Roman" w:hAnsi="Times New Roman" w:cs="Times New Roman"/>
          <w:sz w:val="22"/>
          <w:szCs w:val="21"/>
        </w:rPr>
        <w:fldChar w:fldCharType="begin"/>
      </w:r>
      <w:r>
        <w:rPr>
          <w:rFonts w:ascii="Times New Roman" w:hAnsi="Times New Roman" w:cs="Times New Roman"/>
          <w:sz w:val="22"/>
          <w:szCs w:val="21"/>
        </w:rPr>
        <w:instrText xml:space="preserve"> ADDIN EN.REFLIST </w:instrText>
      </w:r>
      <w:r>
        <w:rPr>
          <w:rFonts w:ascii="Times New Roman" w:hAnsi="Times New Roman" w:cs="Times New Roman"/>
          <w:sz w:val="22"/>
          <w:szCs w:val="21"/>
        </w:rPr>
        <w:fldChar w:fldCharType="separate"/>
      </w:r>
      <w:r w:rsidR="00ED6871" w:rsidRPr="00ED6871">
        <w:t>1.</w:t>
      </w:r>
      <w:r w:rsidR="00ED6871" w:rsidRPr="00ED6871">
        <w:tab/>
        <w:t xml:space="preserve">Hwang, T. L., Mori, S., Shaka, A. J. &amp; vanZijl, P. C. M. Application of phase-modulated CLEAN chemical EXchange spectroscopy (CLEANEX-PM) to detect water-protein proton exchange and intermolecular NOEs. </w:t>
      </w:r>
      <w:r w:rsidR="00ED6871" w:rsidRPr="00ED6871">
        <w:rPr>
          <w:i/>
        </w:rPr>
        <w:t>J</w:t>
      </w:r>
      <w:r w:rsidR="006F6FFF">
        <w:rPr>
          <w:i/>
        </w:rPr>
        <w:t xml:space="preserve"> </w:t>
      </w:r>
      <w:r w:rsidR="00ED6871" w:rsidRPr="00ED6871">
        <w:rPr>
          <w:i/>
        </w:rPr>
        <w:t>Am Chem Soc</w:t>
      </w:r>
      <w:r w:rsidR="006F6FFF">
        <w:rPr>
          <w:i/>
        </w:rPr>
        <w:t xml:space="preserve"> </w:t>
      </w:r>
      <w:r w:rsidR="00ED6871" w:rsidRPr="00ED6871">
        <w:rPr>
          <w:b/>
        </w:rPr>
        <w:t>119</w:t>
      </w:r>
      <w:r w:rsidR="00ED6871" w:rsidRPr="00ED6871">
        <w:t>, 6203-6204 (1997).</w:t>
      </w:r>
    </w:p>
    <w:p w14:paraId="2604E9BE" w14:textId="24A9EC17" w:rsidR="001229FB" w:rsidRPr="00A16FA1" w:rsidRDefault="00AF0417" w:rsidP="00AA628B">
      <w:pPr>
        <w:widowControl/>
        <w:spacing w:line="480" w:lineRule="auto"/>
        <w:jc w:val="left"/>
        <w:rPr>
          <w:rFonts w:ascii="Times New Roman" w:hAnsi="Times New Roman" w:cs="Times New Roman"/>
          <w:sz w:val="22"/>
          <w:szCs w:val="21"/>
        </w:rPr>
      </w:pPr>
      <w:r>
        <w:rPr>
          <w:rFonts w:ascii="Times New Roman" w:hAnsi="Times New Roman" w:cs="Times New Roman"/>
          <w:sz w:val="22"/>
          <w:szCs w:val="21"/>
        </w:rPr>
        <w:fldChar w:fldCharType="end"/>
      </w:r>
    </w:p>
    <w:sectPr w:rsidR="001229FB" w:rsidRPr="00A16F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9E468" w14:textId="77777777" w:rsidR="00563D21" w:rsidRDefault="00563D21" w:rsidP="00681778">
      <w:r>
        <w:separator/>
      </w:r>
    </w:p>
  </w:endnote>
  <w:endnote w:type="continuationSeparator" w:id="0">
    <w:p w14:paraId="3776524F" w14:textId="77777777" w:rsidR="00563D21" w:rsidRDefault="00563D21" w:rsidP="006817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8C4B9" w14:textId="77777777" w:rsidR="00563D21" w:rsidRDefault="00563D21" w:rsidP="00681778">
      <w:r>
        <w:separator/>
      </w:r>
    </w:p>
  </w:footnote>
  <w:footnote w:type="continuationSeparator" w:id="0">
    <w:p w14:paraId="68A77B31" w14:textId="77777777" w:rsidR="00563D21" w:rsidRDefault="00563D21" w:rsidP="006817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812DE5"/>
    <w:multiLevelType w:val="hybridMultilevel"/>
    <w:tmpl w:val="CDC23286"/>
    <w:lvl w:ilvl="0" w:tplc="FFFFFFFF">
      <w:start w:val="1"/>
      <w:numFmt w:val="lowerLetter"/>
      <w:lvlText w:val="(%1)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BA7084E"/>
    <w:multiLevelType w:val="hybridMultilevel"/>
    <w:tmpl w:val="B838CD70"/>
    <w:lvl w:ilvl="0" w:tplc="EE0A774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322272255">
    <w:abstractNumId w:val="1"/>
  </w:num>
  <w:num w:numId="2" w16cid:durableId="4968495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复制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7A570F"/>
    <w:rsid w:val="00037A94"/>
    <w:rsid w:val="00040E4A"/>
    <w:rsid w:val="00046A62"/>
    <w:rsid w:val="000627ED"/>
    <w:rsid w:val="00064F12"/>
    <w:rsid w:val="000D6529"/>
    <w:rsid w:val="000D78D4"/>
    <w:rsid w:val="000E0D96"/>
    <w:rsid w:val="000F5716"/>
    <w:rsid w:val="00103416"/>
    <w:rsid w:val="0011651C"/>
    <w:rsid w:val="001229FB"/>
    <w:rsid w:val="00141340"/>
    <w:rsid w:val="00150031"/>
    <w:rsid w:val="00152172"/>
    <w:rsid w:val="001A0B3F"/>
    <w:rsid w:val="001A1775"/>
    <w:rsid w:val="001A2E33"/>
    <w:rsid w:val="001D4325"/>
    <w:rsid w:val="001E0570"/>
    <w:rsid w:val="001E3160"/>
    <w:rsid w:val="001E564B"/>
    <w:rsid w:val="00285252"/>
    <w:rsid w:val="00294B00"/>
    <w:rsid w:val="002A1D11"/>
    <w:rsid w:val="002E06B4"/>
    <w:rsid w:val="002F68DE"/>
    <w:rsid w:val="0034406B"/>
    <w:rsid w:val="00372AEE"/>
    <w:rsid w:val="003B060C"/>
    <w:rsid w:val="003D7953"/>
    <w:rsid w:val="00426A51"/>
    <w:rsid w:val="0044326C"/>
    <w:rsid w:val="00454D0C"/>
    <w:rsid w:val="00462645"/>
    <w:rsid w:val="0047117A"/>
    <w:rsid w:val="00482D90"/>
    <w:rsid w:val="0049096D"/>
    <w:rsid w:val="00493C7C"/>
    <w:rsid w:val="004B7BFB"/>
    <w:rsid w:val="004C2FA5"/>
    <w:rsid w:val="004D5DD3"/>
    <w:rsid w:val="005178B2"/>
    <w:rsid w:val="005356FA"/>
    <w:rsid w:val="0054028E"/>
    <w:rsid w:val="00543F3C"/>
    <w:rsid w:val="0055644C"/>
    <w:rsid w:val="00560B97"/>
    <w:rsid w:val="00563D21"/>
    <w:rsid w:val="00571F7C"/>
    <w:rsid w:val="00581D0D"/>
    <w:rsid w:val="005C1449"/>
    <w:rsid w:val="005C234C"/>
    <w:rsid w:val="005C675E"/>
    <w:rsid w:val="005F4D4D"/>
    <w:rsid w:val="006014D9"/>
    <w:rsid w:val="00601D9D"/>
    <w:rsid w:val="00607E1F"/>
    <w:rsid w:val="0061478E"/>
    <w:rsid w:val="00617AB9"/>
    <w:rsid w:val="00622833"/>
    <w:rsid w:val="006476FA"/>
    <w:rsid w:val="0066067F"/>
    <w:rsid w:val="0067764B"/>
    <w:rsid w:val="00677F6E"/>
    <w:rsid w:val="00681778"/>
    <w:rsid w:val="006A0FDD"/>
    <w:rsid w:val="006A2EC1"/>
    <w:rsid w:val="006B2457"/>
    <w:rsid w:val="006B2A7D"/>
    <w:rsid w:val="006E27FE"/>
    <w:rsid w:val="006F3CDE"/>
    <w:rsid w:val="006F6FFF"/>
    <w:rsid w:val="00722DD7"/>
    <w:rsid w:val="007249FD"/>
    <w:rsid w:val="0073013C"/>
    <w:rsid w:val="00747E37"/>
    <w:rsid w:val="00756C20"/>
    <w:rsid w:val="0078037E"/>
    <w:rsid w:val="007A570F"/>
    <w:rsid w:val="007A7AE3"/>
    <w:rsid w:val="007C3364"/>
    <w:rsid w:val="00820938"/>
    <w:rsid w:val="0085005D"/>
    <w:rsid w:val="00855C73"/>
    <w:rsid w:val="00893BA5"/>
    <w:rsid w:val="008D04A5"/>
    <w:rsid w:val="008D6019"/>
    <w:rsid w:val="00902049"/>
    <w:rsid w:val="0093662E"/>
    <w:rsid w:val="0096699A"/>
    <w:rsid w:val="009815E6"/>
    <w:rsid w:val="009A384E"/>
    <w:rsid w:val="009A7F96"/>
    <w:rsid w:val="009B4107"/>
    <w:rsid w:val="009C271F"/>
    <w:rsid w:val="009D3F5A"/>
    <w:rsid w:val="00A16FA1"/>
    <w:rsid w:val="00A22339"/>
    <w:rsid w:val="00A515D3"/>
    <w:rsid w:val="00A51AE9"/>
    <w:rsid w:val="00A53292"/>
    <w:rsid w:val="00A56E64"/>
    <w:rsid w:val="00A61C1A"/>
    <w:rsid w:val="00A728B3"/>
    <w:rsid w:val="00AA2E5F"/>
    <w:rsid w:val="00AA3B4D"/>
    <w:rsid w:val="00AA628B"/>
    <w:rsid w:val="00AC0EE3"/>
    <w:rsid w:val="00AC4EEA"/>
    <w:rsid w:val="00AC70A5"/>
    <w:rsid w:val="00AD1ECC"/>
    <w:rsid w:val="00AD5EFE"/>
    <w:rsid w:val="00AF0417"/>
    <w:rsid w:val="00B42B33"/>
    <w:rsid w:val="00B46CDF"/>
    <w:rsid w:val="00B94D4D"/>
    <w:rsid w:val="00BC523F"/>
    <w:rsid w:val="00BE1C1C"/>
    <w:rsid w:val="00BE2A10"/>
    <w:rsid w:val="00BE34BD"/>
    <w:rsid w:val="00C04EB7"/>
    <w:rsid w:val="00C07A10"/>
    <w:rsid w:val="00C22BBE"/>
    <w:rsid w:val="00C2335A"/>
    <w:rsid w:val="00C41548"/>
    <w:rsid w:val="00CA02ED"/>
    <w:rsid w:val="00CA1DC8"/>
    <w:rsid w:val="00CA303F"/>
    <w:rsid w:val="00CA7800"/>
    <w:rsid w:val="00CC1192"/>
    <w:rsid w:val="00CD1F6D"/>
    <w:rsid w:val="00CD2F70"/>
    <w:rsid w:val="00CD7E8F"/>
    <w:rsid w:val="00CF30EF"/>
    <w:rsid w:val="00D01792"/>
    <w:rsid w:val="00D37426"/>
    <w:rsid w:val="00D424B1"/>
    <w:rsid w:val="00D52A5F"/>
    <w:rsid w:val="00D77528"/>
    <w:rsid w:val="00DA291B"/>
    <w:rsid w:val="00DA74ED"/>
    <w:rsid w:val="00DB53C9"/>
    <w:rsid w:val="00DD776D"/>
    <w:rsid w:val="00E05D81"/>
    <w:rsid w:val="00E43865"/>
    <w:rsid w:val="00E47902"/>
    <w:rsid w:val="00E601BA"/>
    <w:rsid w:val="00E661C3"/>
    <w:rsid w:val="00E82D82"/>
    <w:rsid w:val="00EA03EB"/>
    <w:rsid w:val="00EB518C"/>
    <w:rsid w:val="00EB7556"/>
    <w:rsid w:val="00EC5C3E"/>
    <w:rsid w:val="00ED6871"/>
    <w:rsid w:val="00EE7675"/>
    <w:rsid w:val="00EF3BE3"/>
    <w:rsid w:val="00F02819"/>
    <w:rsid w:val="00F20DBB"/>
    <w:rsid w:val="00F277B6"/>
    <w:rsid w:val="00F5697F"/>
    <w:rsid w:val="00F77FEB"/>
    <w:rsid w:val="00FD5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F279CA8"/>
  <w14:defaultImageDpi w14:val="330"/>
  <w15:chartTrackingRefBased/>
  <w15:docId w15:val="{B70113B8-659C-4E9E-B943-25B180A63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17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8177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817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81778"/>
    <w:rPr>
      <w:sz w:val="18"/>
      <w:szCs w:val="18"/>
    </w:rPr>
  </w:style>
  <w:style w:type="paragraph" w:styleId="a7">
    <w:name w:val="List Paragraph"/>
    <w:basedOn w:val="a"/>
    <w:uiPriority w:val="34"/>
    <w:qFormat/>
    <w:rsid w:val="002A1D11"/>
    <w:pPr>
      <w:ind w:firstLineChars="200" w:firstLine="420"/>
    </w:pPr>
  </w:style>
  <w:style w:type="character" w:styleId="a8">
    <w:name w:val="Hyperlink"/>
    <w:basedOn w:val="a0"/>
    <w:uiPriority w:val="99"/>
    <w:semiHidden/>
    <w:unhideWhenUsed/>
    <w:rsid w:val="00152172"/>
    <w:rPr>
      <w:color w:val="0000FF"/>
      <w:u w:val="single"/>
    </w:rPr>
  </w:style>
  <w:style w:type="paragraph" w:styleId="a9">
    <w:name w:val="Revision"/>
    <w:hidden/>
    <w:uiPriority w:val="99"/>
    <w:semiHidden/>
    <w:rsid w:val="0067764B"/>
  </w:style>
  <w:style w:type="character" w:styleId="aa">
    <w:name w:val="annotation reference"/>
    <w:basedOn w:val="a0"/>
    <w:uiPriority w:val="99"/>
    <w:semiHidden/>
    <w:unhideWhenUsed/>
    <w:rsid w:val="0067764B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7764B"/>
    <w:rPr>
      <w:sz w:val="20"/>
      <w:szCs w:val="20"/>
    </w:rPr>
  </w:style>
  <w:style w:type="character" w:customStyle="1" w:styleId="ac">
    <w:name w:val="批注文字 字符"/>
    <w:basedOn w:val="a0"/>
    <w:link w:val="ab"/>
    <w:uiPriority w:val="99"/>
    <w:semiHidden/>
    <w:rsid w:val="0067764B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7764B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67764B"/>
    <w:rPr>
      <w:b/>
      <w:bCs/>
      <w:sz w:val="20"/>
      <w:szCs w:val="20"/>
    </w:rPr>
  </w:style>
  <w:style w:type="paragraph" w:customStyle="1" w:styleId="EndNoteBibliographyTitle">
    <w:name w:val="EndNote Bibliography Title"/>
    <w:basedOn w:val="a"/>
    <w:link w:val="EndNoteBibliographyTitle0"/>
    <w:rsid w:val="00AF0417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AF0417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AF0417"/>
    <w:pPr>
      <w:jc w:val="left"/>
    </w:pPr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AF0417"/>
    <w:rPr>
      <w:rFonts w:ascii="等线" w:eastAsia="等线" w:hAnsi="等线"/>
      <w:noProof/>
      <w:sz w:val="20"/>
    </w:rPr>
  </w:style>
  <w:style w:type="character" w:styleId="af">
    <w:name w:val="Placeholder Text"/>
    <w:basedOn w:val="a0"/>
    <w:uiPriority w:val="99"/>
    <w:semiHidden/>
    <w:rsid w:val="0034406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1FAB3-562C-41D1-8A88-6EAF440F4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585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gong zhou</dc:creator>
  <cp:keywords/>
  <dc:description/>
  <cp:lastModifiedBy>2823</cp:lastModifiedBy>
  <cp:revision>3</cp:revision>
  <dcterms:created xsi:type="dcterms:W3CDTF">2023-06-20T13:07:00Z</dcterms:created>
  <dcterms:modified xsi:type="dcterms:W3CDTF">2023-06-25T07:31:00Z</dcterms:modified>
</cp:coreProperties>
</file>