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4E2BDD" w14:textId="77777777" w:rsidR="00183F90" w:rsidRPr="00183F90" w:rsidRDefault="00183F90" w:rsidP="00183F90">
      <w:pPr>
        <w:spacing w:line="259" w:lineRule="auto"/>
        <w:rPr>
          <w:rFonts w:cstheme="minorHAnsi"/>
          <w:b/>
          <w:caps/>
          <w:sz w:val="24"/>
          <w:szCs w:val="24"/>
          <w:lang w:val="en-US"/>
        </w:rPr>
      </w:pPr>
      <w:r w:rsidRPr="00183F90">
        <w:rPr>
          <w:rFonts w:cstheme="minorHAnsi"/>
          <w:b/>
          <w:caps/>
          <w:sz w:val="24"/>
          <w:szCs w:val="24"/>
          <w:lang w:val="en-US"/>
        </w:rPr>
        <w:t>SUPPORTING INFORMATION</w:t>
      </w:r>
    </w:p>
    <w:p w14:paraId="05783321" w14:textId="77777777" w:rsidR="00183F90" w:rsidRDefault="00183F90" w:rsidP="00183F90">
      <w:pPr>
        <w:spacing w:line="480" w:lineRule="auto"/>
        <w:jc w:val="both"/>
        <w:rPr>
          <w:rFonts w:cstheme="minorHAnsi"/>
          <w:b/>
          <w:sz w:val="24"/>
          <w:lang w:val="en-US"/>
        </w:rPr>
      </w:pPr>
    </w:p>
    <w:p w14:paraId="350C8E06" w14:textId="08858627" w:rsidR="00183F90" w:rsidRPr="007D388E" w:rsidRDefault="00183F90" w:rsidP="00183F90">
      <w:pPr>
        <w:spacing w:line="480" w:lineRule="auto"/>
        <w:jc w:val="both"/>
        <w:rPr>
          <w:rFonts w:cstheme="minorHAnsi"/>
          <w:b/>
          <w:sz w:val="24"/>
          <w:lang w:val="en-US"/>
        </w:rPr>
      </w:pPr>
      <w:r>
        <w:rPr>
          <w:rFonts w:cstheme="minorHAnsi"/>
          <w:b/>
          <w:sz w:val="24"/>
          <w:lang w:val="en-US"/>
        </w:rPr>
        <w:t xml:space="preserve">Effects of chronic voluntary alcohol consumption on PDE10A availability: a longitudinal </w:t>
      </w:r>
      <w:proofErr w:type="spellStart"/>
      <w:r>
        <w:rPr>
          <w:rFonts w:cstheme="minorHAnsi"/>
          <w:b/>
          <w:sz w:val="24"/>
          <w:lang w:val="en-US"/>
        </w:rPr>
        <w:t>behavioural</w:t>
      </w:r>
      <w:proofErr w:type="spellEnd"/>
      <w:r>
        <w:rPr>
          <w:rFonts w:cstheme="minorHAnsi"/>
          <w:b/>
          <w:sz w:val="24"/>
          <w:lang w:val="en-US"/>
        </w:rPr>
        <w:t xml:space="preserve"> and </w:t>
      </w:r>
      <w:r w:rsidRPr="002A7E28">
        <w:rPr>
          <w:rFonts w:cstheme="minorHAnsi"/>
          <w:b/>
          <w:sz w:val="24"/>
          <w:lang w:val="en-US"/>
        </w:rPr>
        <w:t>[</w:t>
      </w:r>
      <w:r w:rsidRPr="008868D8">
        <w:rPr>
          <w:rFonts w:cstheme="minorHAnsi"/>
          <w:b/>
          <w:sz w:val="24"/>
          <w:vertAlign w:val="superscript"/>
          <w:lang w:val="en-US"/>
        </w:rPr>
        <w:t>18</w:t>
      </w:r>
      <w:r w:rsidRPr="002A7E28">
        <w:rPr>
          <w:rFonts w:cstheme="minorHAnsi"/>
          <w:b/>
          <w:sz w:val="24"/>
          <w:lang w:val="en-US"/>
        </w:rPr>
        <w:t xml:space="preserve">F]JNJ42259152 </w:t>
      </w:r>
      <w:r>
        <w:rPr>
          <w:rFonts w:cstheme="minorHAnsi"/>
          <w:b/>
          <w:sz w:val="24"/>
          <w:lang w:val="en-US"/>
        </w:rPr>
        <w:t>PET study in rats</w:t>
      </w:r>
    </w:p>
    <w:p w14:paraId="3DB1599E" w14:textId="77777777" w:rsidR="00183F90" w:rsidRPr="00EC1BD3" w:rsidRDefault="00183F90" w:rsidP="00183F90">
      <w:pPr>
        <w:autoSpaceDE w:val="0"/>
        <w:autoSpaceDN w:val="0"/>
        <w:adjustRightInd w:val="0"/>
        <w:spacing w:after="0" w:line="480" w:lineRule="auto"/>
        <w:jc w:val="both"/>
        <w:rPr>
          <w:rFonts w:ascii="Calibri" w:hAnsi="Calibri" w:cs="Calibri"/>
          <w:lang w:val="en-US"/>
        </w:rPr>
      </w:pPr>
      <w:r w:rsidRPr="00EC1BD3">
        <w:rPr>
          <w:rFonts w:ascii="Calibri" w:hAnsi="Calibri" w:cs="Calibri"/>
          <w:lang w:val="en-US"/>
        </w:rPr>
        <w:t>Bart de Laat</w:t>
      </w:r>
      <w:r w:rsidRPr="006D1FE7">
        <w:rPr>
          <w:rFonts w:ascii="Calibri" w:hAnsi="Calibri" w:cs="Calibri"/>
          <w:lang w:val="en-US"/>
        </w:rPr>
        <w:t xml:space="preserve"> </w:t>
      </w:r>
      <w:r w:rsidRPr="00EC1BD3">
        <w:rPr>
          <w:rFonts w:ascii="Calibri" w:hAnsi="Calibri" w:cs="Calibri"/>
          <w:lang w:val="en-US"/>
        </w:rPr>
        <w:t>PhD</w:t>
      </w:r>
      <w:r w:rsidRPr="00EC1BD3">
        <w:rPr>
          <w:rFonts w:ascii="Calibri" w:hAnsi="Calibri" w:cs="Calibri"/>
          <w:vertAlign w:val="superscript"/>
          <w:lang w:val="en-US"/>
        </w:rPr>
        <w:t>1</w:t>
      </w:r>
      <w:r w:rsidRPr="00950568">
        <w:rPr>
          <w:rFonts w:ascii="Times New Roman" w:eastAsia="Times New Roman" w:hAnsi="Times New Roman" w:cs="Times New Roman"/>
          <w:bCs/>
          <w:color w:val="212121"/>
          <w:vertAlign w:val="superscript"/>
          <w:lang w:val="en-GB" w:eastAsia="nl-NL"/>
        </w:rPr>
        <w:t>*</w:t>
      </w:r>
      <w:r w:rsidRPr="00EC1BD3">
        <w:rPr>
          <w:rFonts w:ascii="Calibri" w:hAnsi="Calibri" w:cs="Calibri"/>
          <w:lang w:val="en-US"/>
        </w:rPr>
        <w:t>, Yvonne E. Klingl</w:t>
      </w:r>
      <w:r>
        <w:rPr>
          <w:rFonts w:ascii="Calibri" w:hAnsi="Calibri" w:cs="Calibri"/>
          <w:lang w:val="en-US"/>
        </w:rPr>
        <w:t xml:space="preserve"> MSc</w:t>
      </w:r>
      <w:r w:rsidRPr="00EC1BD3">
        <w:rPr>
          <w:rFonts w:ascii="Calibri" w:hAnsi="Calibri" w:cs="Calibri"/>
          <w:vertAlign w:val="superscript"/>
          <w:lang w:val="en-US"/>
        </w:rPr>
        <w:t>2,3</w:t>
      </w:r>
      <w:r w:rsidRPr="00950568">
        <w:rPr>
          <w:rFonts w:ascii="Times New Roman" w:eastAsia="Times New Roman" w:hAnsi="Times New Roman" w:cs="Times New Roman"/>
          <w:bCs/>
          <w:color w:val="212121"/>
          <w:vertAlign w:val="superscript"/>
          <w:lang w:val="en-GB" w:eastAsia="nl-NL"/>
        </w:rPr>
        <w:t>*</w:t>
      </w:r>
      <w:r w:rsidRPr="00EC1BD3">
        <w:rPr>
          <w:rFonts w:ascii="Calibri" w:hAnsi="Calibri" w:cs="Calibri"/>
          <w:lang w:val="en-US"/>
        </w:rPr>
        <w:t xml:space="preserve">, Gwen </w:t>
      </w:r>
      <w:proofErr w:type="spellStart"/>
      <w:r w:rsidRPr="00EC1BD3">
        <w:rPr>
          <w:rFonts w:ascii="Calibri" w:hAnsi="Calibri" w:cs="Calibri"/>
          <w:lang w:val="en-US"/>
        </w:rPr>
        <w:t>Schroyen</w:t>
      </w:r>
      <w:proofErr w:type="spellEnd"/>
      <w:r>
        <w:rPr>
          <w:rFonts w:ascii="Calibri" w:hAnsi="Calibri" w:cs="Calibri"/>
          <w:lang w:val="en-US"/>
        </w:rPr>
        <w:t xml:space="preserve"> MSc</w:t>
      </w:r>
      <w:r w:rsidRPr="00EC1BD3">
        <w:rPr>
          <w:rFonts w:ascii="Calibri" w:hAnsi="Calibri" w:cs="Calibri"/>
          <w:vertAlign w:val="superscript"/>
          <w:lang w:val="en-US"/>
        </w:rPr>
        <w:t>4</w:t>
      </w:r>
      <w:r w:rsidRPr="00EC1BD3">
        <w:rPr>
          <w:rFonts w:ascii="Calibri" w:hAnsi="Calibri" w:cs="Calibri"/>
          <w:lang w:val="en-US"/>
        </w:rPr>
        <w:t xml:space="preserve">, Maarten </w:t>
      </w:r>
      <w:proofErr w:type="spellStart"/>
      <w:r w:rsidRPr="00EC1BD3">
        <w:rPr>
          <w:rFonts w:ascii="Calibri" w:hAnsi="Calibri" w:cs="Calibri"/>
          <w:lang w:val="en-US"/>
        </w:rPr>
        <w:t>Ooms</w:t>
      </w:r>
      <w:proofErr w:type="spellEnd"/>
      <w:r>
        <w:rPr>
          <w:rFonts w:ascii="Calibri" w:hAnsi="Calibri" w:cs="Calibri"/>
          <w:lang w:val="en-US"/>
        </w:rPr>
        <w:t xml:space="preserve"> PhD</w:t>
      </w:r>
      <w:r w:rsidRPr="00EC1BD3">
        <w:rPr>
          <w:rFonts w:ascii="Calibri" w:hAnsi="Calibri" w:cs="Calibri"/>
          <w:vertAlign w:val="superscript"/>
          <w:lang w:val="en-US"/>
        </w:rPr>
        <w:t>5</w:t>
      </w:r>
      <w:r w:rsidRPr="00EC1BD3">
        <w:rPr>
          <w:rFonts w:ascii="Calibri" w:hAnsi="Calibri" w:cs="Calibri"/>
          <w:lang w:val="en-US"/>
        </w:rPr>
        <w:t>, Jacob M Hooker</w:t>
      </w:r>
      <w:r>
        <w:rPr>
          <w:rFonts w:ascii="Calibri" w:hAnsi="Calibri" w:cs="Calibri"/>
          <w:lang w:val="en-US"/>
        </w:rPr>
        <w:t xml:space="preserve"> PhD</w:t>
      </w:r>
      <w:r w:rsidRPr="00EC1BD3">
        <w:rPr>
          <w:rFonts w:ascii="Calibri" w:hAnsi="Calibri" w:cs="Calibri"/>
          <w:vertAlign w:val="superscript"/>
          <w:lang w:val="en-US"/>
        </w:rPr>
        <w:t>6</w:t>
      </w:r>
      <w:r w:rsidRPr="00EC1BD3">
        <w:rPr>
          <w:rFonts w:ascii="Calibri" w:hAnsi="Calibri" w:cs="Calibri"/>
          <w:lang w:val="en-US"/>
        </w:rPr>
        <w:t>,</w:t>
      </w:r>
      <w:r>
        <w:rPr>
          <w:rFonts w:ascii="Calibri" w:hAnsi="Calibri" w:cs="Calibri"/>
          <w:lang w:val="en-US"/>
        </w:rPr>
        <w:t xml:space="preserve"> </w:t>
      </w:r>
      <w:r w:rsidRPr="00EC1BD3">
        <w:rPr>
          <w:rFonts w:ascii="Calibri" w:hAnsi="Calibri" w:cs="Calibri"/>
          <w:lang w:val="en-US"/>
        </w:rPr>
        <w:t xml:space="preserve">Guy </w:t>
      </w:r>
      <w:proofErr w:type="spellStart"/>
      <w:r w:rsidRPr="00EC1BD3">
        <w:rPr>
          <w:rFonts w:ascii="Calibri" w:hAnsi="Calibri" w:cs="Calibri"/>
          <w:lang w:val="en-US"/>
        </w:rPr>
        <w:t>Bormans</w:t>
      </w:r>
      <w:proofErr w:type="spellEnd"/>
      <w:r>
        <w:rPr>
          <w:rFonts w:ascii="Calibri" w:hAnsi="Calibri" w:cs="Calibri"/>
          <w:lang w:val="en-US"/>
        </w:rPr>
        <w:t xml:space="preserve"> PhD</w:t>
      </w:r>
      <w:r w:rsidRPr="00EC1BD3">
        <w:rPr>
          <w:rFonts w:ascii="Calibri" w:hAnsi="Calibri" w:cs="Calibri"/>
          <w:vertAlign w:val="superscript"/>
          <w:lang w:val="en-US"/>
        </w:rPr>
        <w:t>5</w:t>
      </w:r>
      <w:r w:rsidRPr="00EC1BD3">
        <w:rPr>
          <w:rFonts w:ascii="Calibri" w:hAnsi="Calibri" w:cs="Calibri"/>
          <w:lang w:val="en-US"/>
        </w:rPr>
        <w:t>, Koen Van Laere</w:t>
      </w:r>
      <w:r>
        <w:rPr>
          <w:rFonts w:ascii="Calibri" w:hAnsi="Calibri" w:cs="Calibri"/>
          <w:lang w:val="en-US"/>
        </w:rPr>
        <w:t xml:space="preserve"> </w:t>
      </w:r>
      <w:r w:rsidRPr="00EC1BD3">
        <w:rPr>
          <w:rFonts w:ascii="Calibri" w:hAnsi="Calibri" w:cs="Calibri"/>
          <w:lang w:val="en-US"/>
        </w:rPr>
        <w:t>MD PhD DSc</w:t>
      </w:r>
      <w:r w:rsidRPr="00EC1BD3">
        <w:rPr>
          <w:rFonts w:ascii="Calibri" w:hAnsi="Calibri" w:cs="Calibri"/>
          <w:vertAlign w:val="superscript"/>
          <w:lang w:val="en-US"/>
        </w:rPr>
        <w:t>1,7</w:t>
      </w:r>
      <w:r w:rsidRPr="00EC1BD3">
        <w:rPr>
          <w:rFonts w:ascii="Calibri" w:hAnsi="Calibri" w:cs="Calibri"/>
          <w:lang w:val="en-US"/>
        </w:rPr>
        <w:t>,</w:t>
      </w:r>
      <w:r>
        <w:rPr>
          <w:rFonts w:ascii="Calibri" w:hAnsi="Calibri" w:cs="Calibri"/>
          <w:lang w:val="en-US"/>
        </w:rPr>
        <w:t xml:space="preserve"> </w:t>
      </w:r>
      <w:r w:rsidRPr="00EC1BD3">
        <w:rPr>
          <w:rFonts w:ascii="Calibri" w:hAnsi="Calibri" w:cs="Calibri"/>
          <w:lang w:val="en-US"/>
        </w:rPr>
        <w:t>Jenny Ceccarini</w:t>
      </w:r>
      <w:r>
        <w:rPr>
          <w:rFonts w:ascii="Calibri" w:hAnsi="Calibri" w:cs="Calibri"/>
          <w:lang w:val="en-US"/>
        </w:rPr>
        <w:t xml:space="preserve"> PhD</w:t>
      </w:r>
      <w:r w:rsidRPr="00EC1BD3">
        <w:rPr>
          <w:rFonts w:ascii="Calibri" w:hAnsi="Calibri" w:cs="Calibri"/>
          <w:vertAlign w:val="superscript"/>
          <w:lang w:val="en-US"/>
        </w:rPr>
        <w:t>1</w:t>
      </w:r>
    </w:p>
    <w:p w14:paraId="57C7C948" w14:textId="77777777" w:rsidR="00183F90" w:rsidRPr="00EC1BD3" w:rsidRDefault="00183F90" w:rsidP="00183F90">
      <w:pPr>
        <w:autoSpaceDE w:val="0"/>
        <w:autoSpaceDN w:val="0"/>
        <w:adjustRightInd w:val="0"/>
        <w:spacing w:after="0" w:line="276" w:lineRule="auto"/>
        <w:jc w:val="both"/>
        <w:rPr>
          <w:rFonts w:ascii="Calibri" w:hAnsi="Calibri" w:cs="Calibri"/>
          <w:vertAlign w:val="superscript"/>
          <w:lang w:val="en-US"/>
        </w:rPr>
      </w:pPr>
    </w:p>
    <w:p w14:paraId="2681A28E" w14:textId="77777777" w:rsidR="00183F90" w:rsidRDefault="00183F90" w:rsidP="00183F90">
      <w:pPr>
        <w:autoSpaceDE w:val="0"/>
        <w:autoSpaceDN w:val="0"/>
        <w:adjustRightInd w:val="0"/>
        <w:spacing w:after="0" w:line="276" w:lineRule="auto"/>
        <w:jc w:val="both"/>
        <w:rPr>
          <w:rFonts w:ascii="Calibri" w:hAnsi="Calibri" w:cs="Calibri"/>
          <w:lang w:val="en-US"/>
        </w:rPr>
      </w:pPr>
      <w:r w:rsidRPr="008939AB">
        <w:rPr>
          <w:rFonts w:ascii="Calibri" w:hAnsi="Calibri" w:cs="Calibri"/>
          <w:lang w:val="en-US"/>
        </w:rPr>
        <w:t>*</w:t>
      </w:r>
      <w:r>
        <w:rPr>
          <w:rFonts w:ascii="Calibri" w:hAnsi="Calibri" w:cs="Calibri"/>
          <w:lang w:val="en-US"/>
        </w:rPr>
        <w:t xml:space="preserve">both authors </w:t>
      </w:r>
      <w:r w:rsidRPr="008939AB">
        <w:rPr>
          <w:rFonts w:ascii="Calibri" w:hAnsi="Calibri" w:cs="Calibri"/>
          <w:lang w:val="en-US"/>
        </w:rPr>
        <w:t>contributed</w:t>
      </w:r>
      <w:r>
        <w:rPr>
          <w:rFonts w:ascii="Calibri" w:hAnsi="Calibri" w:cs="Calibri"/>
          <w:lang w:val="en-US"/>
        </w:rPr>
        <w:t xml:space="preserve"> </w:t>
      </w:r>
      <w:r w:rsidRPr="008939AB">
        <w:rPr>
          <w:rFonts w:ascii="Calibri" w:hAnsi="Calibri" w:cs="Calibri"/>
          <w:lang w:val="en-US"/>
        </w:rPr>
        <w:t>equally to</w:t>
      </w:r>
      <w:r>
        <w:rPr>
          <w:rFonts w:ascii="Calibri" w:hAnsi="Calibri" w:cs="Calibri"/>
          <w:lang w:val="en-US"/>
        </w:rPr>
        <w:t xml:space="preserve"> this</w:t>
      </w:r>
      <w:r w:rsidRPr="008939AB">
        <w:rPr>
          <w:rFonts w:ascii="Calibri" w:hAnsi="Calibri" w:cs="Calibri"/>
          <w:lang w:val="en-US"/>
        </w:rPr>
        <w:t xml:space="preserve"> </w:t>
      </w:r>
      <w:proofErr w:type="gramStart"/>
      <w:r w:rsidRPr="008939AB">
        <w:rPr>
          <w:rFonts w:ascii="Calibri" w:hAnsi="Calibri" w:cs="Calibri"/>
          <w:lang w:val="en-US"/>
        </w:rPr>
        <w:t>work</w:t>
      </w:r>
      <w:proofErr w:type="gramEnd"/>
    </w:p>
    <w:p w14:paraId="1AC0B972" w14:textId="77777777" w:rsidR="007A2861" w:rsidRDefault="007A2861" w:rsidP="00764CD3">
      <w:pPr>
        <w:spacing w:line="259" w:lineRule="auto"/>
        <w:rPr>
          <w:rFonts w:cstheme="minorHAnsi"/>
          <w:b/>
          <w:caps/>
          <w:lang w:val="en-US"/>
        </w:rPr>
      </w:pPr>
    </w:p>
    <w:p w14:paraId="6E9711BE" w14:textId="77777777" w:rsidR="007A2861" w:rsidRDefault="007A2861" w:rsidP="00764CD3">
      <w:pPr>
        <w:spacing w:line="259" w:lineRule="auto"/>
        <w:rPr>
          <w:rFonts w:cstheme="minorHAnsi"/>
          <w:b/>
          <w:caps/>
          <w:lang w:val="en-US"/>
        </w:rPr>
      </w:pPr>
    </w:p>
    <w:p w14:paraId="3490A33B" w14:textId="77777777" w:rsidR="007A2861" w:rsidRDefault="007A2861" w:rsidP="00764CD3">
      <w:pPr>
        <w:spacing w:line="259" w:lineRule="auto"/>
        <w:rPr>
          <w:rFonts w:cstheme="minorHAnsi"/>
          <w:b/>
          <w:caps/>
          <w:lang w:val="en-US"/>
        </w:rPr>
      </w:pPr>
    </w:p>
    <w:p w14:paraId="526836A8" w14:textId="77777777" w:rsidR="00764CD3" w:rsidRDefault="00764CD3" w:rsidP="00764CD3">
      <w:pPr>
        <w:spacing w:line="259" w:lineRule="auto"/>
        <w:rPr>
          <w:rFonts w:cstheme="minorHAnsi"/>
          <w:b/>
          <w:caps/>
          <w:lang w:val="en-US"/>
        </w:rPr>
      </w:pPr>
    </w:p>
    <w:p w14:paraId="003E8499" w14:textId="75B5D4B4" w:rsidR="00655724" w:rsidRDefault="006A0DC4" w:rsidP="00D24482">
      <w:pPr>
        <w:spacing w:line="480" w:lineRule="auto"/>
        <w:jc w:val="both"/>
        <w:rPr>
          <w:rFonts w:cstheme="minorHAnsi"/>
          <w:b/>
          <w:lang w:val="en-US"/>
        </w:rPr>
      </w:pPr>
      <w:r>
        <w:rPr>
          <w:rFonts w:cstheme="minorHAnsi"/>
          <w:b/>
          <w:lang w:val="en-US"/>
        </w:rPr>
        <w:t>Supplementary Figure 1</w:t>
      </w:r>
      <w:r w:rsidR="00D24482" w:rsidRPr="00764CD3">
        <w:rPr>
          <w:rFonts w:cstheme="minorHAnsi"/>
          <w:b/>
          <w:lang w:val="en-US"/>
        </w:rPr>
        <w:t>.</w:t>
      </w:r>
      <w:r w:rsidR="00D24482" w:rsidRPr="00764CD3">
        <w:rPr>
          <w:rFonts w:cstheme="minorHAnsi"/>
          <w:lang w:val="en-US"/>
        </w:rPr>
        <w:t xml:space="preserve"> PDE10A</w:t>
      </w:r>
      <w:r w:rsidR="00D24482" w:rsidRPr="00EC6A48">
        <w:rPr>
          <w:rFonts w:cstheme="minorHAnsi"/>
          <w:lang w:val="en-US"/>
        </w:rPr>
        <w:t xml:space="preserve"> BP</w:t>
      </w:r>
      <w:r w:rsidR="00D24482" w:rsidRPr="00EC6A48">
        <w:rPr>
          <w:rFonts w:cstheme="minorHAnsi"/>
          <w:vertAlign w:val="subscript"/>
          <w:lang w:val="en-US"/>
        </w:rPr>
        <w:t>ND</w:t>
      </w:r>
      <w:r w:rsidR="00D24482" w:rsidRPr="00EC6A48">
        <w:rPr>
          <w:rFonts w:cstheme="minorHAnsi"/>
          <w:lang w:val="en-US"/>
        </w:rPr>
        <w:t xml:space="preserve"> changes during the </w:t>
      </w:r>
      <w:r w:rsidR="00D24482" w:rsidRPr="00EC6A48">
        <w:rPr>
          <w:lang w:val="en-US"/>
        </w:rPr>
        <w:t xml:space="preserve">intermittent access to ethanol (IAE) animal model </w:t>
      </w:r>
      <w:r w:rsidR="00D24482" w:rsidRPr="00EC6A48">
        <w:rPr>
          <w:rFonts w:cstheme="minorHAnsi"/>
          <w:lang w:val="en-US"/>
        </w:rPr>
        <w:t>in function of the alcohol consumption</w:t>
      </w:r>
    </w:p>
    <w:p w14:paraId="79719847" w14:textId="77777777" w:rsidR="00655724" w:rsidRDefault="00655724" w:rsidP="00655724">
      <w:pPr>
        <w:spacing w:line="259" w:lineRule="auto"/>
        <w:jc w:val="both"/>
        <w:rPr>
          <w:rFonts w:cstheme="minorHAnsi"/>
          <w:sz w:val="18"/>
          <w:szCs w:val="18"/>
          <w:lang w:val="en-US"/>
        </w:rPr>
      </w:pPr>
    </w:p>
    <w:p w14:paraId="15EBCC90" w14:textId="77777777" w:rsidR="00655724" w:rsidRDefault="00655724" w:rsidP="00655724">
      <w:pPr>
        <w:spacing w:line="259" w:lineRule="auto"/>
        <w:jc w:val="both"/>
        <w:rPr>
          <w:rFonts w:cstheme="minorHAnsi"/>
          <w:sz w:val="18"/>
          <w:szCs w:val="18"/>
          <w:lang w:val="en-US"/>
        </w:rPr>
      </w:pPr>
    </w:p>
    <w:p w14:paraId="1213806A" w14:textId="77777777" w:rsidR="00655724" w:rsidRDefault="00D24482" w:rsidP="00655724">
      <w:pPr>
        <w:spacing w:line="259" w:lineRule="auto"/>
        <w:jc w:val="both"/>
        <w:rPr>
          <w:rFonts w:cstheme="minorHAnsi"/>
          <w:sz w:val="18"/>
          <w:szCs w:val="18"/>
          <w:lang w:val="en-US"/>
        </w:rPr>
      </w:pPr>
      <w:r w:rsidRPr="00D24482">
        <w:rPr>
          <w:rFonts w:cstheme="minorHAnsi"/>
          <w:noProof/>
          <w:sz w:val="18"/>
          <w:szCs w:val="18"/>
          <w:lang w:val="en-US"/>
        </w:rPr>
        <w:drawing>
          <wp:inline distT="0" distB="0" distL="0" distR="0" wp14:anchorId="1F2808AE" wp14:editId="5DE1C756">
            <wp:extent cx="5760720" cy="2103755"/>
            <wp:effectExtent l="0" t="0" r="0" b="0"/>
            <wp:docPr id="2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fbeelding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103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321CA8" w14:textId="77777777" w:rsidR="00655724" w:rsidRDefault="00655724" w:rsidP="00655724">
      <w:pPr>
        <w:spacing w:line="259" w:lineRule="auto"/>
        <w:jc w:val="both"/>
        <w:rPr>
          <w:rFonts w:cstheme="minorHAnsi"/>
          <w:sz w:val="18"/>
          <w:szCs w:val="18"/>
          <w:lang w:val="en-US"/>
        </w:rPr>
      </w:pPr>
    </w:p>
    <w:p w14:paraId="61906B91" w14:textId="0D919127" w:rsidR="005B53FF" w:rsidRPr="001729AE" w:rsidRDefault="00655724" w:rsidP="00183F90">
      <w:pPr>
        <w:spacing w:line="360" w:lineRule="auto"/>
        <w:jc w:val="both"/>
        <w:rPr>
          <w:lang w:val="en-US"/>
        </w:rPr>
      </w:pPr>
      <w:r w:rsidRPr="00EC6A48">
        <w:rPr>
          <w:rFonts w:cstheme="minorHAnsi"/>
          <w:lang w:val="en-US"/>
        </w:rPr>
        <w:t xml:space="preserve">Percentage changes of PDE10A binding </w:t>
      </w:r>
      <w:r>
        <w:rPr>
          <w:rFonts w:cstheme="minorHAnsi"/>
          <w:lang w:val="en-US"/>
        </w:rPr>
        <w:t>potential (BP</w:t>
      </w:r>
      <w:r w:rsidRPr="00813442">
        <w:rPr>
          <w:rFonts w:cstheme="minorHAnsi"/>
          <w:vertAlign w:val="subscript"/>
          <w:lang w:val="en-US"/>
        </w:rPr>
        <w:t>ND</w:t>
      </w:r>
      <w:r>
        <w:rPr>
          <w:rFonts w:cstheme="minorHAnsi"/>
          <w:lang w:val="en-US"/>
        </w:rPr>
        <w:t xml:space="preserve">) </w:t>
      </w:r>
      <w:r w:rsidRPr="00EC6A48">
        <w:rPr>
          <w:rFonts w:cstheme="minorHAnsi"/>
          <w:lang w:val="en-US"/>
        </w:rPr>
        <w:t xml:space="preserve">at alcohol exposure week 4 of the intermittent access to ethanol (IAE) model, compared to week 2, in function of </w:t>
      </w:r>
      <w:r w:rsidRPr="00EC6A48">
        <w:rPr>
          <w:rFonts w:cstheme="minorHAnsi"/>
          <w:b/>
          <w:lang w:val="en-US"/>
        </w:rPr>
        <w:t>(</w:t>
      </w:r>
      <w:r w:rsidR="006A0DC4">
        <w:rPr>
          <w:rFonts w:cstheme="minorHAnsi"/>
          <w:b/>
          <w:lang w:val="en-US"/>
        </w:rPr>
        <w:t>left</w:t>
      </w:r>
      <w:r w:rsidRPr="00EC6A48">
        <w:rPr>
          <w:rFonts w:cstheme="minorHAnsi"/>
          <w:b/>
          <w:lang w:val="en-US"/>
        </w:rPr>
        <w:t>)</w:t>
      </w:r>
      <w:r w:rsidRPr="00EC6A48">
        <w:rPr>
          <w:rFonts w:cstheme="minorHAnsi"/>
          <w:lang w:val="en-US"/>
        </w:rPr>
        <w:t xml:space="preserve"> alcohol consumption (mean ± SEM), and </w:t>
      </w:r>
      <w:r w:rsidRPr="00EC6A48">
        <w:rPr>
          <w:rFonts w:cstheme="minorHAnsi"/>
          <w:b/>
          <w:lang w:val="en-US"/>
        </w:rPr>
        <w:t>(</w:t>
      </w:r>
      <w:r w:rsidR="006A0DC4">
        <w:rPr>
          <w:rFonts w:cstheme="minorHAnsi"/>
          <w:b/>
          <w:lang w:val="en-US"/>
        </w:rPr>
        <w:t>right</w:t>
      </w:r>
      <w:r w:rsidRPr="00EC6A48">
        <w:rPr>
          <w:rFonts w:cstheme="minorHAnsi"/>
          <w:b/>
          <w:lang w:val="en-US"/>
        </w:rPr>
        <w:t>)</w:t>
      </w:r>
      <w:r w:rsidRPr="00EC6A48">
        <w:rPr>
          <w:rFonts w:cstheme="minorHAnsi"/>
          <w:lang w:val="en-US"/>
        </w:rPr>
        <w:t xml:space="preserve"> OFT locomotor activity changes normalized to the baseline condition</w:t>
      </w:r>
      <w:r>
        <w:rPr>
          <w:rFonts w:cstheme="minorHAnsi"/>
          <w:lang w:val="en-US"/>
        </w:rPr>
        <w:t xml:space="preserve"> (BL)</w:t>
      </w:r>
      <w:r w:rsidRPr="00EC6A48">
        <w:rPr>
          <w:rFonts w:cstheme="minorHAnsi"/>
          <w:lang w:val="en-US"/>
        </w:rPr>
        <w:t xml:space="preserve">. </w:t>
      </w:r>
      <w:r w:rsidRPr="00EC6A48">
        <w:rPr>
          <w:rFonts w:cstheme="minorHAnsi"/>
          <w:i/>
          <w:lang w:val="en-US"/>
        </w:rPr>
        <w:t>High ALC</w:t>
      </w:r>
      <w:r w:rsidRPr="00EC6A48">
        <w:rPr>
          <w:rFonts w:cstheme="minorHAnsi"/>
          <w:lang w:val="en-US"/>
        </w:rPr>
        <w:t xml:space="preserve"> = rats who reported a higher alcohol consumption and preference above the mean during the first phase of the IAE model (w2 and w3, see Figure 2)</w:t>
      </w:r>
      <w:r>
        <w:rPr>
          <w:rFonts w:cstheme="minorHAnsi"/>
          <w:lang w:val="en-US"/>
        </w:rPr>
        <w:t xml:space="preserve">; </w:t>
      </w:r>
      <w:r>
        <w:rPr>
          <w:rFonts w:cstheme="minorHAnsi"/>
          <w:i/>
          <w:lang w:val="en-US"/>
        </w:rPr>
        <w:t>NuAc</w:t>
      </w:r>
      <w:r w:rsidRPr="00EC6A48">
        <w:rPr>
          <w:rFonts w:cstheme="minorHAnsi"/>
          <w:lang w:val="en-US"/>
        </w:rPr>
        <w:t xml:space="preserve"> = </w:t>
      </w:r>
      <w:r>
        <w:rPr>
          <w:rFonts w:cstheme="minorHAnsi"/>
          <w:lang w:val="en-US"/>
        </w:rPr>
        <w:t>nucleus accumbens.</w:t>
      </w:r>
    </w:p>
    <w:sectPr w:rsidR="005B53FF" w:rsidRPr="001729AE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987C397" w14:textId="77777777" w:rsidR="00F41691" w:rsidRDefault="00F41691" w:rsidP="008C0606">
      <w:pPr>
        <w:spacing w:after="0" w:line="240" w:lineRule="auto"/>
      </w:pPr>
      <w:r>
        <w:separator/>
      </w:r>
    </w:p>
  </w:endnote>
  <w:endnote w:type="continuationSeparator" w:id="0">
    <w:p w14:paraId="67DF5A18" w14:textId="77777777" w:rsidR="00F41691" w:rsidRDefault="00F41691" w:rsidP="008C06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CCE82A2" w14:textId="77777777" w:rsidR="00F41691" w:rsidRDefault="00F41691" w:rsidP="008C0606">
      <w:pPr>
        <w:spacing w:after="0" w:line="240" w:lineRule="auto"/>
      </w:pPr>
      <w:r>
        <w:separator/>
      </w:r>
    </w:p>
  </w:footnote>
  <w:footnote w:type="continuationSeparator" w:id="0">
    <w:p w14:paraId="6EDACEF1" w14:textId="77777777" w:rsidR="00F41691" w:rsidRDefault="00F41691" w:rsidP="008C06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35717146"/>
      <w:docPartObj>
        <w:docPartGallery w:val="Page Numbers (Top of Page)"/>
        <w:docPartUnique/>
      </w:docPartObj>
    </w:sdtPr>
    <w:sdtEndPr>
      <w:rPr>
        <w:noProof/>
      </w:rPr>
    </w:sdtEndPr>
    <w:sdtContent>
      <w:p w14:paraId="2C9FBCCE" w14:textId="77777777" w:rsidR="008C0606" w:rsidRDefault="008C0606">
        <w:pPr>
          <w:pStyle w:val="Header"/>
          <w:jc w:val="right"/>
        </w:pPr>
        <w:r>
          <w:t>S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F6FC6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71B0474" w14:textId="77777777" w:rsidR="008C0606" w:rsidRDefault="008C0606" w:rsidP="008C0606">
    <w:pPr>
      <w:pStyle w:val="Header"/>
      <w:ind w:left="708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9AE"/>
    <w:rsid w:val="001267DE"/>
    <w:rsid w:val="001729AE"/>
    <w:rsid w:val="00183F90"/>
    <w:rsid w:val="001D0E58"/>
    <w:rsid w:val="00217351"/>
    <w:rsid w:val="005B53FF"/>
    <w:rsid w:val="005C14BA"/>
    <w:rsid w:val="005E5024"/>
    <w:rsid w:val="005F635F"/>
    <w:rsid w:val="00655724"/>
    <w:rsid w:val="006A0DC4"/>
    <w:rsid w:val="006F6FC6"/>
    <w:rsid w:val="00737740"/>
    <w:rsid w:val="00747254"/>
    <w:rsid w:val="00764CD3"/>
    <w:rsid w:val="007A2861"/>
    <w:rsid w:val="007A2ED5"/>
    <w:rsid w:val="007F5103"/>
    <w:rsid w:val="008859AC"/>
    <w:rsid w:val="00894A2F"/>
    <w:rsid w:val="008C0606"/>
    <w:rsid w:val="00B46112"/>
    <w:rsid w:val="00B84A6E"/>
    <w:rsid w:val="00BF03CD"/>
    <w:rsid w:val="00CE22A4"/>
    <w:rsid w:val="00D17EF0"/>
    <w:rsid w:val="00D24482"/>
    <w:rsid w:val="00D77128"/>
    <w:rsid w:val="00E25CE7"/>
    <w:rsid w:val="00ED5830"/>
    <w:rsid w:val="00EE45CA"/>
    <w:rsid w:val="00EF4CE2"/>
    <w:rsid w:val="00F41691"/>
    <w:rsid w:val="00F80A9C"/>
    <w:rsid w:val="00FC066B"/>
    <w:rsid w:val="00FD6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C8234E7"/>
  <w15:chartTrackingRefBased/>
  <w15:docId w15:val="{924D531C-1F7B-4273-BA16-5BE721456B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29AE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C0606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C0606"/>
  </w:style>
  <w:style w:type="paragraph" w:styleId="Footer">
    <w:name w:val="footer"/>
    <w:basedOn w:val="Normal"/>
    <w:link w:val="FooterChar"/>
    <w:uiPriority w:val="99"/>
    <w:unhideWhenUsed/>
    <w:rsid w:val="008C0606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C06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D4E216-9D33-4DD6-AB67-8D8C193AF0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151</Words>
  <Characters>863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UZ Leuven</Company>
  <LinksUpToDate>false</LinksUpToDate>
  <CharactersWithSpaces>1012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Jenny Ceccarini</dc:creator>
  <cp:keywords/>
  <dc:description/>
  <cp:lastModifiedBy>Jenny Ceccarini</cp:lastModifiedBy>
  <cp:revision>8</cp:revision>
  <dcterms:created xsi:type="dcterms:W3CDTF">2020-06-12T07:32:00Z</dcterms:created>
  <dcterms:modified xsi:type="dcterms:W3CDTF">2021-03-08T13:54:00Z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http://www.zotero.org/styles/frontiers-in-physiology</vt:lpwstr>
  </property>
  <property fmtid="{D5CDD505-2E9C-101B-9397-08002B2CF9AE}" pid="15" name="Mendeley Recent Style Name 6_1">
    <vt:lpwstr>Frontiers in Physiology</vt:lpwstr>
  </property>
  <property fmtid="{D5CDD505-2E9C-101B-9397-08002B2CF9AE}" pid="16" name="Mendeley Recent Style Id 7_1">
    <vt:lpwstr>http://www.zotero.org/styles/ieee</vt:lpwstr>
  </property>
  <property fmtid="{D5CDD505-2E9C-101B-9397-08002B2CF9AE}" pid="17" name="Mendeley Recent Style Name 7_1">
    <vt:lpwstr>IEEE</vt:lpwstr>
  </property>
  <property fmtid="{D5CDD505-2E9C-101B-9397-08002B2CF9AE}" pid="18" name="Mendeley Recent Style Id 8_1">
    <vt:lpwstr>http://www.zotero.org/styles/modern-humanities-research-association</vt:lpwstr>
  </property>
  <property fmtid="{D5CDD505-2E9C-101B-9397-08002B2CF9AE}" pid="19" name="Mendeley Recent Style Name 8_1">
    <vt:lpwstr>Modern Humanities Research Association 3rd edition (note with bibliography)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</Properties>
</file>