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092" w:rsidRPr="00C25B05" w:rsidRDefault="00194FA6" w:rsidP="00C25B05">
      <w:pPr>
        <w:pStyle w:val="MDPI71References"/>
        <w:numPr>
          <w:ilvl w:val="0"/>
          <w:numId w:val="0"/>
        </w:numPr>
        <w:spacing w:after="240" w:line="480" w:lineRule="auto"/>
        <w:ind w:left="425" w:hanging="425"/>
        <w:rPr>
          <w:rFonts w:ascii="Times New Roman" w:eastAsiaTheme="minorEastAsia" w:hAnsi="Times New Roman"/>
          <w:b/>
          <w:sz w:val="20"/>
          <w:lang w:eastAsia="zh-CN"/>
        </w:rPr>
      </w:pPr>
      <w:bookmarkStart w:id="0" w:name="OLE_LINK89"/>
      <w:bookmarkStart w:id="1" w:name="OLE_LINK90"/>
      <w:bookmarkStart w:id="2" w:name="OLE_LINK91"/>
      <w:r w:rsidRPr="00C25B05">
        <w:rPr>
          <w:rFonts w:ascii="Times New Roman" w:eastAsiaTheme="minorEastAsia" w:hAnsi="Times New Roman"/>
          <w:b/>
          <w:sz w:val="20"/>
          <w:lang w:eastAsia="zh-CN"/>
        </w:rPr>
        <w:t>SUPPLEMENTA</w:t>
      </w:r>
      <w:r w:rsidR="000F781B" w:rsidRPr="00C25B05">
        <w:rPr>
          <w:rFonts w:ascii="Times New Roman" w:eastAsiaTheme="minorEastAsia" w:hAnsi="Times New Roman"/>
          <w:b/>
          <w:sz w:val="20"/>
          <w:lang w:eastAsia="zh-CN"/>
        </w:rPr>
        <w:t xml:space="preserve">RY </w:t>
      </w:r>
      <w:r w:rsidRPr="00C25B05">
        <w:rPr>
          <w:rFonts w:ascii="Times New Roman" w:eastAsiaTheme="minorEastAsia" w:hAnsi="Times New Roman"/>
          <w:b/>
          <w:sz w:val="20"/>
          <w:lang w:eastAsia="zh-CN"/>
        </w:rPr>
        <w:t>MATERIAL</w:t>
      </w:r>
    </w:p>
    <w:p w:rsidR="00CB3092" w:rsidRPr="00C25B05" w:rsidRDefault="00E21871" w:rsidP="00C25B05">
      <w:pPr>
        <w:pStyle w:val="MDPI71References"/>
        <w:numPr>
          <w:ilvl w:val="0"/>
          <w:numId w:val="0"/>
        </w:numPr>
        <w:spacing w:after="240" w:line="480" w:lineRule="auto"/>
        <w:ind w:left="425"/>
        <w:rPr>
          <w:rFonts w:ascii="Times New Roman" w:eastAsiaTheme="minorEastAsia" w:hAnsi="Times New Roman"/>
          <w:lang w:eastAsia="zh-CN"/>
        </w:rPr>
      </w:pPr>
      <w:r w:rsidRPr="00C25B05">
        <w:rPr>
          <w:rFonts w:ascii="Times New Roman" w:eastAsiaTheme="minorEastAsia" w:hAnsi="Times New Roman"/>
          <w:b/>
          <w:lang w:eastAsia="zh-CN"/>
        </w:rPr>
        <w:t>Table S1</w:t>
      </w:r>
      <w:bookmarkEnd w:id="0"/>
      <w:bookmarkEnd w:id="1"/>
      <w:bookmarkEnd w:id="2"/>
      <w:r w:rsidRPr="00C25B05">
        <w:rPr>
          <w:rFonts w:ascii="Times New Roman" w:eastAsiaTheme="minorEastAsia" w:hAnsi="Times New Roman"/>
          <w:b/>
          <w:lang w:eastAsia="zh-CN"/>
        </w:rPr>
        <w:t xml:space="preserve">. </w:t>
      </w:r>
      <w:r w:rsidRPr="00C25B05">
        <w:rPr>
          <w:rFonts w:ascii="Times New Roman" w:eastAsiaTheme="minorEastAsia" w:hAnsi="Times New Roman"/>
          <w:lang w:eastAsia="zh-CN"/>
        </w:rPr>
        <w:t>Univariate analysis for hematoma expansion and poor outcome in the 3</w:t>
      </w:r>
      <w:r w:rsidR="00191319" w:rsidRPr="00C25B05">
        <w:rPr>
          <w:rFonts w:ascii="Times New Roman" w:eastAsiaTheme="minorEastAsia" w:hAnsi="Times New Roman"/>
          <w:lang w:eastAsia="zh-CN"/>
        </w:rPr>
        <w:t>–</w:t>
      </w:r>
      <w:r w:rsidRPr="00C25B05">
        <w:rPr>
          <w:rFonts w:ascii="Times New Roman" w:eastAsiaTheme="minorEastAsia" w:hAnsi="Times New Roman"/>
          <w:lang w:eastAsia="zh-CN"/>
        </w:rPr>
        <w:t>10ml subgroup</w:t>
      </w:r>
      <w:r w:rsidR="00191319" w:rsidRPr="00C25B05">
        <w:rPr>
          <w:rFonts w:ascii="Times New Roman" w:eastAsiaTheme="minorEastAsia" w:hAnsi="Times New Roman"/>
          <w:lang w:eastAsia="zh-CN"/>
        </w:rPr>
        <w:t>.</w:t>
      </w:r>
    </w:p>
    <w:tbl>
      <w:tblPr>
        <w:tblpPr w:leftFromText="180" w:rightFromText="180" w:vertAnchor="text" w:tblpXSpec="center" w:tblpY="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76"/>
        <w:gridCol w:w="1152"/>
        <w:gridCol w:w="1404"/>
        <w:gridCol w:w="852"/>
        <w:gridCol w:w="1712"/>
        <w:gridCol w:w="1714"/>
        <w:gridCol w:w="850"/>
      </w:tblGrid>
      <w:tr w:rsidR="00E21871" w:rsidRPr="00C25B05" w:rsidTr="006B29D1">
        <w:trPr>
          <w:trHeight w:val="340"/>
        </w:trPr>
        <w:tc>
          <w:tcPr>
            <w:tcW w:w="759" w:type="pct"/>
            <w:vMerge w:val="restart"/>
            <w:tcBorders>
              <w:left w:val="nil"/>
              <w:right w:val="nil"/>
            </w:tcBorders>
          </w:tcPr>
          <w:p w:rsidR="00E21871" w:rsidRPr="00C25B05" w:rsidRDefault="00E21871" w:rsidP="00C25B05">
            <w:pPr>
              <w:spacing w:line="480" w:lineRule="auto"/>
              <w:rPr>
                <w:sz w:val="18"/>
                <w:szCs w:val="18"/>
              </w:rPr>
            </w:pPr>
            <w:bookmarkStart w:id="3" w:name="OLE_LINK8"/>
            <w:bookmarkStart w:id="4" w:name="OLE_LINK31"/>
            <w:bookmarkStart w:id="5" w:name="OLE_LINK289"/>
            <w:bookmarkStart w:id="6" w:name="OLE_LINK290"/>
            <w:bookmarkStart w:id="7" w:name="OLE_LINK362"/>
            <w:bookmarkStart w:id="8" w:name="OLE_LINK363"/>
          </w:p>
        </w:tc>
        <w:tc>
          <w:tcPr>
            <w:tcW w:w="1411" w:type="pct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HE(n=251)</w:t>
            </w:r>
          </w:p>
        </w:tc>
        <w:tc>
          <w:tcPr>
            <w:tcW w:w="470" w:type="pct"/>
            <w:tcBorders>
              <w:left w:val="nil"/>
              <w:bottom w:val="single" w:sz="4" w:space="0" w:color="000000"/>
              <w:right w:val="nil"/>
            </w:tcBorders>
          </w:tcPr>
          <w:p w:rsidR="00E21871" w:rsidRPr="00C25B05" w:rsidRDefault="00E21871" w:rsidP="00C25B05">
            <w:pPr>
              <w:keepNext/>
              <w:keepLines/>
              <w:spacing w:before="260" w:line="480" w:lineRule="auto"/>
              <w:rPr>
                <w:sz w:val="18"/>
                <w:szCs w:val="18"/>
              </w:rPr>
            </w:pPr>
          </w:p>
        </w:tc>
        <w:tc>
          <w:tcPr>
            <w:tcW w:w="1891" w:type="pct"/>
            <w:gridSpan w:val="2"/>
            <w:tcBorders>
              <w:left w:val="nil"/>
              <w:right w:val="nil"/>
            </w:tcBorders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Poor outcome(n=251)</w:t>
            </w:r>
          </w:p>
        </w:tc>
        <w:tc>
          <w:tcPr>
            <w:tcW w:w="469" w:type="pct"/>
            <w:tcBorders>
              <w:left w:val="nil"/>
              <w:right w:val="nil"/>
            </w:tcBorders>
          </w:tcPr>
          <w:p w:rsidR="00E21871" w:rsidRPr="00C25B05" w:rsidRDefault="00E21871" w:rsidP="00C25B05">
            <w:pPr>
              <w:keepNext/>
              <w:keepLines/>
              <w:spacing w:before="260" w:line="480" w:lineRule="auto"/>
              <w:rPr>
                <w:sz w:val="18"/>
                <w:szCs w:val="18"/>
              </w:rPr>
            </w:pPr>
          </w:p>
        </w:tc>
      </w:tr>
      <w:tr w:rsidR="00191319" w:rsidRPr="00C25B05" w:rsidTr="006B29D1">
        <w:trPr>
          <w:trHeight w:val="285"/>
        </w:trPr>
        <w:tc>
          <w:tcPr>
            <w:tcW w:w="759" w:type="pct"/>
            <w:vMerge/>
            <w:tcBorders>
              <w:left w:val="nil"/>
              <w:bottom w:val="single" w:sz="4" w:space="0" w:color="000000"/>
              <w:right w:val="nil"/>
            </w:tcBorders>
          </w:tcPr>
          <w:p w:rsidR="00E21871" w:rsidRPr="00C25B05" w:rsidRDefault="00E21871" w:rsidP="00C25B05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636" w:type="pct"/>
            <w:tcBorders>
              <w:left w:val="nil"/>
              <w:bottom w:val="single" w:sz="4" w:space="0" w:color="000000"/>
              <w:right w:val="nil"/>
            </w:tcBorders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HE(n=28)</w:t>
            </w:r>
          </w:p>
        </w:tc>
        <w:tc>
          <w:tcPr>
            <w:tcW w:w="775" w:type="pct"/>
            <w:tcBorders>
              <w:left w:val="nil"/>
              <w:bottom w:val="single" w:sz="4" w:space="0" w:color="000000"/>
              <w:right w:val="nil"/>
            </w:tcBorders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NHE(n=223)</w:t>
            </w:r>
          </w:p>
        </w:tc>
        <w:tc>
          <w:tcPr>
            <w:tcW w:w="470" w:type="pct"/>
            <w:tcBorders>
              <w:left w:val="nil"/>
              <w:bottom w:val="single" w:sz="4" w:space="0" w:color="000000"/>
              <w:right w:val="nil"/>
            </w:tcBorders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P</w:t>
            </w:r>
          </w:p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value</w:t>
            </w:r>
          </w:p>
        </w:tc>
        <w:tc>
          <w:tcPr>
            <w:tcW w:w="945" w:type="pct"/>
            <w:tcBorders>
              <w:left w:val="nil"/>
              <w:bottom w:val="single" w:sz="4" w:space="0" w:color="000000"/>
              <w:right w:val="nil"/>
            </w:tcBorders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Poor outcome(n=143)</w:t>
            </w:r>
          </w:p>
        </w:tc>
        <w:tc>
          <w:tcPr>
            <w:tcW w:w="946" w:type="pct"/>
            <w:tcBorders>
              <w:left w:val="nil"/>
              <w:bottom w:val="single" w:sz="4" w:space="0" w:color="000000"/>
              <w:right w:val="nil"/>
            </w:tcBorders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Favorable outcome(n=108)</w:t>
            </w:r>
          </w:p>
        </w:tc>
        <w:tc>
          <w:tcPr>
            <w:tcW w:w="469" w:type="pct"/>
            <w:tcBorders>
              <w:left w:val="nil"/>
              <w:bottom w:val="single" w:sz="4" w:space="0" w:color="000000"/>
              <w:right w:val="nil"/>
            </w:tcBorders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P value</w:t>
            </w:r>
          </w:p>
        </w:tc>
      </w:tr>
      <w:tr w:rsidR="006B29D1" w:rsidRPr="00C25B05" w:rsidTr="006B29D1">
        <w:tc>
          <w:tcPr>
            <w:tcW w:w="759" w:type="pct"/>
            <w:tcBorders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Age, y, mean (SD)</w:t>
            </w:r>
          </w:p>
        </w:tc>
        <w:tc>
          <w:tcPr>
            <w:tcW w:w="636" w:type="pct"/>
            <w:tcBorders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61.3(10.6)</w:t>
            </w:r>
          </w:p>
        </w:tc>
        <w:tc>
          <w:tcPr>
            <w:tcW w:w="775" w:type="pct"/>
            <w:tcBorders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63.0(12.1)</w:t>
            </w:r>
          </w:p>
        </w:tc>
        <w:tc>
          <w:tcPr>
            <w:tcW w:w="470" w:type="pct"/>
            <w:tcBorders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0.467</w:t>
            </w:r>
          </w:p>
        </w:tc>
        <w:tc>
          <w:tcPr>
            <w:tcW w:w="945" w:type="pct"/>
            <w:tcBorders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63.7(11.3)</w:t>
            </w:r>
          </w:p>
        </w:tc>
        <w:tc>
          <w:tcPr>
            <w:tcW w:w="946" w:type="pct"/>
            <w:tcBorders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61.6(12.7)</w:t>
            </w:r>
          </w:p>
        </w:tc>
        <w:tc>
          <w:tcPr>
            <w:tcW w:w="469" w:type="pct"/>
            <w:tcBorders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0.180</w:t>
            </w:r>
          </w:p>
        </w:tc>
      </w:tr>
      <w:tr w:rsidR="006B29D1" w:rsidRPr="00C25B05" w:rsidTr="006B29D1"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Male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18(64.3)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126(56.5)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0.432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77(53.8)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67(62.0)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0.201</w:t>
            </w:r>
          </w:p>
        </w:tc>
      </w:tr>
      <w:tr w:rsidR="006B29D1" w:rsidRPr="00C25B05" w:rsidTr="006B29D1"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Arterial hypertension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24(85.7)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191(87.2)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0.768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122(87.8)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93(86.1)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0.700</w:t>
            </w:r>
          </w:p>
        </w:tc>
      </w:tr>
      <w:tr w:rsidR="006B29D1" w:rsidRPr="00C25B05" w:rsidTr="006B29D1"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Diabetes mellitus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6(21.4)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37(16.9)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0.596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25(18.0)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18(16.7)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0.786</w:t>
            </w:r>
          </w:p>
        </w:tc>
      </w:tr>
      <w:tr w:rsidR="006B29D1" w:rsidRPr="00C25B05" w:rsidTr="006B29D1"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ICH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1(3.6)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8(3.7)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4(2.9)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5(4.6)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0.510</w:t>
            </w:r>
          </w:p>
        </w:tc>
      </w:tr>
      <w:tr w:rsidR="006B29D1" w:rsidRPr="00C25B05" w:rsidTr="006B29D1"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Ischemic  stroke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2(7.1)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16(7.3)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12(8.6)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6(5.6)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0.356</w:t>
            </w:r>
          </w:p>
        </w:tc>
      </w:tr>
      <w:tr w:rsidR="006B29D1" w:rsidRPr="00C25B05" w:rsidTr="006B29D1"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 xml:space="preserve">IVH 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7(25)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90(40.4)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0.116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58(40.6)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39(36.1)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0.474</w:t>
            </w:r>
          </w:p>
        </w:tc>
      </w:tr>
      <w:tr w:rsidR="006B29D1" w:rsidRPr="00C25B05" w:rsidTr="006B29D1"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bookmarkStart w:id="9" w:name="_Hlk33285139"/>
            <w:r w:rsidRPr="00C25B05">
              <w:rPr>
                <w:sz w:val="18"/>
                <w:szCs w:val="18"/>
              </w:rPr>
              <w:t>Black hole sign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5(17.9)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12(5.4)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0.029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14(9.8)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3(2.8)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0.029</w:t>
            </w:r>
          </w:p>
        </w:tc>
      </w:tr>
      <w:tr w:rsidR="006B29D1" w:rsidRPr="00C25B05" w:rsidTr="006B29D1">
        <w:trPr>
          <w:trHeight w:val="163"/>
        </w:trPr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Blend sign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4(14.3)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8(3.6)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0.033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6(4.2)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6(5.6)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0.617</w:t>
            </w:r>
          </w:p>
        </w:tc>
      </w:tr>
      <w:bookmarkEnd w:id="9"/>
      <w:tr w:rsidR="006B29D1" w:rsidRPr="00C25B05" w:rsidTr="006B29D1"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Island sign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2(7.1)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8(3.6)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0.309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9(6.3)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1(0.9)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0.047</w:t>
            </w:r>
          </w:p>
        </w:tc>
      </w:tr>
      <w:tr w:rsidR="006B29D1" w:rsidRPr="00C25B05" w:rsidTr="006B29D1"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Satellite sign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8(28.6)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38(17)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0.137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31(21.7)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15(13.9)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0.114</w:t>
            </w:r>
          </w:p>
        </w:tc>
      </w:tr>
      <w:tr w:rsidR="006B29D1" w:rsidRPr="00C25B05" w:rsidTr="006B29D1"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Location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keepNext/>
              <w:keepLines/>
              <w:spacing w:before="260" w:line="480" w:lineRule="auto"/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keepNext/>
              <w:keepLines/>
              <w:spacing w:before="260" w:line="480" w:lineRule="auto"/>
              <w:rPr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keepNext/>
              <w:keepLines/>
              <w:spacing w:before="260" w:line="480" w:lineRule="auto"/>
              <w:rPr>
                <w:sz w:val="18"/>
                <w:szCs w:val="18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keepNext/>
              <w:keepLines/>
              <w:spacing w:before="260" w:line="480" w:lineRule="auto"/>
              <w:rPr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0.001</w:t>
            </w:r>
          </w:p>
        </w:tc>
      </w:tr>
      <w:tr w:rsidR="006B29D1" w:rsidRPr="00C25B05" w:rsidTr="006B29D1"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 xml:space="preserve">Deep 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24(85.7)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188(84.3)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130(90.9)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82(75.9)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6B29D1" w:rsidRPr="00C25B05" w:rsidTr="006B29D1"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Other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4(14.3)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35(15.7)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13(9.1)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26(24.1)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6B29D1" w:rsidRPr="00C25B05" w:rsidTr="006B29D1"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Hematoma volume, mL, mean (SD)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7.5 (1.9)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6.7(2.0)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0.034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6.8(2.0)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6.7(2.0)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0.699</w:t>
            </w:r>
          </w:p>
        </w:tc>
      </w:tr>
      <w:tr w:rsidR="006B29D1" w:rsidRPr="00C25B05" w:rsidTr="006B29D1">
        <w:trPr>
          <w:trHeight w:val="1361"/>
        </w:trPr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Time from onset to CT, h, mean (SD)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2.5(1.4)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3.1(1.5)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0.055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2.9(1.4)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3.2(1.5)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0.170</w:t>
            </w:r>
          </w:p>
        </w:tc>
      </w:tr>
      <w:tr w:rsidR="006B29D1" w:rsidRPr="00C25B05" w:rsidTr="006B29D1"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 xml:space="preserve">Admission GCS score, </w:t>
            </w:r>
            <w:r w:rsidRPr="00C25B05">
              <w:rPr>
                <w:sz w:val="18"/>
                <w:szCs w:val="18"/>
              </w:rPr>
              <w:lastRenderedPageBreak/>
              <w:t>median (IQR)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817792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lastRenderedPageBreak/>
              <w:t>14(9–</w:t>
            </w:r>
            <w:r w:rsidR="006B29D1" w:rsidRPr="00C25B05">
              <w:rPr>
                <w:sz w:val="18"/>
                <w:szCs w:val="18"/>
              </w:rPr>
              <w:t>15)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15 (13</w:t>
            </w:r>
            <w:r w:rsidR="00817792" w:rsidRPr="00C25B05">
              <w:rPr>
                <w:sz w:val="18"/>
                <w:szCs w:val="18"/>
              </w:rPr>
              <w:t>–</w:t>
            </w:r>
            <w:r w:rsidRPr="00C25B05">
              <w:rPr>
                <w:sz w:val="18"/>
                <w:szCs w:val="18"/>
              </w:rPr>
              <w:t>15)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0.009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14 (11</w:t>
            </w:r>
            <w:r w:rsidR="00817792" w:rsidRPr="00C25B05">
              <w:rPr>
                <w:sz w:val="18"/>
                <w:szCs w:val="18"/>
              </w:rPr>
              <w:t>–</w:t>
            </w:r>
            <w:r w:rsidRPr="00C25B05">
              <w:rPr>
                <w:sz w:val="18"/>
                <w:szCs w:val="18"/>
              </w:rPr>
              <w:t>15)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15 (15</w:t>
            </w:r>
            <w:r w:rsidR="00817792" w:rsidRPr="00C25B05">
              <w:rPr>
                <w:sz w:val="18"/>
                <w:szCs w:val="18"/>
              </w:rPr>
              <w:t>–</w:t>
            </w:r>
            <w:r w:rsidRPr="00C25B05">
              <w:rPr>
                <w:sz w:val="18"/>
                <w:szCs w:val="18"/>
              </w:rPr>
              <w:t>15)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&lt;0.001</w:t>
            </w:r>
          </w:p>
        </w:tc>
      </w:tr>
      <w:tr w:rsidR="006B29D1" w:rsidRPr="00C25B05" w:rsidTr="006B29D1">
        <w:tc>
          <w:tcPr>
            <w:tcW w:w="759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lastRenderedPageBreak/>
              <w:t>R-score, median (IQR)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B29D1" w:rsidRPr="00C25B05" w:rsidRDefault="00817792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-1.391(-1.932–</w:t>
            </w:r>
            <w:r w:rsidR="006B29D1" w:rsidRPr="00C25B05">
              <w:rPr>
                <w:sz w:val="18"/>
                <w:szCs w:val="18"/>
              </w:rPr>
              <w:t>-1.108)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B29D1" w:rsidRPr="00C25B05" w:rsidRDefault="00817792" w:rsidP="00C25B05">
            <w:pPr>
              <w:spacing w:line="480" w:lineRule="auto"/>
              <w:ind w:left="90" w:hangingChars="50" w:hanging="90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-2.247(-3.114</w:t>
            </w:r>
            <w:r w:rsidRPr="00C25B05">
              <w:t>–</w:t>
            </w:r>
            <w:r w:rsidR="006B29D1" w:rsidRPr="00C25B05">
              <w:rPr>
                <w:sz w:val="18"/>
                <w:szCs w:val="18"/>
              </w:rPr>
              <w:t>-1.421)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&lt;0.001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-1.968 (-2.749</w:t>
            </w:r>
            <w:r w:rsidR="00817792" w:rsidRPr="00C25B05">
              <w:rPr>
                <w:sz w:val="18"/>
                <w:szCs w:val="18"/>
              </w:rPr>
              <w:t>–</w:t>
            </w:r>
            <w:r w:rsidRPr="00C25B05">
              <w:rPr>
                <w:sz w:val="18"/>
                <w:szCs w:val="18"/>
              </w:rPr>
              <w:t>-1.288)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-2.382 (-3.257</w:t>
            </w:r>
            <w:r w:rsidR="00817792" w:rsidRPr="00C25B05">
              <w:rPr>
                <w:sz w:val="18"/>
                <w:szCs w:val="18"/>
              </w:rPr>
              <w:t>–</w:t>
            </w:r>
            <w:r w:rsidRPr="00C25B05">
              <w:rPr>
                <w:sz w:val="18"/>
                <w:szCs w:val="18"/>
              </w:rPr>
              <w:t>-1.427)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B29D1" w:rsidRPr="00C25B05" w:rsidRDefault="006B29D1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0.024</w:t>
            </w:r>
          </w:p>
        </w:tc>
      </w:tr>
    </w:tbl>
    <w:bookmarkEnd w:id="3"/>
    <w:bookmarkEnd w:id="4"/>
    <w:bookmarkEnd w:id="5"/>
    <w:bookmarkEnd w:id="6"/>
    <w:bookmarkEnd w:id="7"/>
    <w:bookmarkEnd w:id="8"/>
    <w:p w:rsidR="00CB3092" w:rsidRPr="00C25B05" w:rsidRDefault="00E21871" w:rsidP="00C25B05">
      <w:pPr>
        <w:pStyle w:val="MDPI71References"/>
        <w:numPr>
          <w:ilvl w:val="0"/>
          <w:numId w:val="0"/>
        </w:numPr>
        <w:spacing w:after="240" w:line="480" w:lineRule="auto"/>
        <w:ind w:left="425"/>
        <w:jc w:val="center"/>
        <w:rPr>
          <w:rFonts w:ascii="Times New Roman" w:hAnsi="Times New Roman"/>
          <w:b/>
        </w:rPr>
      </w:pPr>
      <w:r w:rsidRPr="00C25B05">
        <w:rPr>
          <w:rFonts w:ascii="Times New Roman" w:eastAsiaTheme="minorEastAsia" w:hAnsi="Times New Roman"/>
          <w:lang w:eastAsia="zh-CN"/>
        </w:rPr>
        <w:t xml:space="preserve">All values </w:t>
      </w:r>
      <w:r w:rsidR="00376A46" w:rsidRPr="00C25B05">
        <w:rPr>
          <w:rFonts w:ascii="Times New Roman" w:eastAsiaTheme="minorEastAsia" w:hAnsi="Times New Roman"/>
          <w:lang w:eastAsia="zh-CN"/>
        </w:rPr>
        <w:t>are presented</w:t>
      </w:r>
      <w:r w:rsidRPr="00C25B05">
        <w:rPr>
          <w:rFonts w:ascii="Times New Roman" w:eastAsiaTheme="minorEastAsia" w:hAnsi="Times New Roman"/>
          <w:lang w:eastAsia="zh-CN"/>
        </w:rPr>
        <w:t xml:space="preserve"> as count (%)</w:t>
      </w:r>
      <w:r w:rsidR="00124A4E" w:rsidRPr="00C25B05">
        <w:rPr>
          <w:rFonts w:ascii="Times New Roman" w:eastAsiaTheme="minorEastAsia" w:hAnsi="Times New Roman"/>
          <w:lang w:eastAsia="zh-CN"/>
        </w:rPr>
        <w:t>,</w:t>
      </w:r>
      <w:r w:rsidRPr="00C25B05">
        <w:rPr>
          <w:rFonts w:ascii="Times New Roman" w:eastAsiaTheme="minorEastAsia" w:hAnsi="Times New Roman"/>
          <w:lang w:eastAsia="zh-CN"/>
        </w:rPr>
        <w:t xml:space="preserve"> unless otherwise specified. CT</w:t>
      </w:r>
      <w:r w:rsidR="00376A46" w:rsidRPr="00C25B05">
        <w:rPr>
          <w:rFonts w:ascii="Times New Roman" w:eastAsiaTheme="minorEastAsia" w:hAnsi="Times New Roman"/>
          <w:lang w:eastAsia="zh-CN"/>
        </w:rPr>
        <w:t>,</w:t>
      </w:r>
      <w:r w:rsidR="00847AD2" w:rsidRPr="00C25B05">
        <w:rPr>
          <w:rFonts w:ascii="Times New Roman" w:eastAsiaTheme="minorEastAsia" w:hAnsi="Times New Roman"/>
          <w:lang w:eastAsia="zh-CN"/>
        </w:rPr>
        <w:t xml:space="preserve"> </w:t>
      </w:r>
      <w:r w:rsidRPr="00C25B05">
        <w:rPr>
          <w:rFonts w:ascii="Times New Roman" w:eastAsiaTheme="minorEastAsia" w:hAnsi="Times New Roman"/>
          <w:lang w:eastAsia="zh-CN"/>
        </w:rPr>
        <w:t>computed tomography; HE, hematoma expansion; NHE, no</w:t>
      </w:r>
      <w:r w:rsidR="00376A46" w:rsidRPr="00C25B05">
        <w:rPr>
          <w:rFonts w:ascii="Times New Roman" w:eastAsiaTheme="minorEastAsia" w:hAnsi="Times New Roman"/>
          <w:lang w:eastAsia="zh-CN"/>
        </w:rPr>
        <w:t>n-</w:t>
      </w:r>
      <w:r w:rsidRPr="00C25B05">
        <w:rPr>
          <w:rFonts w:ascii="Times New Roman" w:eastAsiaTheme="minorEastAsia" w:hAnsi="Times New Roman"/>
          <w:lang w:eastAsia="zh-CN"/>
        </w:rPr>
        <w:t xml:space="preserve">hematoma expansion; GCS, Glasgow </w:t>
      </w:r>
      <w:r w:rsidR="00376A46" w:rsidRPr="00C25B05">
        <w:rPr>
          <w:rFonts w:ascii="Times New Roman" w:eastAsiaTheme="minorEastAsia" w:hAnsi="Times New Roman"/>
          <w:lang w:eastAsia="zh-CN"/>
        </w:rPr>
        <w:t>coma scale</w:t>
      </w:r>
      <w:r w:rsidRPr="00C25B05">
        <w:rPr>
          <w:rFonts w:ascii="Times New Roman" w:eastAsiaTheme="minorEastAsia" w:hAnsi="Times New Roman"/>
          <w:lang w:eastAsia="zh-CN"/>
        </w:rPr>
        <w:t>; ICH, intracerebral hemorrhage; IVH, intraventricular hemorrhage; R-score, radiomic scor</w:t>
      </w:r>
      <w:r w:rsidR="00847AD2" w:rsidRPr="00C25B05">
        <w:rPr>
          <w:rFonts w:ascii="Times New Roman" w:eastAsiaTheme="minorEastAsia" w:hAnsi="Times New Roman"/>
          <w:lang w:eastAsia="zh-CN"/>
        </w:rPr>
        <w:t xml:space="preserve">e; SD, standard deviation; IQR, </w:t>
      </w:r>
      <w:r w:rsidRPr="00C25B05">
        <w:rPr>
          <w:rFonts w:ascii="Times New Roman" w:eastAsiaTheme="minorEastAsia" w:hAnsi="Times New Roman"/>
          <w:lang w:eastAsia="zh-CN"/>
        </w:rPr>
        <w:t>interquartile range.</w:t>
      </w:r>
      <w:r w:rsidR="00DC5ED4" w:rsidRPr="00C25B05">
        <w:rPr>
          <w:rFonts w:ascii="Times New Roman" w:hAnsi="Times New Roman"/>
          <w:b/>
        </w:rPr>
        <w:br w:type="page"/>
      </w:r>
    </w:p>
    <w:p w:rsidR="00CB3092" w:rsidRPr="00C25B05" w:rsidRDefault="00E21871" w:rsidP="00C25B05">
      <w:pPr>
        <w:pStyle w:val="MDPI71References"/>
        <w:numPr>
          <w:ilvl w:val="0"/>
          <w:numId w:val="0"/>
        </w:numPr>
        <w:spacing w:after="240" w:line="480" w:lineRule="auto"/>
        <w:ind w:left="425"/>
        <w:rPr>
          <w:rFonts w:ascii="Times New Roman" w:hAnsi="Times New Roman"/>
        </w:rPr>
      </w:pPr>
      <w:r w:rsidRPr="00C25B05">
        <w:rPr>
          <w:rFonts w:ascii="Times New Roman" w:hAnsi="Times New Roman"/>
          <w:b/>
        </w:rPr>
        <w:lastRenderedPageBreak/>
        <w:t>Table S2.</w:t>
      </w:r>
      <w:r w:rsidRPr="00C25B05">
        <w:rPr>
          <w:rFonts w:ascii="Times New Roman" w:hAnsi="Times New Roman"/>
        </w:rPr>
        <w:t>Univariate analysis for hematoma expansion and poor outcome in the &lt;3ml subgroup</w:t>
      </w:r>
      <w:r w:rsidR="00124A4E" w:rsidRPr="00C25B05">
        <w:rPr>
          <w:rFonts w:ascii="Times New Roman" w:hAnsi="Times New Roman"/>
        </w:rPr>
        <w:t>.</w:t>
      </w:r>
    </w:p>
    <w:tbl>
      <w:tblPr>
        <w:tblpPr w:leftFromText="180" w:rightFromText="180" w:vertAnchor="text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55"/>
        <w:gridCol w:w="1171"/>
        <w:gridCol w:w="1171"/>
        <w:gridCol w:w="655"/>
        <w:gridCol w:w="1449"/>
        <w:gridCol w:w="1623"/>
        <w:gridCol w:w="720"/>
      </w:tblGrid>
      <w:tr w:rsidR="00E21871" w:rsidRPr="00C25B05" w:rsidTr="00124A4E">
        <w:trPr>
          <w:trHeight w:val="340"/>
        </w:trPr>
        <w:tc>
          <w:tcPr>
            <w:tcW w:w="205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21871" w:rsidRPr="00C25B05" w:rsidRDefault="00E21871" w:rsidP="00C25B05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HE (n=62)</w:t>
            </w:r>
          </w:p>
        </w:tc>
        <w:tc>
          <w:tcPr>
            <w:tcW w:w="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21871" w:rsidRPr="00C25B05" w:rsidRDefault="00E21871" w:rsidP="00C25B05">
            <w:pPr>
              <w:keepNext/>
              <w:keepLines/>
              <w:spacing w:before="260" w:line="480" w:lineRule="auto"/>
              <w:rPr>
                <w:sz w:val="18"/>
                <w:szCs w:val="18"/>
              </w:rPr>
            </w:pPr>
          </w:p>
        </w:tc>
        <w:tc>
          <w:tcPr>
            <w:tcW w:w="30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Poor outcome(n=62)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21871" w:rsidRPr="00C25B05" w:rsidRDefault="00E21871" w:rsidP="00C25B05">
            <w:pPr>
              <w:keepNext/>
              <w:keepLines/>
              <w:spacing w:before="260" w:line="480" w:lineRule="auto"/>
              <w:rPr>
                <w:sz w:val="18"/>
                <w:szCs w:val="18"/>
              </w:rPr>
            </w:pPr>
          </w:p>
        </w:tc>
      </w:tr>
      <w:tr w:rsidR="00E21871" w:rsidRPr="00C25B05" w:rsidTr="00124A4E">
        <w:trPr>
          <w:trHeight w:val="285"/>
        </w:trPr>
        <w:tc>
          <w:tcPr>
            <w:tcW w:w="205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1871" w:rsidRPr="00C25B05" w:rsidRDefault="00E21871" w:rsidP="00C25B05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HE (n=16)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NHE (n=46)</w:t>
            </w:r>
          </w:p>
        </w:tc>
        <w:tc>
          <w:tcPr>
            <w:tcW w:w="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P</w:t>
            </w:r>
          </w:p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value</w:t>
            </w:r>
          </w:p>
        </w:tc>
        <w:tc>
          <w:tcPr>
            <w:tcW w:w="14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Poor outcome (n=25)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Favorable outcome (n=37)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P value</w:t>
            </w:r>
          </w:p>
        </w:tc>
      </w:tr>
      <w:tr w:rsidR="00E21871" w:rsidRPr="00C25B05" w:rsidTr="00124A4E">
        <w:tc>
          <w:tcPr>
            <w:tcW w:w="2055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Age, y, mean (SD)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62.3(7.6)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61.4(10.8)</w:t>
            </w:r>
          </w:p>
        </w:tc>
        <w:tc>
          <w:tcPr>
            <w:tcW w:w="655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0.771</w:t>
            </w:r>
          </w:p>
        </w:tc>
        <w:tc>
          <w:tcPr>
            <w:tcW w:w="144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63.8(7.7)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60.1(11.2)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0.160</w:t>
            </w:r>
          </w:p>
        </w:tc>
      </w:tr>
      <w:tr w:rsidR="00E21871" w:rsidRPr="00C25B05" w:rsidTr="00124A4E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Male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12(75)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26(56.5)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0.191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16(64.0)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22(59.5)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0.719</w:t>
            </w:r>
          </w:p>
        </w:tc>
      </w:tr>
      <w:tr w:rsidR="00E21871" w:rsidRPr="00C25B05" w:rsidTr="00124A4E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Arterial hypertension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13(81.3)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37(80.4)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18(72.0)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32(86.5)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0.198</w:t>
            </w:r>
          </w:p>
        </w:tc>
      </w:tr>
      <w:tr w:rsidR="00E21871" w:rsidRPr="00C25B05" w:rsidTr="00124A4E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Diabetes mellitus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3(18.8)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9(19.6)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4(16.0)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8(21.6)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0.747</w:t>
            </w:r>
          </w:p>
        </w:tc>
      </w:tr>
      <w:tr w:rsidR="00E21871" w:rsidRPr="00C25B05" w:rsidTr="00124A4E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ICH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2(12.5)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3(6.5)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0.597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4(16.0)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1(2.7)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0.148</w:t>
            </w:r>
          </w:p>
        </w:tc>
      </w:tr>
      <w:tr w:rsidR="00E21871" w:rsidRPr="00C25B05" w:rsidTr="00124A4E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Ischemic  stroke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1(6.3)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0.258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1(4.0)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0.403</w:t>
            </w:r>
          </w:p>
        </w:tc>
      </w:tr>
      <w:tr w:rsidR="00E21871" w:rsidRPr="00C25B05" w:rsidTr="00124A4E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bookmarkStart w:id="10" w:name="OLE_LINK326"/>
            <w:bookmarkStart w:id="11" w:name="OLE_LINK327"/>
            <w:r w:rsidRPr="00C25B05">
              <w:rPr>
                <w:sz w:val="18"/>
                <w:szCs w:val="18"/>
              </w:rPr>
              <w:t xml:space="preserve">IVH </w:t>
            </w:r>
            <w:bookmarkEnd w:id="10"/>
            <w:bookmarkEnd w:id="11"/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10(21.7)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0.052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1(4.0)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9(24.3)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0.040</w:t>
            </w:r>
          </w:p>
        </w:tc>
      </w:tr>
      <w:tr w:rsidR="00E21871" w:rsidRPr="00C25B05" w:rsidTr="00124A4E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Blackhole sign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4(25)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0.003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3(12.0)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1(2.7)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0.294</w:t>
            </w:r>
          </w:p>
        </w:tc>
      </w:tr>
      <w:tr w:rsidR="00E21871" w:rsidRPr="00C25B05" w:rsidTr="00124A4E">
        <w:trPr>
          <w:trHeight w:val="163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Blend sign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2(12.5)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0.063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2(8.0)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0.159</w:t>
            </w:r>
          </w:p>
        </w:tc>
      </w:tr>
      <w:tr w:rsidR="00E21871" w:rsidRPr="00C25B05" w:rsidTr="00124A4E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Island sign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1(2.2)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1(2.7)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</w:t>
            </w:r>
          </w:p>
        </w:tc>
      </w:tr>
      <w:tr w:rsidR="00E21871" w:rsidRPr="00C25B05" w:rsidTr="00124A4E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Satellite sign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3(18.8)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7(15.2)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0.709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7(28.0)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3(8.1)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0.074</w:t>
            </w:r>
          </w:p>
        </w:tc>
      </w:tr>
      <w:tr w:rsidR="00E21871" w:rsidRPr="00C25B05" w:rsidTr="00124A4E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Location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E21871" w:rsidRPr="00C25B05" w:rsidRDefault="00E21871" w:rsidP="00C25B05">
            <w:pPr>
              <w:keepNext/>
              <w:keepLines/>
              <w:spacing w:before="260" w:line="480" w:lineRule="auto"/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E21871" w:rsidRPr="00C25B05" w:rsidRDefault="00E21871" w:rsidP="00C25B05">
            <w:pPr>
              <w:keepNext/>
              <w:keepLines/>
              <w:spacing w:before="260" w:line="480" w:lineRule="auto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0.422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E21871" w:rsidRPr="00C25B05" w:rsidRDefault="00E21871" w:rsidP="00C25B05">
            <w:pPr>
              <w:keepNext/>
              <w:keepLines/>
              <w:spacing w:before="260" w:line="480" w:lineRule="auto"/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:rsidR="00E21871" w:rsidRPr="00C25B05" w:rsidRDefault="00E21871" w:rsidP="00C25B05">
            <w:pPr>
              <w:keepNext/>
              <w:keepLines/>
              <w:spacing w:before="260" w:line="48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0.311</w:t>
            </w:r>
          </w:p>
        </w:tc>
      </w:tr>
      <w:tr w:rsidR="00E21871" w:rsidRPr="00C25B05" w:rsidTr="00124A4E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 xml:space="preserve">Deep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9(56.3)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31(67.4)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E21871" w:rsidRPr="00C25B05" w:rsidRDefault="00E21871" w:rsidP="00C25B05">
            <w:pPr>
              <w:keepNext/>
              <w:keepLines/>
              <w:spacing w:before="260" w:line="480" w:lineRule="auto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18(72.0)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22(59.5)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21871" w:rsidRPr="00C25B05" w:rsidRDefault="00E21871" w:rsidP="00C25B05">
            <w:pPr>
              <w:keepNext/>
              <w:keepLines/>
              <w:spacing w:before="260" w:line="480" w:lineRule="auto"/>
              <w:rPr>
                <w:sz w:val="18"/>
                <w:szCs w:val="18"/>
              </w:rPr>
            </w:pPr>
          </w:p>
        </w:tc>
      </w:tr>
      <w:tr w:rsidR="00E21871" w:rsidRPr="00C25B05" w:rsidTr="00124A4E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Other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7(43.8)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15(32.6)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E21871" w:rsidRPr="00C25B05" w:rsidRDefault="00E21871" w:rsidP="00C25B05">
            <w:pPr>
              <w:keepNext/>
              <w:keepLines/>
              <w:spacing w:before="260" w:line="480" w:lineRule="auto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7(28.0)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15(40.5)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21871" w:rsidRPr="00C25B05" w:rsidRDefault="00E21871" w:rsidP="00C25B05">
            <w:pPr>
              <w:keepNext/>
              <w:keepLines/>
              <w:spacing w:before="260" w:line="480" w:lineRule="auto"/>
              <w:rPr>
                <w:sz w:val="18"/>
                <w:szCs w:val="18"/>
              </w:rPr>
            </w:pPr>
          </w:p>
        </w:tc>
      </w:tr>
      <w:tr w:rsidR="00E21871" w:rsidRPr="00C25B05" w:rsidTr="00124A4E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Hematoma volume, mL, mean (SD)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1.9(0.7)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1.8(0.7)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0.848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2.2(0.5)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1.6(0.7)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0.001</w:t>
            </w:r>
          </w:p>
        </w:tc>
      </w:tr>
      <w:tr w:rsidR="00E21871" w:rsidRPr="00C25B05" w:rsidTr="00124A4E">
        <w:trPr>
          <w:trHeight w:val="1361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Time from onset to CT, h, mean (SD)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2.3(1.1)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3.2(1.3)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0.030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3.0(1.3)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2.9(1.3)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0.890</w:t>
            </w:r>
          </w:p>
        </w:tc>
      </w:tr>
      <w:tr w:rsidR="00E21871" w:rsidRPr="00C25B05" w:rsidTr="00124A4E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Admission GCS score, mean (SD)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14(3)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14(2)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0.980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13(3)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14(2)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0.039</w:t>
            </w:r>
          </w:p>
        </w:tc>
      </w:tr>
      <w:tr w:rsidR="00E21871" w:rsidRPr="00C25B05" w:rsidTr="00124A4E"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R-score, mean ( SD)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-1.603(0.865)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-1.963(0.834)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0.146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-1.780(0.844)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-1.931(0.860)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0.498</w:t>
            </w:r>
          </w:p>
        </w:tc>
      </w:tr>
    </w:tbl>
    <w:p w:rsidR="00CB3092" w:rsidRPr="00C25B05" w:rsidRDefault="00E21871" w:rsidP="00C25B05">
      <w:pPr>
        <w:pStyle w:val="MDPI71References"/>
        <w:numPr>
          <w:ilvl w:val="0"/>
          <w:numId w:val="0"/>
        </w:numPr>
        <w:spacing w:after="240" w:line="480" w:lineRule="auto"/>
        <w:ind w:left="425"/>
        <w:jc w:val="center"/>
        <w:rPr>
          <w:rFonts w:ascii="Times New Roman" w:hAnsi="Times New Roman"/>
          <w:b/>
        </w:rPr>
      </w:pPr>
      <w:r w:rsidRPr="00C25B05">
        <w:rPr>
          <w:rFonts w:ascii="Times New Roman" w:eastAsiaTheme="minorEastAsia" w:hAnsi="Times New Roman"/>
          <w:lang w:eastAsia="zh-CN"/>
        </w:rPr>
        <w:t xml:space="preserve">All values </w:t>
      </w:r>
      <w:r w:rsidR="00124A4E" w:rsidRPr="00C25B05">
        <w:rPr>
          <w:rFonts w:ascii="Times New Roman" w:eastAsiaTheme="minorEastAsia" w:hAnsi="Times New Roman"/>
          <w:lang w:eastAsia="zh-CN"/>
        </w:rPr>
        <w:t xml:space="preserve">are presented </w:t>
      </w:r>
      <w:r w:rsidRPr="00C25B05">
        <w:rPr>
          <w:rFonts w:ascii="Times New Roman" w:eastAsiaTheme="minorEastAsia" w:hAnsi="Times New Roman"/>
          <w:lang w:eastAsia="zh-CN"/>
        </w:rPr>
        <w:t>as count (%)</w:t>
      </w:r>
      <w:r w:rsidR="00124A4E" w:rsidRPr="00C25B05">
        <w:rPr>
          <w:rFonts w:ascii="Times New Roman" w:eastAsiaTheme="minorEastAsia" w:hAnsi="Times New Roman"/>
          <w:lang w:eastAsia="zh-CN"/>
        </w:rPr>
        <w:t>,</w:t>
      </w:r>
      <w:r w:rsidRPr="00C25B05">
        <w:rPr>
          <w:rFonts w:ascii="Times New Roman" w:eastAsiaTheme="minorEastAsia" w:hAnsi="Times New Roman"/>
          <w:lang w:eastAsia="zh-CN"/>
        </w:rPr>
        <w:t xml:space="preserve"> unless otherwise specified. CT</w:t>
      </w:r>
      <w:r w:rsidR="00124A4E" w:rsidRPr="00C25B05">
        <w:rPr>
          <w:rFonts w:ascii="Times New Roman" w:eastAsiaTheme="minorEastAsia" w:hAnsi="Times New Roman"/>
          <w:lang w:eastAsia="zh-CN"/>
        </w:rPr>
        <w:t>,</w:t>
      </w:r>
      <w:r w:rsidRPr="00C25B05">
        <w:rPr>
          <w:rFonts w:ascii="Times New Roman" w:eastAsiaTheme="minorEastAsia" w:hAnsi="Times New Roman"/>
          <w:lang w:eastAsia="zh-CN"/>
        </w:rPr>
        <w:t>computed tomography; HE, hematoma expansion; NHE, no</w:t>
      </w:r>
      <w:r w:rsidR="00124A4E" w:rsidRPr="00C25B05">
        <w:rPr>
          <w:rFonts w:ascii="Times New Roman" w:eastAsiaTheme="minorEastAsia" w:hAnsi="Times New Roman"/>
          <w:lang w:eastAsia="zh-CN"/>
        </w:rPr>
        <w:t>n-</w:t>
      </w:r>
      <w:r w:rsidRPr="00C25B05">
        <w:rPr>
          <w:rFonts w:ascii="Times New Roman" w:eastAsiaTheme="minorEastAsia" w:hAnsi="Times New Roman"/>
          <w:lang w:eastAsia="zh-CN"/>
        </w:rPr>
        <w:t xml:space="preserve">hematoma expansion; GCS, Glasgow </w:t>
      </w:r>
      <w:r w:rsidR="00124A4E" w:rsidRPr="00C25B05">
        <w:rPr>
          <w:rFonts w:ascii="Times New Roman" w:eastAsiaTheme="minorEastAsia" w:hAnsi="Times New Roman"/>
          <w:lang w:eastAsia="zh-CN"/>
        </w:rPr>
        <w:t>coma scale</w:t>
      </w:r>
      <w:r w:rsidRPr="00C25B05">
        <w:rPr>
          <w:rFonts w:ascii="Times New Roman" w:eastAsiaTheme="minorEastAsia" w:hAnsi="Times New Roman"/>
          <w:lang w:eastAsia="zh-CN"/>
        </w:rPr>
        <w:t>; ICH, intracerebral hemorrhage; IVH, intraventricular hemorrhage; R-score, radiomic score; SD, standard deviation.</w:t>
      </w:r>
      <w:r w:rsidR="00DC5ED4" w:rsidRPr="00C25B05">
        <w:rPr>
          <w:rFonts w:ascii="Times New Roman" w:hAnsi="Times New Roman"/>
          <w:b/>
        </w:rPr>
        <w:br w:type="page"/>
      </w:r>
    </w:p>
    <w:p w:rsidR="00CB3092" w:rsidRPr="00C25B05" w:rsidRDefault="00E21871" w:rsidP="00C25B05">
      <w:pPr>
        <w:pStyle w:val="MDPI71References"/>
        <w:numPr>
          <w:ilvl w:val="0"/>
          <w:numId w:val="0"/>
        </w:numPr>
        <w:spacing w:after="240" w:line="480" w:lineRule="auto"/>
        <w:ind w:left="425"/>
        <w:jc w:val="center"/>
        <w:rPr>
          <w:rFonts w:ascii="Times New Roman" w:hAnsi="Times New Roman"/>
          <w:b/>
        </w:rPr>
      </w:pPr>
      <w:r w:rsidRPr="00C25B05">
        <w:rPr>
          <w:rFonts w:ascii="Times New Roman" w:hAnsi="Times New Roman"/>
          <w:b/>
        </w:rPr>
        <w:lastRenderedPageBreak/>
        <w:t xml:space="preserve">Table S3. </w:t>
      </w:r>
      <w:r w:rsidRPr="00C25B05">
        <w:rPr>
          <w:rFonts w:ascii="Times New Roman" w:hAnsi="Times New Roman"/>
        </w:rPr>
        <w:t xml:space="preserve">Predictive performance of </w:t>
      </w:r>
      <w:r w:rsidR="00B17DC5" w:rsidRPr="00C25B05">
        <w:rPr>
          <w:rFonts w:ascii="Times New Roman" w:hAnsi="Times New Roman"/>
        </w:rPr>
        <w:t xml:space="preserve">the </w:t>
      </w:r>
      <w:r w:rsidRPr="00C25B05">
        <w:rPr>
          <w:rFonts w:ascii="Times New Roman" w:hAnsi="Times New Roman"/>
        </w:rPr>
        <w:t>radiomic score for hematoma expansion in the training cohort, test cohort</w:t>
      </w:r>
      <w:r w:rsidR="00B17DC5" w:rsidRPr="00C25B05">
        <w:rPr>
          <w:rFonts w:ascii="Times New Roman" w:hAnsi="Times New Roman"/>
        </w:rPr>
        <w:t>,</w:t>
      </w:r>
      <w:r w:rsidRPr="00C25B05">
        <w:rPr>
          <w:rFonts w:ascii="Times New Roman" w:hAnsi="Times New Roman"/>
        </w:rPr>
        <w:t xml:space="preserve"> and 3</w:t>
      </w:r>
      <w:r w:rsidR="00B17DC5" w:rsidRPr="00C25B05">
        <w:rPr>
          <w:rFonts w:ascii="Times New Roman" w:hAnsi="Times New Roman"/>
        </w:rPr>
        <w:t>–</w:t>
      </w:r>
      <w:r w:rsidRPr="00C25B05">
        <w:rPr>
          <w:rFonts w:ascii="Times New Roman" w:hAnsi="Times New Roman"/>
        </w:rPr>
        <w:t>10mL subgroup</w:t>
      </w:r>
    </w:p>
    <w:tbl>
      <w:tblPr>
        <w:tblW w:w="94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81"/>
        <w:gridCol w:w="1443"/>
        <w:gridCol w:w="1243"/>
        <w:gridCol w:w="1558"/>
        <w:gridCol w:w="1557"/>
        <w:gridCol w:w="1557"/>
      </w:tblGrid>
      <w:tr w:rsidR="00E21871" w:rsidRPr="00C25B05" w:rsidTr="00AA0D3E">
        <w:trPr>
          <w:jc w:val="center"/>
        </w:trPr>
        <w:tc>
          <w:tcPr>
            <w:tcW w:w="20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21871" w:rsidRPr="00C25B05" w:rsidRDefault="00E21871" w:rsidP="00C25B05">
            <w:pPr>
              <w:spacing w:line="480" w:lineRule="auto"/>
              <w:rPr>
                <w:sz w:val="18"/>
                <w:szCs w:val="18"/>
              </w:rPr>
            </w:pPr>
            <w:bookmarkStart w:id="12" w:name="OLE_LINK357"/>
            <w:bookmarkStart w:id="13" w:name="OLE_LINK358"/>
            <w:bookmarkStart w:id="14" w:name="OLE_LINK359"/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AUC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 xml:space="preserve">Sensitivity 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 xml:space="preserve">Specificity </w:t>
            </w:r>
          </w:p>
        </w:tc>
        <w:tc>
          <w:tcPr>
            <w:tcW w:w="1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PPV</w:t>
            </w:r>
          </w:p>
        </w:tc>
        <w:tc>
          <w:tcPr>
            <w:tcW w:w="1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NPV</w:t>
            </w:r>
          </w:p>
        </w:tc>
      </w:tr>
      <w:tr w:rsidR="00E21871" w:rsidRPr="00C25B05" w:rsidTr="00AA0D3E"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Training cohort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0.728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0.700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0.729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0.292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0.938</w:t>
            </w:r>
          </w:p>
        </w:tc>
      </w:tr>
      <w:tr w:rsidR="00E21871" w:rsidRPr="00C25B05" w:rsidTr="00AA0D3E"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Test cohort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0.716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0.786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0.642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0.275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0.945</w:t>
            </w:r>
          </w:p>
        </w:tc>
      </w:tr>
      <w:tr w:rsidR="00E21871" w:rsidRPr="00C25B05" w:rsidTr="00AA0D3E">
        <w:trPr>
          <w:jc w:val="center"/>
        </w:trPr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ind w:left="88" w:hangingChars="49" w:hanging="88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3-10mL subgroup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0.740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0.679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0.717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0.232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21871" w:rsidRPr="00C25B05" w:rsidRDefault="00194FA6" w:rsidP="00C25B05">
            <w:pPr>
              <w:spacing w:line="480" w:lineRule="auto"/>
              <w:rPr>
                <w:sz w:val="18"/>
                <w:szCs w:val="18"/>
              </w:rPr>
            </w:pPr>
            <w:r w:rsidRPr="00C25B05">
              <w:rPr>
                <w:sz w:val="18"/>
                <w:szCs w:val="18"/>
              </w:rPr>
              <w:t>0.947</w:t>
            </w:r>
          </w:p>
        </w:tc>
      </w:tr>
    </w:tbl>
    <w:bookmarkEnd w:id="12"/>
    <w:bookmarkEnd w:id="13"/>
    <w:bookmarkEnd w:id="14"/>
    <w:p w:rsidR="00CB3092" w:rsidRPr="00C25B05" w:rsidRDefault="00194FA6" w:rsidP="00C25B05">
      <w:pPr>
        <w:spacing w:line="480" w:lineRule="auto"/>
        <w:jc w:val="center"/>
        <w:rPr>
          <w:rFonts w:eastAsiaTheme="minorEastAsia"/>
          <w:sz w:val="18"/>
          <w:szCs w:val="24"/>
          <w:lang w:eastAsia="zh-CN"/>
        </w:rPr>
      </w:pPr>
      <w:r w:rsidRPr="00C25B05">
        <w:rPr>
          <w:sz w:val="18"/>
          <w:szCs w:val="24"/>
        </w:rPr>
        <w:t xml:space="preserve">AUC indicates area under the receiver operating characteristic curve; PPV, positive </w:t>
      </w:r>
      <w:bookmarkStart w:id="15" w:name="OLE_LINK384"/>
      <w:bookmarkStart w:id="16" w:name="OLE_LINK385"/>
      <w:r w:rsidRPr="00C25B05">
        <w:rPr>
          <w:sz w:val="18"/>
          <w:szCs w:val="24"/>
        </w:rPr>
        <w:t>predictive value</w:t>
      </w:r>
      <w:bookmarkEnd w:id="15"/>
      <w:bookmarkEnd w:id="16"/>
      <w:r w:rsidRPr="00C25B05">
        <w:rPr>
          <w:sz w:val="18"/>
          <w:szCs w:val="24"/>
        </w:rPr>
        <w:t>; NPV, negative predictive value.</w:t>
      </w:r>
    </w:p>
    <w:sectPr w:rsidR="00CB3092" w:rsidRPr="00C25B05" w:rsidSect="00996419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531" w:bottom="1077" w:left="1531" w:header="1020" w:footer="850" w:gutter="0"/>
      <w:lnNumType w:countBy="1" w:restart="continuous"/>
      <w:pgNumType w:start="1"/>
      <w:cols w:space="425"/>
      <w:titlePg/>
      <w:docGrid w:type="lines"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DDD047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022" w:rsidRDefault="00A51022" w:rsidP="00194FA6">
      <w:pPr>
        <w:spacing w:line="240" w:lineRule="auto"/>
      </w:pPr>
      <w:r>
        <w:separator/>
      </w:r>
    </w:p>
  </w:endnote>
  <w:endnote w:type="continuationSeparator" w:id="1">
    <w:p w:rsidR="00A51022" w:rsidRDefault="00A51022" w:rsidP="00194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0F" w:rsidRPr="00032917" w:rsidRDefault="00A51022" w:rsidP="00357C8D">
    <w:pPr>
      <w:pStyle w:val="a3"/>
      <w:spacing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0F" w:rsidRPr="008B308E" w:rsidRDefault="009808D9" w:rsidP="000C0FC2">
    <w:pPr>
      <w:pStyle w:val="MDPIfooterfirstpage"/>
      <w:spacing w:line="240" w:lineRule="auto"/>
      <w:jc w:val="both"/>
      <w:rPr>
        <w:lang w:val="fr-CH"/>
      </w:rPr>
    </w:pPr>
    <w:r w:rsidRPr="008B308E">
      <w:rPr>
        <w:lang w:val="fr-CH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022" w:rsidRDefault="00A51022" w:rsidP="00194FA6">
      <w:pPr>
        <w:spacing w:line="240" w:lineRule="auto"/>
      </w:pPr>
      <w:r>
        <w:separator/>
      </w:r>
    </w:p>
  </w:footnote>
  <w:footnote w:type="continuationSeparator" w:id="1">
    <w:p w:rsidR="00A51022" w:rsidRDefault="00A51022" w:rsidP="00194FA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0F" w:rsidRDefault="00A51022" w:rsidP="00357C8D">
    <w:pPr>
      <w:pStyle w:val="a4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0F" w:rsidRPr="007A5CE1" w:rsidRDefault="009808D9" w:rsidP="000C0FC2">
    <w:pPr>
      <w:tabs>
        <w:tab w:val="right" w:pos="8844"/>
      </w:tabs>
      <w:adjustRightInd w:val="0"/>
      <w:snapToGrid w:val="0"/>
      <w:spacing w:after="240" w:line="240" w:lineRule="auto"/>
      <w:rPr>
        <w:rFonts w:ascii="Palatino Linotype" w:hAnsi="Palatino Linotype"/>
        <w:sz w:val="16"/>
      </w:rPr>
    </w:pPr>
    <w:r>
      <w:rPr>
        <w:rFonts w:ascii="Palatino Linotype" w:hAnsi="Palatino Linotype"/>
        <w:sz w:val="16"/>
      </w:rPr>
      <w:tab/>
    </w:r>
    <w:r w:rsidR="003C4661">
      <w:rPr>
        <w:rFonts w:ascii="Palatino Linotype" w:hAnsi="Palatino Linotype"/>
        <w:sz w:val="16"/>
      </w:rPr>
      <w:fldChar w:fldCharType="begin"/>
    </w:r>
    <w:r>
      <w:rPr>
        <w:rFonts w:ascii="Palatino Linotype" w:hAnsi="Palatino Linotype"/>
        <w:sz w:val="16"/>
      </w:rPr>
      <w:instrText xml:space="preserve"> PAGE   \* MERGEFORMAT </w:instrText>
    </w:r>
    <w:r w:rsidR="003C4661">
      <w:rPr>
        <w:rFonts w:ascii="Palatino Linotype" w:hAnsi="Palatino Linotype"/>
        <w:sz w:val="16"/>
      </w:rPr>
      <w:fldChar w:fldCharType="separate"/>
    </w:r>
    <w:r w:rsidR="00C25B05">
      <w:rPr>
        <w:rFonts w:ascii="Palatino Linotype" w:hAnsi="Palatino Linotype"/>
        <w:noProof/>
        <w:sz w:val="16"/>
      </w:rPr>
      <w:t>4</w:t>
    </w:r>
    <w:r w:rsidR="003C4661">
      <w:rPr>
        <w:rFonts w:ascii="Palatino Linotype" w:hAnsi="Palatino Linotype"/>
        <w:sz w:val="16"/>
      </w:rPr>
      <w:fldChar w:fldCharType="end"/>
    </w:r>
    <w:r>
      <w:rPr>
        <w:rFonts w:ascii="Palatino Linotype" w:hAnsi="Palatino Linotype"/>
        <w:sz w:val="16"/>
      </w:rPr>
      <w:t xml:space="preserve"> of </w:t>
    </w:r>
    <w:fldSimple w:instr=" NUMPAGES   \* MERGEFORMAT ">
      <w:r w:rsidR="00C25B05" w:rsidRPr="00C25B05">
        <w:rPr>
          <w:rFonts w:ascii="Palatino Linotype" w:hAnsi="Palatino Linotype"/>
          <w:noProof/>
          <w:sz w:val="16"/>
        </w:rPr>
        <w:t>4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0F" w:rsidRDefault="003C4661" w:rsidP="00357C8D">
    <w:pPr>
      <w:pStyle w:val="MDPIheaderjournallogo"/>
    </w:pPr>
    <w:r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7" o:spid="_x0000_s4097" type="#_x0000_t202" style="position:absolute;margin-left:474.8pt;margin-top:51pt;width:42.8pt;height:55.8pt;z-index:-251658752;visibility:visible;mso-wrap-style:non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" stroked="f">
          <v:textbox inset="0,0,0,0">
            <w:txbxContent>
              <w:p w:rsidR="00634C0F" w:rsidRPr="00847AD2" w:rsidRDefault="00A51022" w:rsidP="00847AD2">
                <w:pPr>
                  <w:pStyle w:val="MDPIheaderjournallogo"/>
                  <w:textboxTightWrap w:val="allLines"/>
                  <w:rPr>
                    <w:rFonts w:eastAsiaTheme="minorEastAsia"/>
                    <w:i w:val="0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uthor">
    <w15:presenceInfo w15:providerId="None" w15:userId="Auth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C4AFE"/>
    <w:rsid w:val="00075962"/>
    <w:rsid w:val="000837B6"/>
    <w:rsid w:val="000E6F46"/>
    <w:rsid w:val="000F781B"/>
    <w:rsid w:val="00124A4E"/>
    <w:rsid w:val="00191319"/>
    <w:rsid w:val="00194FA6"/>
    <w:rsid w:val="002A6E3E"/>
    <w:rsid w:val="002C5CA4"/>
    <w:rsid w:val="00376A46"/>
    <w:rsid w:val="003C4661"/>
    <w:rsid w:val="003E4124"/>
    <w:rsid w:val="004D1EAB"/>
    <w:rsid w:val="004F06EB"/>
    <w:rsid w:val="00522294"/>
    <w:rsid w:val="00531098"/>
    <w:rsid w:val="00611B50"/>
    <w:rsid w:val="006734E0"/>
    <w:rsid w:val="006B29D1"/>
    <w:rsid w:val="00704E5B"/>
    <w:rsid w:val="007D2027"/>
    <w:rsid w:val="00800F8D"/>
    <w:rsid w:val="00804F4C"/>
    <w:rsid w:val="00817792"/>
    <w:rsid w:val="00847AD2"/>
    <w:rsid w:val="008F3DA0"/>
    <w:rsid w:val="009808D9"/>
    <w:rsid w:val="009F732B"/>
    <w:rsid w:val="00A51022"/>
    <w:rsid w:val="00B17DC5"/>
    <w:rsid w:val="00BC6EFA"/>
    <w:rsid w:val="00BE1B1D"/>
    <w:rsid w:val="00C25B05"/>
    <w:rsid w:val="00CB3092"/>
    <w:rsid w:val="00D120F5"/>
    <w:rsid w:val="00DA5327"/>
    <w:rsid w:val="00DC5ED4"/>
    <w:rsid w:val="00E135BF"/>
    <w:rsid w:val="00E21871"/>
    <w:rsid w:val="00FB2FF1"/>
    <w:rsid w:val="00FC4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71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21871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21871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styleId="a4">
    <w:name w:val="header"/>
    <w:basedOn w:val="a"/>
    <w:link w:val="Char0"/>
    <w:uiPriority w:val="99"/>
    <w:rsid w:val="00E21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21871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E21871"/>
    <w:pPr>
      <w:adjustRightInd w:val="0"/>
      <w:snapToGrid w:val="0"/>
      <w:spacing w:after="0" w:line="240" w:lineRule="auto"/>
    </w:pPr>
    <w:rPr>
      <w:rFonts w:ascii="Palatino Linotype" w:eastAsia="Times New Roman" w:hAnsi="Palatino Linotype" w:cs="Times New Roman"/>
      <w:i/>
      <w:color w:val="000000"/>
      <w:sz w:val="24"/>
      <w:lang w:eastAsia="de-CH"/>
    </w:rPr>
  </w:style>
  <w:style w:type="paragraph" w:customStyle="1" w:styleId="MDPIfooterfirstpage">
    <w:name w:val="MDPI_footer_firstpage"/>
    <w:basedOn w:val="a"/>
    <w:qFormat/>
    <w:rsid w:val="00E21871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paragraph" w:customStyle="1" w:styleId="MDPI71References">
    <w:name w:val="MDPI_7.1_References"/>
    <w:basedOn w:val="a"/>
    <w:qFormat/>
    <w:rsid w:val="00E21871"/>
    <w:pPr>
      <w:numPr>
        <w:numId w:val="1"/>
      </w:numPr>
      <w:adjustRightInd w:val="0"/>
      <w:snapToGrid w:val="0"/>
      <w:spacing w:line="260" w:lineRule="atLeast"/>
      <w:ind w:left="425" w:hanging="425"/>
    </w:pPr>
    <w:rPr>
      <w:rFonts w:ascii="Palatino Linotype" w:hAnsi="Palatino Linotype"/>
      <w:snapToGrid w:val="0"/>
      <w:sz w:val="18"/>
      <w:lang w:bidi="en-US"/>
    </w:rPr>
  </w:style>
  <w:style w:type="character" w:styleId="a5">
    <w:name w:val="annotation reference"/>
    <w:basedOn w:val="a0"/>
    <w:uiPriority w:val="99"/>
    <w:semiHidden/>
    <w:unhideWhenUsed/>
    <w:rsid w:val="00E21871"/>
    <w:rPr>
      <w:sz w:val="16"/>
      <w:szCs w:val="16"/>
    </w:rPr>
  </w:style>
  <w:style w:type="paragraph" w:styleId="a6">
    <w:name w:val="annotation text"/>
    <w:basedOn w:val="a"/>
    <w:link w:val="Char1"/>
    <w:uiPriority w:val="99"/>
    <w:unhideWhenUsed/>
    <w:rsid w:val="00E21871"/>
    <w:pPr>
      <w:spacing w:line="240" w:lineRule="auto"/>
    </w:pPr>
    <w:rPr>
      <w:sz w:val="20"/>
    </w:rPr>
  </w:style>
  <w:style w:type="character" w:customStyle="1" w:styleId="Char1">
    <w:name w:val="批注文字 Char"/>
    <w:basedOn w:val="a0"/>
    <w:link w:val="a6"/>
    <w:uiPriority w:val="99"/>
    <w:rsid w:val="00E21871"/>
    <w:rPr>
      <w:rFonts w:ascii="Times New Roman" w:eastAsia="Times New Roman" w:hAnsi="Times New Roman" w:cs="Times New Roman"/>
      <w:color w:val="000000"/>
      <w:sz w:val="20"/>
      <w:szCs w:val="20"/>
      <w:lang w:eastAsia="de-DE"/>
    </w:rPr>
  </w:style>
  <w:style w:type="paragraph" w:styleId="a7">
    <w:name w:val="Balloon Text"/>
    <w:basedOn w:val="a"/>
    <w:link w:val="Char2"/>
    <w:uiPriority w:val="99"/>
    <w:semiHidden/>
    <w:unhideWhenUsed/>
    <w:rsid w:val="00E218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E21871"/>
    <w:rPr>
      <w:rFonts w:ascii="Segoe UI" w:eastAsia="Times New Roman" w:hAnsi="Segoe UI" w:cs="Segoe UI"/>
      <w:color w:val="000000"/>
      <w:sz w:val="18"/>
      <w:szCs w:val="18"/>
      <w:lang w:eastAsia="de-DE"/>
    </w:rPr>
  </w:style>
  <w:style w:type="character" w:styleId="a8">
    <w:name w:val="line number"/>
    <w:basedOn w:val="a0"/>
    <w:uiPriority w:val="99"/>
    <w:semiHidden/>
    <w:unhideWhenUsed/>
    <w:rsid w:val="00E218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Windows 用户</cp:lastModifiedBy>
  <cp:revision>20</cp:revision>
  <dcterms:created xsi:type="dcterms:W3CDTF">2020-05-19T02:16:00Z</dcterms:created>
  <dcterms:modified xsi:type="dcterms:W3CDTF">2020-05-22T02:03:00Z</dcterms:modified>
</cp:coreProperties>
</file>