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 Narrow" w:cs="Arial Narrow" w:eastAsia="Arial Narrow" w:hAnsi="Arial Narrow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Appendix 6. Data and analyses and summary of findings table for the main comparison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 Narrow" w:cs="Arial Narrow" w:eastAsia="Arial Narrow" w:hAnsi="Arial Narrow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  <w:b w:val="1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14"/>
          <w:szCs w:val="14"/>
          <w:rtl w:val="0"/>
        </w:rPr>
        <w:t xml:space="preserve">Comparison 1</w:t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14"/>
          <w:szCs w:val="14"/>
          <w:rtl w:val="0"/>
        </w:rPr>
        <w:t xml:space="preserve">Question: 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Chemotherapy compared to supportive care for advanced esophageal cancer</w:t>
      </w:r>
    </w:p>
    <w:tbl>
      <w:tblPr>
        <w:tblStyle w:val="Table1"/>
        <w:tblW w:w="14370.000000000002" w:type="dxa"/>
        <w:jc w:val="left"/>
        <w:tblLayout w:type="fixed"/>
        <w:tblLook w:val="0400"/>
      </w:tblPr>
      <w:tblGrid>
        <w:gridCol w:w="718"/>
        <w:gridCol w:w="861"/>
        <w:gridCol w:w="1006"/>
        <w:gridCol w:w="1006"/>
        <w:gridCol w:w="1006"/>
        <w:gridCol w:w="1006"/>
        <w:gridCol w:w="1581"/>
        <w:gridCol w:w="1150"/>
        <w:gridCol w:w="1150"/>
        <w:gridCol w:w="1150"/>
        <w:gridCol w:w="862"/>
        <w:gridCol w:w="1437"/>
        <w:gridCol w:w="1437"/>
        <w:tblGridChange w:id="0">
          <w:tblGrid>
            <w:gridCol w:w="718"/>
            <w:gridCol w:w="861"/>
            <w:gridCol w:w="1006"/>
            <w:gridCol w:w="1006"/>
            <w:gridCol w:w="1006"/>
            <w:gridCol w:w="1006"/>
            <w:gridCol w:w="1581"/>
            <w:gridCol w:w="1150"/>
            <w:gridCol w:w="1150"/>
            <w:gridCol w:w="1150"/>
            <w:gridCol w:w="862"/>
            <w:gridCol w:w="1437"/>
            <w:gridCol w:w="1437"/>
          </w:tblGrid>
        </w:tblGridChange>
      </w:tblGrid>
      <w:tr>
        <w:trPr>
          <w:cantSplit w:val="1"/>
          <w:tblHeader w:val="1"/>
        </w:trPr>
        <w:tc>
          <w:tcPr>
            <w:gridSpan w:val="7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 assessment</w:t>
            </w:r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patients</w:t>
                </w:r>
              </w:sdtContent>
            </w:sdt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Effect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Importance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studies</w:t>
                </w:r>
              </w:sdtContent>
            </w:sdt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Study design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Risk of bias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Inconsistency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Indirectness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Imprecision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Other considerations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chemotherapy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supportive care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Relative</w:t>
              <w:br w:type="textWrapping"/>
              <w:t xml:space="preserve">(95% CI)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Absolute</w:t>
              <w:br w:type="textWrapping"/>
              <w:t xml:space="preserve">(95% CI)</w:t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Overall Survival (follow-up: range 12 months to 18 months)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504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334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0.72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(0.63 to 0.81)</w:t>
              <w:br w:type="textWrapping"/>
              <w:t xml:space="preserve">[death]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109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55 more to 163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Progression free survival (follow-up: 12 months)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337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170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0.57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(0.47 to 0.69)</w:t>
              <w:br w:type="textWrapping"/>
              <w:t xml:space="preserve">[death or progression]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174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120 more to 222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Performance status (assessed with: ECOG)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337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170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0.69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(0.56 to 0.85)</w:t>
              <w:br w:type="textWrapping"/>
              <w:t xml:space="preserve">[deterioration]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129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55 more to 206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20.0%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Toxicity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284/416 (68.3%)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100/242 (41.3%)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RR 2.36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(0.63 to 8.86)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562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153 fewer to 1,000 more)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</w:t>
            </w: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Very 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Quality of life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Only one study showed significant results (high risk of bias). Significant improvement in quality of life was found with docetaxel in all pre-specified important domains, of which dysphagia was statistically significant (p=0·02), and for several exploratory domains.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</w:t>
            </w: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Very 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CI: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confidence interval;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hazard Ratio;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risk ratio</w:t>
      </w:r>
    </w:p>
    <w:p w:rsidR="00000000" w:rsidDel="00000000" w:rsidP="00000000" w:rsidRDefault="00000000" w:rsidRPr="00000000" w14:paraId="000000C9">
      <w:pPr>
        <w:pStyle w:val="Heading4"/>
        <w:spacing w:after="280" w:before="280" w:lineRule="auto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Explanations</w:t>
      </w:r>
    </w:p>
    <w:p w:rsidR="00000000" w:rsidDel="00000000" w:rsidP="00000000" w:rsidRDefault="00000000" w:rsidRPr="00000000" w14:paraId="000000CA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a. We did not downgrade even though Ford 2014 was assessed as high risk of bias (performance and detection) because a sensitivity analysis did not show differences</w:t>
      </w:r>
    </w:p>
    <w:p w:rsidR="00000000" w:rsidDel="00000000" w:rsidP="00000000" w:rsidRDefault="00000000" w:rsidRPr="00000000" w14:paraId="000000CB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b. We downgraded two levels due to including GEJ and gastric population</w:t>
      </w:r>
    </w:p>
    <w:p w:rsidR="00000000" w:rsidDel="00000000" w:rsidP="00000000" w:rsidRDefault="00000000" w:rsidRPr="00000000" w14:paraId="000000CC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c. Very wide confidence interval</w:t>
      </w:r>
    </w:p>
    <w:p w:rsidR="00000000" w:rsidDel="00000000" w:rsidP="00000000" w:rsidRDefault="00000000" w:rsidRPr="00000000" w14:paraId="000000CD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d. We downgraded one level due to concerns about the high risk of performance bias.</w:t>
      </w:r>
    </w:p>
    <w:p w:rsidR="00000000" w:rsidDel="00000000" w:rsidP="00000000" w:rsidRDefault="00000000" w:rsidRPr="00000000" w14:paraId="000000CE">
      <w:pPr>
        <w:rPr>
          <w:rFonts w:ascii="Arial Narrow" w:cs="Arial Narrow" w:eastAsia="Arial Narrow" w:hAnsi="Arial Narrow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sz w:val="14"/>
          <w:szCs w:val="14"/>
          <w:rtl w:val="0"/>
        </w:rPr>
        <w:t xml:space="preserve">The baseline risk for calculating relative effects considered the literature reported by SEER (Surveillance, Epidemiology, and End Results) in the United States, in consensus with clinical experts.</w:t>
      </w:r>
    </w:p>
    <w:p w:rsidR="00000000" w:rsidDel="00000000" w:rsidP="00000000" w:rsidRDefault="00000000" w:rsidRPr="00000000" w14:paraId="000000CF">
      <w:pPr>
        <w:rPr>
          <w:rFonts w:ascii="Arial Narrow" w:cs="Arial Narrow" w:eastAsia="Arial Narrow" w:hAnsi="Arial Narrow"/>
          <w:b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Arial Narrow" w:cs="Arial Narrow" w:eastAsia="Arial Narrow" w:hAnsi="Arial Narrow"/>
          <w:b w:val="1"/>
          <w:color w:val="000000"/>
          <w:sz w:val="14"/>
          <w:szCs w:val="1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Arial Narrow" w:cs="Arial Narrow" w:eastAsia="Arial Narrow" w:hAnsi="Arial Narrow"/>
          <w:b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Arial Narrow" w:cs="Arial Narrow" w:eastAsia="Arial Narrow" w:hAnsi="Arial Narrow"/>
          <w:b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Arial Narrow" w:cs="Arial Narrow" w:eastAsia="Arial Narrow" w:hAnsi="Arial Narrow"/>
          <w:b w:val="1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14"/>
          <w:szCs w:val="14"/>
          <w:rtl w:val="0"/>
        </w:rPr>
        <w:t xml:space="preserve">Comparison 2</w:t>
      </w:r>
    </w:p>
    <w:p w:rsidR="00000000" w:rsidDel="00000000" w:rsidP="00000000" w:rsidRDefault="00000000" w:rsidRPr="00000000" w14:paraId="000000D4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14"/>
          <w:szCs w:val="14"/>
          <w:rtl w:val="0"/>
        </w:rPr>
        <w:t xml:space="preserve">Question: 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Immunotherapy compared to supportive care for advanced esophageal cancer</w:t>
      </w:r>
    </w:p>
    <w:p w:rsidR="00000000" w:rsidDel="00000000" w:rsidP="00000000" w:rsidRDefault="00000000" w:rsidRPr="00000000" w14:paraId="000000D5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370.000000000002" w:type="dxa"/>
        <w:jc w:val="left"/>
        <w:tblLayout w:type="fixed"/>
        <w:tblLook w:val="0400"/>
      </w:tblPr>
      <w:tblGrid>
        <w:gridCol w:w="718"/>
        <w:gridCol w:w="861"/>
        <w:gridCol w:w="1006"/>
        <w:gridCol w:w="1006"/>
        <w:gridCol w:w="1006"/>
        <w:gridCol w:w="1006"/>
        <w:gridCol w:w="1581"/>
        <w:gridCol w:w="1150"/>
        <w:gridCol w:w="1150"/>
        <w:gridCol w:w="1150"/>
        <w:gridCol w:w="862"/>
        <w:gridCol w:w="1437"/>
        <w:gridCol w:w="1437"/>
        <w:tblGridChange w:id="0">
          <w:tblGrid>
            <w:gridCol w:w="718"/>
            <w:gridCol w:w="861"/>
            <w:gridCol w:w="1006"/>
            <w:gridCol w:w="1006"/>
            <w:gridCol w:w="1006"/>
            <w:gridCol w:w="1006"/>
            <w:gridCol w:w="1581"/>
            <w:gridCol w:w="1150"/>
            <w:gridCol w:w="1150"/>
            <w:gridCol w:w="1150"/>
            <w:gridCol w:w="862"/>
            <w:gridCol w:w="1437"/>
            <w:gridCol w:w="1437"/>
          </w:tblGrid>
        </w:tblGridChange>
      </w:tblGrid>
      <w:tr>
        <w:trPr>
          <w:cantSplit w:val="1"/>
          <w:tblHeader w:val="1"/>
        </w:trPr>
        <w:tc>
          <w:tcPr>
            <w:gridSpan w:val="7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 assessment</w:t>
            </w:r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patients</w:t>
                </w:r>
              </w:sdtContent>
            </w:sdt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Effect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Importance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studies</w:t>
                </w:r>
              </w:sdtContent>
            </w:sdt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Study design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Risk of bias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Inconsistency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Indirectness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Imprecision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Other considerations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immunotherapy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supportive care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Relative</w:t>
              <w:br w:type="textWrapping"/>
              <w:t xml:space="preserve">(95% CI)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Absolute</w:t>
              <w:br w:type="textWrapping"/>
              <w:t xml:space="preserve">(95% CI)</w:t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Overall survival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330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163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0.62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(0.51 to 0.75)</w:t>
              <w:br w:type="textWrapping"/>
              <w:t xml:space="preserve">[death]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140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78 more to 209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Progression free survival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330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163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0.60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(0.49 to 0.73)</w:t>
              <w:br w:type="textWrapping"/>
              <w:t xml:space="preserve">[death or progression]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160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103 more to 212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Toxicity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39/330 (11.8%)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7/161 (4.3%)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RR 2.72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(1.24 to 5.94)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75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10 more to 215 more)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CI: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confidence interval;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hazard Ratio;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risk ratio</w:t>
      </w:r>
    </w:p>
    <w:p w:rsidR="00000000" w:rsidDel="00000000" w:rsidP="00000000" w:rsidRDefault="00000000" w:rsidRPr="00000000" w14:paraId="00000159">
      <w:pPr>
        <w:pStyle w:val="Heading4"/>
        <w:spacing w:after="280" w:before="280" w:lineRule="auto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Explanations</w:t>
      </w:r>
    </w:p>
    <w:p w:rsidR="00000000" w:rsidDel="00000000" w:rsidP="00000000" w:rsidRDefault="00000000" w:rsidRPr="00000000" w14:paraId="0000015A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a. We downgraded two levels due to including GEJ and gastric population</w:t>
      </w:r>
    </w:p>
    <w:p w:rsidR="00000000" w:rsidDel="00000000" w:rsidP="00000000" w:rsidRDefault="00000000" w:rsidRPr="00000000" w14:paraId="0000015B">
      <w:pPr>
        <w:rPr>
          <w:rFonts w:ascii="Arial Narrow" w:cs="Arial Narrow" w:eastAsia="Arial Narrow" w:hAnsi="Arial Narrow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sz w:val="14"/>
          <w:szCs w:val="14"/>
          <w:rtl w:val="0"/>
        </w:rPr>
        <w:t xml:space="preserve">The baseline risk for calculating relative effects considered the literature reported by SEER (Surveillance, Epidemiology, and End Results) in the United States, in consensus with clinical experts.</w:t>
      </w:r>
    </w:p>
    <w:p w:rsidR="00000000" w:rsidDel="00000000" w:rsidP="00000000" w:rsidRDefault="00000000" w:rsidRPr="00000000" w14:paraId="0000015C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Arial Narrow" w:cs="Arial Narrow" w:eastAsia="Arial Narrow" w:hAnsi="Arial Narrow"/>
          <w:b w:val="1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14"/>
          <w:szCs w:val="14"/>
          <w:rtl w:val="0"/>
        </w:rPr>
        <w:t xml:space="preserve">Comparison 3</w:t>
      </w:r>
    </w:p>
    <w:p w:rsidR="00000000" w:rsidDel="00000000" w:rsidP="00000000" w:rsidRDefault="00000000" w:rsidRPr="00000000" w14:paraId="0000015F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14"/>
          <w:szCs w:val="14"/>
          <w:rtl w:val="0"/>
        </w:rPr>
        <w:t xml:space="preserve">Question: 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Biological targeted therapy compared to supportive care for advanced esophageal cancer</w:t>
      </w:r>
    </w:p>
    <w:p w:rsidR="00000000" w:rsidDel="00000000" w:rsidP="00000000" w:rsidRDefault="00000000" w:rsidRPr="00000000" w14:paraId="00000160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370.000000000002" w:type="dxa"/>
        <w:jc w:val="left"/>
        <w:tblLayout w:type="fixed"/>
        <w:tblLook w:val="0400"/>
      </w:tblPr>
      <w:tblGrid>
        <w:gridCol w:w="718"/>
        <w:gridCol w:w="861"/>
        <w:gridCol w:w="1006"/>
        <w:gridCol w:w="1006"/>
        <w:gridCol w:w="1006"/>
        <w:gridCol w:w="1006"/>
        <w:gridCol w:w="1581"/>
        <w:gridCol w:w="1150"/>
        <w:gridCol w:w="1150"/>
        <w:gridCol w:w="1150"/>
        <w:gridCol w:w="862"/>
        <w:gridCol w:w="1437"/>
        <w:gridCol w:w="1437"/>
        <w:tblGridChange w:id="0">
          <w:tblGrid>
            <w:gridCol w:w="718"/>
            <w:gridCol w:w="861"/>
            <w:gridCol w:w="1006"/>
            <w:gridCol w:w="1006"/>
            <w:gridCol w:w="1006"/>
            <w:gridCol w:w="1006"/>
            <w:gridCol w:w="1581"/>
            <w:gridCol w:w="1150"/>
            <w:gridCol w:w="1150"/>
            <w:gridCol w:w="1150"/>
            <w:gridCol w:w="862"/>
            <w:gridCol w:w="1437"/>
            <w:gridCol w:w="1437"/>
          </w:tblGrid>
        </w:tblGridChange>
      </w:tblGrid>
      <w:tr>
        <w:trPr>
          <w:cantSplit w:val="1"/>
          <w:tblHeader w:val="1"/>
        </w:trPr>
        <w:tc>
          <w:tcPr>
            <w:gridSpan w:val="7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 assessment</w:t>
            </w:r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patients</w:t>
                </w:r>
              </w:sdtContent>
            </w:sdt>
          </w:p>
        </w:tc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Effect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Certainty</w:t>
            </w:r>
          </w:p>
        </w:tc>
        <w:tc>
          <w:tcPr>
            <w:vMerge w:val="restart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Importance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ffffff"/>
                    <w:sz w:val="13"/>
                    <w:szCs w:val="13"/>
                    <w:rtl w:val="0"/>
                  </w:rPr>
                  <w:t xml:space="preserve">№ of studies</w:t>
                </w:r>
              </w:sdtContent>
            </w:sdt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Study design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Risk of bias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Inconsistency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Indirectness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Imprecision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Other considerations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biological targeted therapy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supportive care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Relative</w:t>
              <w:br w:type="textWrapping"/>
              <w:t xml:space="preserve">(95% CI)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  <w:rtl w:val="0"/>
              </w:rPr>
              <w:t xml:space="preserve">Absolute</w:t>
              <w:br w:type="textWrapping"/>
              <w:t xml:space="preserve">(95% CI)</w:t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2f5496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Overall survival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7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1591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907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0.87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(0.79 to 0.95)</w:t>
              <w:br w:type="textWrapping"/>
              <w:t xml:space="preserve">[death]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35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12 more to 62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Progression free survival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7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1589 participants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904 participants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HR 0.55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(0.45 to 0.66)</w:t>
              <w:br w:type="textWrapping"/>
              <w:t xml:space="preserve">[death or recurrence]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183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133 more to 232 more)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50.0%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Toxicity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653/1103 (59.2%)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303/660 (45.9%)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RR 1.25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(1.01 to 1.54)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3"/>
                <w:szCs w:val="13"/>
                <w:rtl w:val="0"/>
              </w:rPr>
              <w:t xml:space="preserve">115 more per 1,000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(from 5 more to 248 more)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</w:t>
            </w: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Very 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3"/>
            <w:shd w:fill="ffffff" w:val="clear"/>
            <w:tcMar>
              <w:top w:w="75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13"/>
                <w:szCs w:val="13"/>
                <w:rtl w:val="0"/>
              </w:rPr>
              <w:t xml:space="preserve">Quality of life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randomised trials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very serious</w:t>
            </w: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not serious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none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7">
            <w:pPr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t xml:space="preserve">no significant differences between groups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sz w:val="21"/>
                <w:szCs w:val="21"/>
                <w:rtl w:val="0"/>
              </w:rPr>
              <w:t xml:space="preserve">⨁⨁</w:t>
            </w: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◯◯</w:t>
                </w:r>
              </w:sdtContent>
            </w:sdt>
            <w:r w:rsidDel="00000000" w:rsidR="00000000" w:rsidRPr="00000000">
              <w:rPr>
                <w:rFonts w:ascii="Arial Narrow" w:cs="Arial Narrow" w:eastAsia="Arial Narrow" w:hAnsi="Arial Narrow"/>
                <w:sz w:val="13"/>
                <w:szCs w:val="13"/>
                <w:rtl w:val="0"/>
              </w:rPr>
              <w:br w:type="textWrapping"/>
              <w:t xml:space="preserve">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 Narrow" w:cs="Arial Narrow" w:eastAsia="Arial Narrow" w:hAnsi="Arial Narrow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CI: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confidence interval;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hazard Ratio;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RR: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risk ratio</w:t>
      </w:r>
    </w:p>
    <w:p w:rsidR="00000000" w:rsidDel="00000000" w:rsidP="00000000" w:rsidRDefault="00000000" w:rsidRPr="00000000" w14:paraId="000001FE">
      <w:pPr>
        <w:pStyle w:val="Heading4"/>
        <w:spacing w:after="280" w:before="280" w:lineRule="auto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Explanations</w:t>
      </w:r>
    </w:p>
    <w:p w:rsidR="00000000" w:rsidDel="00000000" w:rsidP="00000000" w:rsidRDefault="00000000" w:rsidRPr="00000000" w14:paraId="000001FF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a. a. We downgraded two levels due to including GEJ and gastric population</w:t>
      </w:r>
    </w:p>
    <w:p w:rsidR="00000000" w:rsidDel="00000000" w:rsidP="00000000" w:rsidRDefault="00000000" w:rsidRPr="00000000" w14:paraId="00000200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4"/>
          <w:szCs w:val="14"/>
          <w:rtl w:val="0"/>
        </w:rPr>
        <w:t xml:space="preserve">b. Very wide confidence interval</w:t>
      </w:r>
    </w:p>
    <w:p w:rsidR="00000000" w:rsidDel="00000000" w:rsidP="00000000" w:rsidRDefault="00000000" w:rsidRPr="00000000" w14:paraId="00000201">
      <w:pPr>
        <w:rPr>
          <w:rFonts w:ascii="Arial Narrow" w:cs="Arial Narrow" w:eastAsia="Arial Narrow" w:hAnsi="Arial Narrow"/>
          <w:color w:val="000000"/>
          <w:sz w:val="14"/>
          <w:szCs w:val="14"/>
        </w:rPr>
      </w:pPr>
      <w:r w:rsidDel="00000000" w:rsidR="00000000" w:rsidRPr="00000000">
        <w:rPr>
          <w:rFonts w:ascii="Arial Narrow" w:cs="Arial Narrow" w:eastAsia="Arial Narrow" w:hAnsi="Arial Narrow"/>
          <w:sz w:val="14"/>
          <w:szCs w:val="14"/>
          <w:rtl w:val="0"/>
        </w:rPr>
        <w:t xml:space="preserve">The baseline risk for calculating relative effects considered the literature reported by SEER (Surveillance, Epidemiology, and End Results) in the United States, in consensus with clinical experts.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 Unicode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ambria Math">
    <w:embedRegular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 w:val="1"/>
    <w:qFormat w:val="1"/>
    <w:pPr>
      <w:spacing w:after="100" w:afterAutospacing="1" w:before="100" w:beforeAutospacing="1"/>
      <w:outlineLvl w:val="3"/>
    </w:pPr>
    <w:rPr>
      <w:rFonts w:ascii="Times New Roman" w:cs="Times New Roman" w:hAnsi="Times New Roman"/>
      <w:b w:val="1"/>
      <w:bCs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="Times New Roman" w:cs="Times New Roman" w:hAnsi="Times New Roman"/>
      <w:b w:val="1"/>
      <w:bCs w:val="1"/>
    </w:rPr>
  </w:style>
  <w:style w:type="character" w:styleId="label" w:customStyle="1">
    <w:name w:val="label"/>
    <w:basedOn w:val="DefaultParagraphFont"/>
  </w:style>
  <w:style w:type="character" w:styleId="cell-value" w:customStyle="1">
    <w:name w:val="cell-value"/>
    <w:basedOn w:val="DefaultParagraphFont"/>
  </w:style>
  <w:style w:type="character" w:styleId="cell" w:customStyle="1">
    <w:name w:val="cell"/>
    <w:basedOn w:val="DefaultParagraphFont"/>
  </w:style>
  <w:style w:type="character" w:styleId="block" w:customStyle="1">
    <w:name w:val="block"/>
    <w:basedOn w:val="DefaultParagraphFont"/>
  </w:style>
  <w:style w:type="character" w:styleId="quality-sign" w:customStyle="1">
    <w:name w:val="quality-sign"/>
    <w:basedOn w:val="DefaultParagraphFont"/>
  </w:style>
  <w:style w:type="character" w:styleId="quality-text" w:customStyle="1">
    <w:name w:val="quality-text"/>
    <w:basedOn w:val="DefaultParagraphFont"/>
  </w:style>
  <w:style w:type="paragraph" w:styleId="NormalWeb">
    <w:name w:val="Normal (Web)"/>
    <w:basedOn w:val="Normal"/>
    <w:uiPriority w:val="99"/>
    <w:semiHidden w:val="1"/>
    <w:unhideWhenUsed w:val="1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ListParagraph">
    <w:name w:val="List Paragraph"/>
    <w:basedOn w:val="Normal"/>
    <w:uiPriority w:val="34"/>
    <w:qFormat w:val="1"/>
    <w:rsid w:val="001352A0"/>
    <w:pPr>
      <w:ind w:left="720"/>
      <w:contextualSpacing w:val="1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CambriaMath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w/igKIY/Cjljyt8TEYV4XAg/MQ==">CgMxLjAaKwoBMBImCiQIB0IgCgxBcmlhbCBOYXJyb3cSEEFyaWFsIFVuaWNvZGUgTVMaKwoBMRImCiQIB0IgCgxBcmlhbCBOYXJyb3c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isKATcSJgokCAdCIAoMQXJpYWwgTmFycm93EhBBcmlhbCBVbmljb2RlIE1TGisKATgSJgokCAdCIAoMQXJpYWwgTmFycm93EhBBcmlhbCBVbmljb2RlIE1TGjAKATkSKwopCAdCJQoRUXVhdHRyb2NlbnRvIFNhbnMSEEFyaWFsIFVuaWNvZGUgTVMaMQoCMTASKwopCAdCJQoRUXVhdHRyb2NlbnRvIFNhbnMSEEFyaWFsIFVuaWNvZGUgTVMaMQoCMTESKwopCAdCJQoRUXVhdHRyb2NlbnRvIFNhbnMSEEFyaWFsIFVuaWNvZGUgTVMaLAoCMTISJgokCAdCIAoMQXJpYWwgTmFycm93EhBBcmlhbCBVbmljb2RlIE1TGiwKAjEzEiYKJAgHQiAKDEFyaWFsIE5hcnJvd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gAciExdGl3ZzQwelRZLUsxTGRyQWJ2aktaUlJSS1RMYnhMN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2023-02-10T15:40:00Z</dcterms:created>
</cp:coreProperties>
</file>