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3. Overall survival (OS) outcome: Sensitivity analyses and meta-analyses (continuous, 6, 12 and 18-months) 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sensitivity analysis (excluding study with high risk of bias –Ford 2014–)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2946400"/>
            <wp:effectExtent b="0" l="0" r="0" t="0"/>
            <wp:docPr id="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4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sensitivity analysis (excluding studies considering gastric cancer)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3035300"/>
            <wp:effectExtent b="0" l="0" r="0" t="0"/>
            <wp:docPr id="10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3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as continuous outcome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2997200"/>
            <wp:effectExtent b="0" l="0" r="0" t="0"/>
            <wp:docPr id="9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follow-up 6 months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3467100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6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follow-up 12 months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3263900"/>
            <wp:effectExtent b="0" l="0" r="0" t="0"/>
            <wp:docPr id="1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6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follow-up 18 months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316230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6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jpg"/><Relationship Id="rId10" Type="http://schemas.openxmlformats.org/officeDocument/2006/relationships/image" Target="media/image1.png"/><Relationship Id="rId12" Type="http://schemas.openxmlformats.org/officeDocument/2006/relationships/image" Target="media/image3.jpg"/><Relationship Id="rId9" Type="http://schemas.openxmlformats.org/officeDocument/2006/relationships/image" Target="media/image6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W73Hvc5cJLy0MtzznpSiAx7AEg==">CgMxLjA4AHIhMTA3ZUFNR2dtcTA0dkJ4SlUtU05NdHp0SG8tMUllcTFt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