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5. Quality of life in studies comparing anticancer drugs to supportive care for advanced esophageal cancer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1350"/>
        <w:gridCol w:w="1245"/>
        <w:gridCol w:w="1965"/>
        <w:gridCol w:w="3135"/>
        <w:tblGridChange w:id="0">
          <w:tblGrid>
            <w:gridCol w:w="1320"/>
            <w:gridCol w:w="1350"/>
            <w:gridCol w:w="1245"/>
            <w:gridCol w:w="1965"/>
            <w:gridCol w:w="31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Intervention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Conclusion</w:t>
            </w:r>
          </w:p>
        </w:tc>
      </w:tr>
      <w:tr>
        <w:trPr>
          <w:cantSplit w:val="0"/>
          <w:trHeight w:val="3760.9570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Dutton 2014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BIO/TT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QLQ-C30; EORTC QLQ-OG25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treatment effect at 4 weeks for: Global QoL; QLQ-C30 function scores; QLQ-C30 and OG25 symptoms scores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difference adjusted mean Global QoL 2.69 (95% CI –2.33 to 7.72, n=231, p=0·293)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Ford 2014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QLQ-C30; EORTC QLQ-STO22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physical and social function and fatigue (QLQ-C30); eating restrictions and dysphagia (QLQ-STO22)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benefits for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docetaxel were seen in all pre-specified important domains, of which dysphagia was statistically significant (p=0·02), and for several exploratory domains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patients in the docetaxel group reported less general pain (p=0·0008), abdominal pain (p=0·01), nausea and vomiting (p=0·02), and constipation (p=0·02) than those in the control group, but similar global HRQoL (p=0·53)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Fuchs 2014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BIO/TT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patient-reported global quality of life 6 weeks after start of treatment initiation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larger proportion of those in the ramucirumab group reported stable or improved global quality of life than those in the placebo group (p=0·23)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Hall 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QLQ-C30; EQ-5D-3L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fatigue scale, global health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both QL and fatigue were non significantly better with chemotherapy than BSC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Kang 2019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BIO/TT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QLQ-C30; EORTC QLQ-STO22; EQ-5D-5L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change from baseline in Global QoL (EORTC QLQ-C30); change from baseline in EORTC QLQ-STO22 Score; change from baseline in EQ-5D-5L VAS Score; number of participants per QoL dimension response as measured by EQ-5D-5L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 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BIO/TT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QoL was assessed at baseline (7 days before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first dose of study drug), after cycles two and three, and every two cycles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thereafter until disease progression, death, or withdrawal of consent,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whichever occurred first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significant differences between the two groups at any time point with regard to QoL score for the different parameters of the EORTC QLQ-C30 (p &gt;0.05)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Ohtsu 2013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BIO/TT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 to definitive 5% deterioration in the global health status/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QoL and physical, social, and emotional functioning scales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trend for a slightly longer time to  5% deterioration in global QoL was observed for everolimus (median time to 5% deterioration, 1.51 months v 1.45 months; HR, 0.84; 95% CI, 0.69 to 1.03; P  .094).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 time and versus placebo, everolimus recipients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had higher mean scores for the global health status/QoL scale of the QLQ-C30 questionnaire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Pavlakis 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BIO/TT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QLQ-C30; EORTC QLQ-STO2218; EQ-5D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QLQ-C30 Global Health Subscale mean estimates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egorafenib versus placebo were 53 (95% CI, 48 to 58) versus 58 (95% CI, 51 to 65) at week 4 and 54 (95% CI, 48 to 60) versus 56 (95% CI, 45 to 67) at week 8, respectively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Shitara 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EORTC QLQ-C30; EORTC QLQ-ST022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QLQ-C30 Global Health Status (GHS) score, and subscale scores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QoL was maintained in TAGS, and there was a trend towards trifuridine/tipiracil reducing the risk of QoL deterioration compared with placebo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Xv9h8cbOwj6JHiea6z8QCLZA==">CgMxLjA4AHIhMXBHcHdiQ2ktVmg3NnFEUmdZTzZzRjNFQVRfOXhGYXlU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