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49CD0" w14:textId="77777777" w:rsidR="00E60F31" w:rsidRPr="00DC386A" w:rsidRDefault="00E60F31" w:rsidP="00E60F31">
      <w:pPr>
        <w:pStyle w:val="SMText"/>
        <w:ind w:firstLine="0"/>
      </w:pPr>
    </w:p>
    <w:p w14:paraId="5EF0B2F9" w14:textId="77777777" w:rsidR="00E60F31" w:rsidRPr="00DC386A" w:rsidRDefault="00E60F31" w:rsidP="00E60F31">
      <w:pPr>
        <w:pStyle w:val="SMcaption"/>
      </w:pPr>
      <w:r w:rsidRPr="00DC386A">
        <w:rPr>
          <w:b/>
          <w:bCs/>
          <w:noProof/>
        </w:rPr>
        <w:drawing>
          <wp:inline distT="0" distB="0" distL="0" distR="0" wp14:anchorId="13EF7589" wp14:editId="647CC7DB">
            <wp:extent cx="5943600" cy="3597910"/>
            <wp:effectExtent l="0" t="0" r="0" b="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EB60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  <w:r w:rsidRPr="00DC386A">
        <w:rPr>
          <w:b/>
          <w:bCs/>
        </w:rPr>
        <w:t>Figure S1: Development of the infant mycobiome and impact of diarrhea.</w:t>
      </w:r>
      <w:r w:rsidRPr="00DC386A">
        <w:t xml:space="preserve"> </w:t>
      </w:r>
      <w:r w:rsidRPr="00DC386A">
        <w:rPr>
          <w:bCs/>
          <w:color w:val="000000" w:themeColor="text1"/>
        </w:rPr>
        <w:t>(</w:t>
      </w:r>
      <w:r w:rsidRPr="00DC386A">
        <w:rPr>
          <w:b/>
          <w:color w:val="000000" w:themeColor="text1"/>
        </w:rPr>
        <w:t>A</w:t>
      </w:r>
      <w:r w:rsidRPr="00DC386A">
        <w:rPr>
          <w:bCs/>
          <w:color w:val="000000" w:themeColor="text1"/>
        </w:rPr>
        <w:t xml:space="preserve">) correlation between relative abundance and colony forming units equivalent measured by qPCR. </w:t>
      </w:r>
      <w:r w:rsidRPr="00DC386A">
        <w:rPr>
          <w:color w:val="000000" w:themeColor="text1"/>
        </w:rPr>
        <w:t>(</w:t>
      </w:r>
      <w:r w:rsidRPr="00DC386A">
        <w:rPr>
          <w:b/>
          <w:bCs/>
          <w:color w:val="000000" w:themeColor="text1"/>
        </w:rPr>
        <w:t>B</w:t>
      </w:r>
      <w:r w:rsidRPr="00DC386A">
        <w:rPr>
          <w:color w:val="000000" w:themeColor="text1"/>
        </w:rPr>
        <w:t xml:space="preserve">) </w:t>
      </w:r>
      <w:r w:rsidRPr="00DC386A">
        <w:rPr>
          <w:color w:val="000000"/>
        </w:rPr>
        <w:t>Stacked bar plot of fungal ITS taxonomy organized by time-point. Each vertical bar represents a single sample.</w:t>
      </w:r>
      <w:r w:rsidRPr="00DC386A">
        <w:rPr>
          <w:bCs/>
          <w:color w:val="000000" w:themeColor="text1"/>
        </w:rPr>
        <w:t xml:space="preserve"> (</w:t>
      </w:r>
      <w:r w:rsidRPr="00DC386A">
        <w:rPr>
          <w:b/>
          <w:color w:val="000000" w:themeColor="text1"/>
        </w:rPr>
        <w:t>C</w:t>
      </w:r>
      <w:r w:rsidRPr="00DC386A">
        <w:rPr>
          <w:bCs/>
          <w:color w:val="000000" w:themeColor="text1"/>
        </w:rPr>
        <w:t>) Principal coordinate analysis (</w:t>
      </w:r>
      <w:proofErr w:type="spellStart"/>
      <w:r w:rsidRPr="00DC386A">
        <w:rPr>
          <w:bCs/>
          <w:color w:val="000000" w:themeColor="text1"/>
        </w:rPr>
        <w:t>PCoA</w:t>
      </w:r>
      <w:proofErr w:type="spellEnd"/>
      <w:r w:rsidRPr="00DC386A">
        <w:rPr>
          <w:bCs/>
          <w:color w:val="000000" w:themeColor="text1"/>
        </w:rPr>
        <w:t xml:space="preserve">) of fecal mycobiome weighted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(ITS amplicon) colored by host status and timepoint. (</w:t>
      </w:r>
      <w:r w:rsidRPr="00DC386A">
        <w:rPr>
          <w:b/>
          <w:color w:val="000000" w:themeColor="text1"/>
        </w:rPr>
        <w:t>D</w:t>
      </w:r>
      <w:r w:rsidRPr="00DC386A">
        <w:rPr>
          <w:bCs/>
          <w:color w:val="000000" w:themeColor="text1"/>
        </w:rPr>
        <w:t xml:space="preserve">) </w:t>
      </w:r>
      <w:r w:rsidRPr="00DC386A">
        <w:rPr>
          <w:color w:val="000000" w:themeColor="text1"/>
        </w:rPr>
        <w:t xml:space="preserve">Violin plot of observed amplicon sequencing variants at each time point. </w:t>
      </w:r>
      <w:r w:rsidRPr="00DC386A">
        <w:rPr>
          <w:color w:val="000000"/>
        </w:rPr>
        <w:t>(</w:t>
      </w:r>
      <w:r w:rsidRPr="00DC386A">
        <w:rPr>
          <w:b/>
          <w:color w:val="000000"/>
        </w:rPr>
        <w:t>E</w:t>
      </w:r>
      <w:r w:rsidRPr="00DC386A">
        <w:rPr>
          <w:color w:val="000000"/>
        </w:rPr>
        <w:t xml:space="preserve">) </w:t>
      </w:r>
      <w:r w:rsidRPr="00DC386A">
        <w:rPr>
          <w:color w:val="000000" w:themeColor="text1"/>
        </w:rPr>
        <w:t>Differentially abundant taxa between healthy and sick samples at 6 and 12 months (</w:t>
      </w:r>
      <w:proofErr w:type="spellStart"/>
      <w:r w:rsidRPr="00DC386A">
        <w:rPr>
          <w:color w:val="000000" w:themeColor="text1"/>
        </w:rPr>
        <w:t>LEfSe</w:t>
      </w:r>
      <w:proofErr w:type="spellEnd"/>
      <w:r w:rsidRPr="00DC386A">
        <w:rPr>
          <w:color w:val="000000" w:themeColor="text1"/>
        </w:rPr>
        <w:t>, Log</w:t>
      </w:r>
      <w:r w:rsidRPr="00DC386A">
        <w:rPr>
          <w:color w:val="000000" w:themeColor="text1"/>
          <w:vertAlign w:val="subscript"/>
        </w:rPr>
        <w:t xml:space="preserve">10 </w:t>
      </w:r>
      <w:r w:rsidRPr="00DC386A">
        <w:rPr>
          <w:color w:val="000000" w:themeColor="text1"/>
        </w:rPr>
        <w:t>LDA score &gt; 2).</w:t>
      </w:r>
    </w:p>
    <w:p w14:paraId="7E689172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0CA0BEE0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0DC73F9D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2FE03244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46F53870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48830371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</w:p>
    <w:p w14:paraId="6527EF53" w14:textId="2EDCE2EE" w:rsidR="00E60F31" w:rsidRPr="00DC386A" w:rsidRDefault="0048444A" w:rsidP="0048444A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6AFA9A8D" wp14:editId="39AE6F82">
            <wp:extent cx="4883150" cy="8229600"/>
            <wp:effectExtent l="0" t="0" r="3810" b="0"/>
            <wp:docPr id="7" name="Picture 7" descr="A picture containing tex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24DC" w14:textId="77777777" w:rsidR="00E60F31" w:rsidRPr="00DC386A" w:rsidRDefault="00E60F31" w:rsidP="00E60F31">
      <w:pPr>
        <w:spacing w:line="480" w:lineRule="auto"/>
        <w:jc w:val="both"/>
        <w:rPr>
          <w:bCs/>
          <w:color w:val="000000" w:themeColor="text1"/>
        </w:rPr>
      </w:pPr>
      <w:r w:rsidRPr="00DC386A">
        <w:rPr>
          <w:b/>
          <w:bCs/>
        </w:rPr>
        <w:lastRenderedPageBreak/>
        <w:t xml:space="preserve">Figure S2: Vaccination against </w:t>
      </w:r>
      <w:r w:rsidRPr="00DC386A">
        <w:rPr>
          <w:b/>
          <w:bCs/>
          <w:i/>
          <w:iCs/>
        </w:rPr>
        <w:t>C. coli</w:t>
      </w:r>
      <w:r w:rsidRPr="00DC386A">
        <w:rPr>
          <w:b/>
          <w:bCs/>
        </w:rPr>
        <w:t xml:space="preserve"> does not impact microbiome maturation or mitigate impact of breakthrough diarrhea. </w:t>
      </w:r>
      <w:r w:rsidRPr="00DC386A">
        <w:t xml:space="preserve">Panels </w:t>
      </w:r>
      <w:r w:rsidRPr="00DC386A">
        <w:rPr>
          <w:b/>
          <w:bCs/>
        </w:rPr>
        <w:t>A-E</w:t>
      </w:r>
      <w:r w:rsidRPr="00DC386A">
        <w:t xml:space="preserve"> show data from infants that received a </w:t>
      </w:r>
      <w:r w:rsidRPr="00DC386A">
        <w:rPr>
          <w:i/>
          <w:iCs/>
        </w:rPr>
        <w:t>C. Coli</w:t>
      </w:r>
      <w:r w:rsidRPr="00DC386A">
        <w:t xml:space="preserve"> vaccine to show that vaccination alone did not drive the overall trends observed. Panels</w:t>
      </w:r>
      <w:r w:rsidRPr="00DC386A">
        <w:rPr>
          <w:b/>
          <w:bCs/>
        </w:rPr>
        <w:t xml:space="preserve"> F-J</w:t>
      </w:r>
      <w:r w:rsidRPr="00DC386A">
        <w:t xml:space="preserve"> show data from all infants, both vaccinated and unvaccinated, whose dams were not vaccinated, to illustrate that maternal vaccination had no impact on the observed trends.</w:t>
      </w:r>
      <w:r w:rsidRPr="00DC386A">
        <w:rPr>
          <w:b/>
          <w:bCs/>
        </w:rPr>
        <w:t xml:space="preserve"> </w:t>
      </w:r>
      <w:r w:rsidRPr="00DC386A">
        <w:t>(</w:t>
      </w:r>
      <w:r w:rsidRPr="00DC386A">
        <w:rPr>
          <w:b/>
          <w:bCs/>
        </w:rPr>
        <w:t>A</w:t>
      </w:r>
      <w:r w:rsidRPr="00DC386A">
        <w:t>)</w:t>
      </w:r>
      <w:r w:rsidRPr="00DC386A">
        <w:rPr>
          <w:b/>
          <w:bCs/>
        </w:rPr>
        <w:t xml:space="preserve"> </w:t>
      </w:r>
      <w:r w:rsidRPr="00DC386A">
        <w:rPr>
          <w:bCs/>
          <w:color w:val="000000" w:themeColor="text1"/>
        </w:rPr>
        <w:t>Principal coordinate analysis (</w:t>
      </w:r>
      <w:proofErr w:type="spellStart"/>
      <w:r w:rsidRPr="00DC386A">
        <w:rPr>
          <w:bCs/>
          <w:color w:val="000000" w:themeColor="text1"/>
        </w:rPr>
        <w:t>PCoA</w:t>
      </w:r>
      <w:proofErr w:type="spellEnd"/>
      <w:r w:rsidRPr="00DC386A">
        <w:rPr>
          <w:bCs/>
          <w:color w:val="000000" w:themeColor="text1"/>
        </w:rPr>
        <w:t xml:space="preserve">) of fecal microbiome unweighted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(16S amplicon), colored by host status and timepoint. Small points represent individual samples while larger points represent the centroid for a given timepoint/host status. Solid lines connecting centroids illustrate the developmental trajectory of both healthy and sick infants. (</w:t>
      </w:r>
      <w:r w:rsidRPr="00DC386A">
        <w:rPr>
          <w:b/>
          <w:color w:val="000000" w:themeColor="text1"/>
        </w:rPr>
        <w:t>B</w:t>
      </w:r>
      <w:r w:rsidRPr="00DC386A">
        <w:rPr>
          <w:bCs/>
          <w:color w:val="000000" w:themeColor="text1"/>
        </w:rPr>
        <w:t xml:space="preserve">) Bar plot of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between dams and each infant timepoint/health status. (</w:t>
      </w:r>
      <w:r w:rsidRPr="00DC386A">
        <w:rPr>
          <w:b/>
          <w:bCs/>
          <w:color w:val="000000" w:themeColor="text1"/>
        </w:rPr>
        <w:t>C</w:t>
      </w:r>
      <w:r w:rsidRPr="00DC386A">
        <w:rPr>
          <w:bCs/>
          <w:color w:val="000000" w:themeColor="text1"/>
        </w:rPr>
        <w:t xml:space="preserve">) Bar plot of within group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for each infant group. (</w:t>
      </w:r>
      <w:r w:rsidRPr="00DC386A">
        <w:rPr>
          <w:b/>
          <w:color w:val="000000" w:themeColor="text1"/>
        </w:rPr>
        <w:t>D</w:t>
      </w:r>
      <w:r w:rsidRPr="00DC386A">
        <w:rPr>
          <w:bCs/>
          <w:color w:val="000000" w:themeColor="text1"/>
        </w:rPr>
        <w:t>) Longitudinal measurements of Faith’s phylogenetic diversity, in healthy and sick infants connecting lines colored by host status. (</w:t>
      </w:r>
      <w:r w:rsidRPr="00DC386A">
        <w:rPr>
          <w:b/>
          <w:color w:val="000000" w:themeColor="text1"/>
        </w:rPr>
        <w:t>E</w:t>
      </w:r>
      <w:r w:rsidRPr="00DC386A">
        <w:rPr>
          <w:bCs/>
          <w:color w:val="000000" w:themeColor="text1"/>
        </w:rPr>
        <w:t xml:space="preserve">) Longitudinal measurements of </w:t>
      </w:r>
      <w:r w:rsidRPr="00DC386A">
        <w:rPr>
          <w:bCs/>
          <w:i/>
          <w:iCs/>
          <w:color w:val="000000" w:themeColor="text1"/>
        </w:rPr>
        <w:t>Campylobacter</w:t>
      </w:r>
      <w:r w:rsidRPr="00DC386A">
        <w:rPr>
          <w:bCs/>
          <w:color w:val="000000" w:themeColor="text1"/>
        </w:rPr>
        <w:t xml:space="preserve"> relative abundance, in healthy and sick infants connecting lines colored by host status. </w:t>
      </w:r>
      <w:r w:rsidRPr="00DC386A">
        <w:t>(</w:t>
      </w:r>
      <w:r w:rsidRPr="00DC386A">
        <w:rPr>
          <w:b/>
          <w:bCs/>
        </w:rPr>
        <w:t>F</w:t>
      </w:r>
      <w:r w:rsidRPr="00DC386A">
        <w:t>)</w:t>
      </w:r>
      <w:r w:rsidRPr="00DC386A">
        <w:rPr>
          <w:b/>
          <w:bCs/>
        </w:rPr>
        <w:t xml:space="preserve"> </w:t>
      </w:r>
      <w:r w:rsidRPr="00DC386A">
        <w:rPr>
          <w:bCs/>
          <w:color w:val="000000" w:themeColor="text1"/>
        </w:rPr>
        <w:t>Principal coordinate analysis (</w:t>
      </w:r>
      <w:proofErr w:type="spellStart"/>
      <w:r w:rsidRPr="00DC386A">
        <w:rPr>
          <w:bCs/>
          <w:color w:val="000000" w:themeColor="text1"/>
        </w:rPr>
        <w:t>PcoA</w:t>
      </w:r>
      <w:proofErr w:type="spellEnd"/>
      <w:r w:rsidRPr="00DC386A">
        <w:rPr>
          <w:bCs/>
          <w:color w:val="000000" w:themeColor="text1"/>
        </w:rPr>
        <w:t xml:space="preserve">) of fecal microbiome unweighted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(16S amplicon), colored by host status and timepoint. Small points represent individual samples while larger points represent the centroid for a given timepoint/host status. Solid lines connecting centroids illustrate the developmental trajectory of both healthy and sick infants. (</w:t>
      </w:r>
      <w:r w:rsidRPr="00DC386A">
        <w:rPr>
          <w:b/>
          <w:color w:val="000000" w:themeColor="text1"/>
        </w:rPr>
        <w:t>G</w:t>
      </w:r>
      <w:r w:rsidRPr="00DC386A">
        <w:rPr>
          <w:bCs/>
          <w:color w:val="000000" w:themeColor="text1"/>
        </w:rPr>
        <w:t xml:space="preserve">) Bar plot of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between dams and each infant timepoint/health status. (</w:t>
      </w:r>
      <w:r w:rsidRPr="00DC386A">
        <w:rPr>
          <w:b/>
          <w:color w:val="000000" w:themeColor="text1"/>
        </w:rPr>
        <w:t>H</w:t>
      </w:r>
      <w:r w:rsidRPr="00DC386A">
        <w:rPr>
          <w:bCs/>
          <w:color w:val="000000" w:themeColor="text1"/>
        </w:rPr>
        <w:t xml:space="preserve">) Bar plot of within group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distance for each infant group. (</w:t>
      </w:r>
      <w:r w:rsidRPr="00DC386A">
        <w:rPr>
          <w:b/>
          <w:color w:val="000000" w:themeColor="text1"/>
        </w:rPr>
        <w:t>I</w:t>
      </w:r>
      <w:r w:rsidRPr="00DC386A">
        <w:rPr>
          <w:bCs/>
          <w:color w:val="000000" w:themeColor="text1"/>
        </w:rPr>
        <w:t>) Longitudinal measurements of Faith’s phylogenetic diversity, in healthy and sick infants connecting lines colored by host status. (</w:t>
      </w:r>
      <w:r w:rsidRPr="00DC386A">
        <w:rPr>
          <w:b/>
          <w:color w:val="000000" w:themeColor="text1"/>
        </w:rPr>
        <w:t>J</w:t>
      </w:r>
      <w:r w:rsidRPr="00DC386A">
        <w:rPr>
          <w:bCs/>
          <w:color w:val="000000" w:themeColor="text1"/>
        </w:rPr>
        <w:t xml:space="preserve">) Longitudinal measurements of </w:t>
      </w:r>
      <w:r w:rsidRPr="00DC386A">
        <w:rPr>
          <w:bCs/>
          <w:i/>
          <w:iCs/>
          <w:color w:val="000000" w:themeColor="text1"/>
        </w:rPr>
        <w:t>Campylobacter</w:t>
      </w:r>
      <w:r w:rsidRPr="00DC386A">
        <w:rPr>
          <w:bCs/>
          <w:color w:val="000000" w:themeColor="text1"/>
        </w:rPr>
        <w:t xml:space="preserve"> relative abundance, in healthy and sick infants connecting lines colored by host status. Significance for B, C, G, and H was determined using 1-way ANOVA **** p &lt; 0.0001, with Holm-</w:t>
      </w:r>
      <w:proofErr w:type="spellStart"/>
      <w:r w:rsidRPr="00DC386A">
        <w:rPr>
          <w:bCs/>
          <w:color w:val="000000" w:themeColor="text1"/>
        </w:rPr>
        <w:t>Sidak’s</w:t>
      </w:r>
      <w:proofErr w:type="spellEnd"/>
      <w:r w:rsidRPr="00DC386A">
        <w:rPr>
          <w:bCs/>
          <w:color w:val="000000" w:themeColor="text1"/>
        </w:rPr>
        <w:t xml:space="preserve"> multiple comparison test, **** p &lt; 0.0001, </w:t>
      </w:r>
      <w:r w:rsidRPr="00DC386A">
        <w:rPr>
          <w:bCs/>
          <w:color w:val="000000" w:themeColor="text1"/>
        </w:rPr>
        <w:lastRenderedPageBreak/>
        <w:t>error bars = SEM.  Significance for D, E, I and J was determined using unpaired T-test at each time-point, *p &lt;0.05, **p &lt; 0.01, ***p &lt; 0.001, error bars = SEM.</w:t>
      </w:r>
    </w:p>
    <w:p w14:paraId="6E33E05D" w14:textId="77777777" w:rsidR="00E60F31" w:rsidRPr="00DC386A" w:rsidRDefault="00E60F31" w:rsidP="00E60F31">
      <w:r w:rsidRPr="00DC386A">
        <w:br w:type="page"/>
      </w:r>
    </w:p>
    <w:p w14:paraId="573344D2" w14:textId="77777777" w:rsidR="00E60F31" w:rsidRPr="00DC386A" w:rsidRDefault="00E60F31" w:rsidP="00E60F31">
      <w:pPr>
        <w:pStyle w:val="SMcaption"/>
      </w:pPr>
      <w:r w:rsidRPr="00DC386A">
        <w:rPr>
          <w:b/>
          <w:bCs/>
          <w:noProof/>
        </w:rPr>
        <w:lastRenderedPageBreak/>
        <w:drawing>
          <wp:inline distT="0" distB="0" distL="0" distR="0" wp14:anchorId="5ACFB042" wp14:editId="6CA9BD53">
            <wp:extent cx="5943600" cy="7072630"/>
            <wp:effectExtent l="0" t="0" r="0" b="1270"/>
            <wp:docPr id="4" name="Picture 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42200" w14:textId="77777777" w:rsidR="00E60F31" w:rsidRPr="00DC386A" w:rsidRDefault="00E60F31" w:rsidP="00E60F31">
      <w:pPr>
        <w:spacing w:line="480" w:lineRule="auto"/>
        <w:jc w:val="both"/>
        <w:rPr>
          <w:color w:val="000000" w:themeColor="text1"/>
        </w:rPr>
      </w:pPr>
      <w:r w:rsidRPr="00DC386A">
        <w:rPr>
          <w:b/>
          <w:bCs/>
        </w:rPr>
        <w:t xml:space="preserve">Figure S3: The maternal microbiome as a predictor of infant diarrhea. </w:t>
      </w:r>
      <w:r w:rsidRPr="00DC386A">
        <w:rPr>
          <w:bCs/>
          <w:color w:val="000000" w:themeColor="text1"/>
        </w:rPr>
        <w:t>(</w:t>
      </w:r>
      <w:r w:rsidRPr="00DC386A">
        <w:rPr>
          <w:b/>
          <w:color w:val="000000" w:themeColor="text1"/>
        </w:rPr>
        <w:t>A</w:t>
      </w:r>
      <w:r w:rsidRPr="00DC386A">
        <w:rPr>
          <w:bCs/>
          <w:color w:val="000000" w:themeColor="text1"/>
        </w:rPr>
        <w:t>) Principal coordinate analysis (</w:t>
      </w:r>
      <w:proofErr w:type="spellStart"/>
      <w:r w:rsidRPr="00DC386A">
        <w:rPr>
          <w:bCs/>
          <w:color w:val="000000" w:themeColor="text1"/>
        </w:rPr>
        <w:t>PCoA</w:t>
      </w:r>
      <w:proofErr w:type="spellEnd"/>
      <w:r w:rsidRPr="00DC386A">
        <w:rPr>
          <w:bCs/>
          <w:color w:val="000000" w:themeColor="text1"/>
        </w:rPr>
        <w:t xml:space="preserve">) of fecal microbiome weighted </w:t>
      </w:r>
      <w:proofErr w:type="spellStart"/>
      <w:r w:rsidRPr="00DC386A">
        <w:rPr>
          <w:bCs/>
          <w:color w:val="000000" w:themeColor="text1"/>
        </w:rPr>
        <w:t>UniFrac</w:t>
      </w:r>
      <w:proofErr w:type="spellEnd"/>
      <w:r w:rsidRPr="00DC386A">
        <w:rPr>
          <w:bCs/>
          <w:color w:val="000000" w:themeColor="text1"/>
        </w:rPr>
        <w:t xml:space="preserve"> dissimilarity (16S amplicon) from maternal samples collected at infant age 1-month, colored by infant status. (</w:t>
      </w:r>
      <w:r w:rsidRPr="00DC386A">
        <w:rPr>
          <w:b/>
          <w:color w:val="000000" w:themeColor="text1"/>
        </w:rPr>
        <w:t>B</w:t>
      </w:r>
      <w:r w:rsidRPr="00DC386A">
        <w:rPr>
          <w:bCs/>
          <w:color w:val="000000" w:themeColor="text1"/>
        </w:rPr>
        <w:t xml:space="preserve">) </w:t>
      </w:r>
      <w:r w:rsidRPr="00DC386A">
        <w:rPr>
          <w:color w:val="000000" w:themeColor="text1"/>
        </w:rPr>
        <w:t xml:space="preserve">Differentially </w:t>
      </w:r>
      <w:r w:rsidRPr="00DC386A">
        <w:rPr>
          <w:color w:val="000000" w:themeColor="text1"/>
        </w:rPr>
        <w:lastRenderedPageBreak/>
        <w:t>abundant taxa (16S amplicon) between mothers of healthy and sick infants (</w:t>
      </w:r>
      <w:proofErr w:type="spellStart"/>
      <w:r w:rsidRPr="00DC386A">
        <w:rPr>
          <w:color w:val="000000" w:themeColor="text1"/>
        </w:rPr>
        <w:t>LEfSe</w:t>
      </w:r>
      <w:proofErr w:type="spellEnd"/>
      <w:r w:rsidRPr="00DC386A">
        <w:rPr>
          <w:color w:val="000000" w:themeColor="text1"/>
        </w:rPr>
        <w:t>, Log</w:t>
      </w:r>
      <w:r w:rsidRPr="00DC386A">
        <w:rPr>
          <w:color w:val="000000" w:themeColor="text1"/>
          <w:vertAlign w:val="subscript"/>
        </w:rPr>
        <w:t xml:space="preserve">10 </w:t>
      </w:r>
      <w:r w:rsidRPr="00DC386A">
        <w:rPr>
          <w:color w:val="000000" w:themeColor="text1"/>
        </w:rPr>
        <w:t>LDA score &gt; 2). (</w:t>
      </w:r>
      <w:r w:rsidRPr="00DC386A">
        <w:rPr>
          <w:b/>
          <w:bCs/>
          <w:color w:val="000000" w:themeColor="text1"/>
        </w:rPr>
        <w:t>C</w:t>
      </w:r>
      <w:r w:rsidRPr="00DC386A">
        <w:rPr>
          <w:color w:val="000000" w:themeColor="text1"/>
        </w:rPr>
        <w:t xml:space="preserve">) </w:t>
      </w:r>
      <w:proofErr w:type="spellStart"/>
      <w:r w:rsidRPr="00DC386A">
        <w:t>PcoA</w:t>
      </w:r>
      <w:proofErr w:type="spellEnd"/>
      <w:r w:rsidRPr="00DC386A">
        <w:t xml:space="preserve"> of Bray-</w:t>
      </w:r>
      <w:proofErr w:type="gramStart"/>
      <w:r w:rsidRPr="00DC386A">
        <w:t>Curtis</w:t>
      </w:r>
      <w:proofErr w:type="gramEnd"/>
      <w:r w:rsidRPr="00DC386A">
        <w:t xml:space="preserve"> dissimilarity built on the species level taxonomy generated using </w:t>
      </w:r>
      <w:proofErr w:type="spellStart"/>
      <w:r w:rsidRPr="00DC386A">
        <w:t>MetaPhlAn</w:t>
      </w:r>
      <w:proofErr w:type="spellEnd"/>
      <w:r w:rsidRPr="00DC386A">
        <w:t xml:space="preserve"> and </w:t>
      </w:r>
      <w:r w:rsidRPr="00DC386A">
        <w:rPr>
          <w:bCs/>
          <w:color w:val="000000" w:themeColor="text1"/>
        </w:rPr>
        <w:t>colored by infant status. (</w:t>
      </w:r>
      <w:r w:rsidRPr="00DC386A">
        <w:rPr>
          <w:b/>
          <w:color w:val="000000" w:themeColor="text1"/>
        </w:rPr>
        <w:t>D</w:t>
      </w:r>
      <w:r w:rsidRPr="00DC386A">
        <w:rPr>
          <w:bCs/>
          <w:color w:val="000000" w:themeColor="text1"/>
        </w:rPr>
        <w:t xml:space="preserve">) </w:t>
      </w:r>
      <w:r w:rsidRPr="00DC386A">
        <w:rPr>
          <w:color w:val="000000" w:themeColor="text1"/>
        </w:rPr>
        <w:t>Differentially abundant species (</w:t>
      </w:r>
      <w:proofErr w:type="spellStart"/>
      <w:r w:rsidRPr="00DC386A">
        <w:rPr>
          <w:color w:val="000000" w:themeColor="text1"/>
        </w:rPr>
        <w:t>MetaPhlAn</w:t>
      </w:r>
      <w:proofErr w:type="spellEnd"/>
      <w:r w:rsidRPr="00DC386A">
        <w:rPr>
          <w:color w:val="000000" w:themeColor="text1"/>
        </w:rPr>
        <w:t>) between mothers of healthy and sick infants (</w:t>
      </w:r>
      <w:proofErr w:type="spellStart"/>
      <w:r w:rsidRPr="00DC386A">
        <w:rPr>
          <w:color w:val="000000" w:themeColor="text1"/>
        </w:rPr>
        <w:t>LEfSe</w:t>
      </w:r>
      <w:proofErr w:type="spellEnd"/>
      <w:r w:rsidRPr="00DC386A">
        <w:rPr>
          <w:color w:val="000000" w:themeColor="text1"/>
        </w:rPr>
        <w:t>, Log</w:t>
      </w:r>
      <w:r w:rsidRPr="00DC386A">
        <w:rPr>
          <w:color w:val="000000" w:themeColor="text1"/>
          <w:vertAlign w:val="subscript"/>
        </w:rPr>
        <w:t xml:space="preserve">10 </w:t>
      </w:r>
      <w:r w:rsidRPr="00DC386A">
        <w:rPr>
          <w:color w:val="000000" w:themeColor="text1"/>
        </w:rPr>
        <w:t>LDA score &gt; 2). (</w:t>
      </w:r>
      <w:r w:rsidRPr="00DC386A">
        <w:rPr>
          <w:b/>
          <w:bCs/>
          <w:color w:val="000000" w:themeColor="text1"/>
        </w:rPr>
        <w:t>E</w:t>
      </w:r>
      <w:r w:rsidRPr="00DC386A">
        <w:rPr>
          <w:color w:val="000000" w:themeColor="text1"/>
        </w:rPr>
        <w:t xml:space="preserve">) </w:t>
      </w:r>
      <w:proofErr w:type="spellStart"/>
      <w:r w:rsidRPr="00DC386A">
        <w:t>PCoA</w:t>
      </w:r>
      <w:proofErr w:type="spellEnd"/>
      <w:r w:rsidRPr="00DC386A">
        <w:t xml:space="preserve"> of Bray-</w:t>
      </w:r>
      <w:proofErr w:type="gramStart"/>
      <w:r w:rsidRPr="00DC386A">
        <w:t>Curtis</w:t>
      </w:r>
      <w:proofErr w:type="gramEnd"/>
      <w:r w:rsidRPr="00DC386A">
        <w:t xml:space="preserve"> dissimilarity built on the abundance of all functional genes annotated using HUMAnN3 and the Uniref90 database</w:t>
      </w:r>
      <w:r w:rsidRPr="00DC386A">
        <w:rPr>
          <w:bCs/>
          <w:color w:val="000000" w:themeColor="text1"/>
        </w:rPr>
        <w:t xml:space="preserve"> colored </w:t>
      </w:r>
      <w:proofErr w:type="spellStart"/>
      <w:r w:rsidRPr="00DC386A">
        <w:rPr>
          <w:bCs/>
          <w:color w:val="000000" w:themeColor="text1"/>
        </w:rPr>
        <w:t>colored</w:t>
      </w:r>
      <w:proofErr w:type="spellEnd"/>
      <w:r w:rsidRPr="00DC386A">
        <w:rPr>
          <w:bCs/>
          <w:color w:val="000000" w:themeColor="text1"/>
        </w:rPr>
        <w:t xml:space="preserve"> by infant status. (</w:t>
      </w:r>
      <w:r w:rsidRPr="00DC386A">
        <w:rPr>
          <w:b/>
          <w:color w:val="000000" w:themeColor="text1"/>
        </w:rPr>
        <w:t>F</w:t>
      </w:r>
      <w:r w:rsidRPr="00DC386A">
        <w:rPr>
          <w:bCs/>
          <w:color w:val="000000" w:themeColor="text1"/>
        </w:rPr>
        <w:t xml:space="preserve">) </w:t>
      </w:r>
      <w:r w:rsidRPr="00DC386A">
        <w:rPr>
          <w:color w:val="000000" w:themeColor="text1"/>
        </w:rPr>
        <w:t xml:space="preserve">Differentially abundant </w:t>
      </w:r>
      <w:proofErr w:type="spellStart"/>
      <w:r w:rsidRPr="00DC386A">
        <w:rPr>
          <w:color w:val="000000" w:themeColor="text1"/>
        </w:rPr>
        <w:t>MetaCyc</w:t>
      </w:r>
      <w:proofErr w:type="spellEnd"/>
      <w:r w:rsidRPr="00DC386A">
        <w:rPr>
          <w:color w:val="000000" w:themeColor="text1"/>
        </w:rPr>
        <w:t xml:space="preserve"> pathways between mothers of healthy and sick infants (</w:t>
      </w:r>
      <w:proofErr w:type="spellStart"/>
      <w:r w:rsidRPr="00DC386A">
        <w:rPr>
          <w:color w:val="000000" w:themeColor="text1"/>
        </w:rPr>
        <w:t>LEfSe</w:t>
      </w:r>
      <w:proofErr w:type="spellEnd"/>
      <w:r w:rsidRPr="00DC386A">
        <w:rPr>
          <w:color w:val="000000" w:themeColor="text1"/>
        </w:rPr>
        <w:t>, Log</w:t>
      </w:r>
      <w:r w:rsidRPr="00DC386A">
        <w:rPr>
          <w:color w:val="000000" w:themeColor="text1"/>
          <w:vertAlign w:val="subscript"/>
        </w:rPr>
        <w:t xml:space="preserve">10 </w:t>
      </w:r>
      <w:r w:rsidRPr="00DC386A">
        <w:rPr>
          <w:color w:val="000000" w:themeColor="text1"/>
        </w:rPr>
        <w:t>LDA score &gt; 2).</w:t>
      </w:r>
    </w:p>
    <w:p w14:paraId="1EF9418E" w14:textId="77777777" w:rsidR="00E60F31" w:rsidRPr="00DC386A" w:rsidRDefault="00E60F31" w:rsidP="00E60F31">
      <w:r w:rsidRPr="00DC386A">
        <w:br w:type="page"/>
      </w:r>
    </w:p>
    <w:p w14:paraId="5B54991C" w14:textId="77777777" w:rsidR="00E60F31" w:rsidRPr="00DC386A" w:rsidRDefault="00E60F31" w:rsidP="00E60F31">
      <w:pPr>
        <w:pStyle w:val="SMcaption"/>
      </w:pPr>
      <w:r w:rsidRPr="00DC386A">
        <w:rPr>
          <w:b/>
          <w:bCs/>
          <w:noProof/>
        </w:rPr>
        <w:lastRenderedPageBreak/>
        <w:drawing>
          <wp:inline distT="0" distB="0" distL="0" distR="0" wp14:anchorId="46D101D4" wp14:editId="5B3FF26A">
            <wp:extent cx="5943600" cy="4265295"/>
            <wp:effectExtent l="0" t="0" r="0" b="190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2ADAC" w14:textId="77777777" w:rsidR="00E60F31" w:rsidRPr="00DC386A" w:rsidRDefault="00E60F31" w:rsidP="00E60F31">
      <w:pPr>
        <w:spacing w:line="480" w:lineRule="auto"/>
        <w:jc w:val="both"/>
        <w:rPr>
          <w:bCs/>
          <w:color w:val="000000" w:themeColor="text1"/>
        </w:rPr>
      </w:pPr>
      <w:r w:rsidRPr="00DC386A">
        <w:rPr>
          <w:b/>
          <w:bCs/>
        </w:rPr>
        <w:t xml:space="preserve">Figure S4: Functional and taxonomic development of the healthy infant microbiome. </w:t>
      </w:r>
      <w:r w:rsidRPr="00DC386A">
        <w:t>(</w:t>
      </w:r>
      <w:r w:rsidRPr="00DC386A">
        <w:rPr>
          <w:b/>
          <w:bCs/>
        </w:rPr>
        <w:t>A</w:t>
      </w:r>
      <w:r w:rsidRPr="00DC386A">
        <w:t xml:space="preserve">) </w:t>
      </w:r>
      <w:proofErr w:type="spellStart"/>
      <w:r w:rsidRPr="00DC386A">
        <w:t>PCoA</w:t>
      </w:r>
      <w:proofErr w:type="spellEnd"/>
      <w:r w:rsidRPr="00DC386A">
        <w:t xml:space="preserve"> of Bray-</w:t>
      </w:r>
      <w:proofErr w:type="gramStart"/>
      <w:r w:rsidRPr="00DC386A">
        <w:t>Curtis</w:t>
      </w:r>
      <w:proofErr w:type="gramEnd"/>
      <w:r w:rsidRPr="00DC386A">
        <w:t xml:space="preserve"> dissimilarity built on the abundance of all functional genes annotated using HUMAnN3 and the Uniref90 database</w:t>
      </w:r>
      <w:r w:rsidRPr="00DC386A">
        <w:rPr>
          <w:bCs/>
          <w:color w:val="000000" w:themeColor="text1"/>
        </w:rPr>
        <w:t xml:space="preserve"> colored by and timepoint including only healthy infants and dams. (</w:t>
      </w:r>
      <w:r w:rsidRPr="00DC386A">
        <w:rPr>
          <w:b/>
          <w:color w:val="000000" w:themeColor="text1"/>
        </w:rPr>
        <w:t>B</w:t>
      </w:r>
      <w:r w:rsidRPr="00DC386A">
        <w:rPr>
          <w:bCs/>
          <w:color w:val="000000" w:themeColor="text1"/>
        </w:rPr>
        <w:t xml:space="preserve">) </w:t>
      </w:r>
      <w:r w:rsidRPr="00DC386A">
        <w:rPr>
          <w:color w:val="000000" w:themeColor="text1"/>
        </w:rPr>
        <w:t xml:space="preserve">Differentially abundant </w:t>
      </w:r>
      <w:proofErr w:type="spellStart"/>
      <w:r w:rsidRPr="00DC386A">
        <w:rPr>
          <w:color w:val="000000" w:themeColor="text1"/>
        </w:rPr>
        <w:t>MetaCyc</w:t>
      </w:r>
      <w:proofErr w:type="spellEnd"/>
      <w:r w:rsidRPr="00DC386A">
        <w:rPr>
          <w:color w:val="000000" w:themeColor="text1"/>
        </w:rPr>
        <w:t xml:space="preserve"> pathway between time-points including only healthy animals (</w:t>
      </w:r>
      <w:proofErr w:type="spellStart"/>
      <w:r w:rsidRPr="00DC386A">
        <w:rPr>
          <w:color w:val="000000" w:themeColor="text1"/>
        </w:rPr>
        <w:t>LEfSe</w:t>
      </w:r>
      <w:proofErr w:type="spellEnd"/>
      <w:r w:rsidRPr="00DC386A">
        <w:rPr>
          <w:color w:val="000000" w:themeColor="text1"/>
        </w:rPr>
        <w:t>, Log</w:t>
      </w:r>
      <w:r w:rsidRPr="00DC386A">
        <w:rPr>
          <w:color w:val="000000" w:themeColor="text1"/>
          <w:vertAlign w:val="subscript"/>
        </w:rPr>
        <w:t xml:space="preserve">10 </w:t>
      </w:r>
      <w:r w:rsidRPr="00DC386A">
        <w:rPr>
          <w:color w:val="000000" w:themeColor="text1"/>
        </w:rPr>
        <w:t>LDA score &gt; 2). (</w:t>
      </w:r>
      <w:r w:rsidRPr="00DC386A">
        <w:rPr>
          <w:b/>
          <w:color w:val="000000" w:themeColor="text1"/>
        </w:rPr>
        <w:t>C</w:t>
      </w:r>
      <w:r w:rsidRPr="00DC386A">
        <w:rPr>
          <w:color w:val="000000" w:themeColor="text1"/>
        </w:rPr>
        <w:t>)</w:t>
      </w:r>
      <w:r w:rsidRPr="00DC386A">
        <w:rPr>
          <w:b/>
          <w:color w:val="000000" w:themeColor="text1"/>
        </w:rPr>
        <w:t xml:space="preserve"> </w:t>
      </w:r>
      <w:proofErr w:type="spellStart"/>
      <w:r w:rsidRPr="00DC386A">
        <w:t>PCoA</w:t>
      </w:r>
      <w:proofErr w:type="spellEnd"/>
      <w:r w:rsidRPr="00DC386A">
        <w:t xml:space="preserve"> of Bray-</w:t>
      </w:r>
      <w:proofErr w:type="gramStart"/>
      <w:r w:rsidRPr="00DC386A">
        <w:t>Curtis</w:t>
      </w:r>
      <w:proofErr w:type="gramEnd"/>
      <w:r w:rsidRPr="00DC386A">
        <w:t xml:space="preserve"> dissimilarity built on the species level taxonomy generated using </w:t>
      </w:r>
      <w:proofErr w:type="spellStart"/>
      <w:r w:rsidRPr="00DC386A">
        <w:t>MetaPhlAn</w:t>
      </w:r>
      <w:proofErr w:type="spellEnd"/>
      <w:r w:rsidRPr="00DC386A">
        <w:t xml:space="preserve"> and </w:t>
      </w:r>
      <w:r w:rsidRPr="00DC386A">
        <w:rPr>
          <w:bCs/>
          <w:color w:val="000000" w:themeColor="text1"/>
        </w:rPr>
        <w:t>colored by timepoint including only healthy infants. (</w:t>
      </w:r>
      <w:r w:rsidRPr="00DC386A">
        <w:rPr>
          <w:b/>
          <w:color w:val="000000" w:themeColor="text1"/>
        </w:rPr>
        <w:t>D</w:t>
      </w:r>
      <w:r w:rsidRPr="00DC386A">
        <w:rPr>
          <w:bCs/>
          <w:color w:val="000000" w:themeColor="text1"/>
        </w:rPr>
        <w:t>) Longitudinal average plot of key bacterial species across time-points in healthy infants.</w:t>
      </w:r>
    </w:p>
    <w:p w14:paraId="4B4D8BE8" w14:textId="77777777" w:rsidR="00E60F31" w:rsidRPr="00DC386A" w:rsidRDefault="00E60F31" w:rsidP="00E60F31">
      <w:r w:rsidRPr="00DC386A">
        <w:br w:type="page"/>
      </w:r>
    </w:p>
    <w:p w14:paraId="78FD16C0" w14:textId="77777777" w:rsidR="00E60F31" w:rsidRPr="00DC386A" w:rsidRDefault="00E60F31" w:rsidP="00E60F31">
      <w:pPr>
        <w:pStyle w:val="SMcaption"/>
      </w:pPr>
      <w:r w:rsidRPr="00DC386A">
        <w:rPr>
          <w:b/>
          <w:bCs/>
          <w:noProof/>
        </w:rPr>
        <w:lastRenderedPageBreak/>
        <w:drawing>
          <wp:inline distT="0" distB="0" distL="0" distR="0" wp14:anchorId="3F43A287" wp14:editId="20BEDC9A">
            <wp:extent cx="5943600" cy="7078345"/>
            <wp:effectExtent l="0" t="0" r="0" b="0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EAAEE" w14:textId="77777777" w:rsidR="00E60F31" w:rsidRPr="00DC386A" w:rsidRDefault="00E60F31" w:rsidP="00E60F31">
      <w:pPr>
        <w:pStyle w:val="SMcaption"/>
        <w:spacing w:line="480" w:lineRule="auto"/>
      </w:pPr>
      <w:r w:rsidRPr="00DC386A">
        <w:rPr>
          <w:b/>
          <w:bCs/>
        </w:rPr>
        <w:t>Figure S5:</w:t>
      </w:r>
      <w:r w:rsidRPr="00DC386A">
        <w:t xml:space="preserve"> </w:t>
      </w:r>
      <w:r w:rsidRPr="00DC386A">
        <w:rPr>
          <w:b/>
          <w:bCs/>
        </w:rPr>
        <w:t>UMG-3 lacks motility genes and adhesion/invasion genes are conserved within but not between species.</w:t>
      </w:r>
      <w:r w:rsidRPr="00DC386A">
        <w:t xml:space="preserve"> (</w:t>
      </w:r>
      <w:r w:rsidRPr="00DC386A">
        <w:rPr>
          <w:b/>
          <w:bCs/>
        </w:rPr>
        <w:t>A</w:t>
      </w:r>
      <w:r w:rsidRPr="00DC386A">
        <w:t xml:space="preserve">) Prevalence heatmap of genes associated with flagellar assembly, </w:t>
      </w:r>
      <w:r w:rsidRPr="00DC386A">
        <w:lastRenderedPageBreak/>
        <w:t>chemotaxis, and host adhesion. (</w:t>
      </w:r>
      <w:r w:rsidRPr="00DC386A">
        <w:rPr>
          <w:b/>
          <w:bCs/>
        </w:rPr>
        <w:t>B</w:t>
      </w:r>
      <w:r w:rsidRPr="00DC386A">
        <w:t xml:space="preserve">, </w:t>
      </w:r>
      <w:r w:rsidRPr="00DC386A">
        <w:rPr>
          <w:b/>
          <w:bCs/>
        </w:rPr>
        <w:t>C</w:t>
      </w:r>
      <w:r w:rsidRPr="00DC386A">
        <w:t xml:space="preserve">) Phylogeny built on the amino acid alignment of the adhesion gene </w:t>
      </w:r>
      <w:proofErr w:type="spellStart"/>
      <w:r w:rsidRPr="00DC386A">
        <w:t>cadF</w:t>
      </w:r>
      <w:proofErr w:type="spellEnd"/>
      <w:r w:rsidRPr="00DC386A">
        <w:t xml:space="preserve"> (</w:t>
      </w:r>
      <w:r w:rsidRPr="00DC386A">
        <w:rPr>
          <w:b/>
          <w:bCs/>
        </w:rPr>
        <w:t>B</w:t>
      </w:r>
      <w:r w:rsidRPr="00DC386A">
        <w:t xml:space="preserve">) and the </w:t>
      </w:r>
      <w:r w:rsidRPr="00DC386A">
        <w:rPr>
          <w:i/>
          <w:iCs/>
        </w:rPr>
        <w:t>Campylobacter</w:t>
      </w:r>
      <w:r w:rsidRPr="00DC386A">
        <w:t xml:space="preserve"> invasion antigen gene </w:t>
      </w:r>
      <w:proofErr w:type="spellStart"/>
      <w:r w:rsidRPr="00DC386A">
        <w:t>ciaB</w:t>
      </w:r>
      <w:proofErr w:type="spellEnd"/>
      <w:r w:rsidRPr="00DC386A">
        <w:t xml:space="preserve"> (</w:t>
      </w:r>
      <w:r w:rsidRPr="00DC386A">
        <w:rPr>
          <w:b/>
          <w:bCs/>
        </w:rPr>
        <w:t>C</w:t>
      </w:r>
      <w:r w:rsidRPr="00DC386A">
        <w:t>).</w:t>
      </w:r>
    </w:p>
    <w:p w14:paraId="105530F3" w14:textId="77777777" w:rsidR="00500899" w:rsidRDefault="00500899"/>
    <w:sectPr w:rsidR="00500899" w:rsidSect="00E853D5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FABE5" w14:textId="77777777" w:rsidR="00BD04E4" w:rsidRDefault="00BD04E4" w:rsidP="00E60F31">
      <w:r>
        <w:separator/>
      </w:r>
    </w:p>
  </w:endnote>
  <w:endnote w:type="continuationSeparator" w:id="0">
    <w:p w14:paraId="66F0726B" w14:textId="77777777" w:rsidR="00BD04E4" w:rsidRDefault="00BD04E4" w:rsidP="00E6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10181151"/>
      <w:docPartObj>
        <w:docPartGallery w:val="Page Numbers (Bottom of Page)"/>
        <w:docPartUnique/>
      </w:docPartObj>
    </w:sdtPr>
    <w:sdtContent>
      <w:p w14:paraId="6A41D122" w14:textId="12170317" w:rsidR="00E60F31" w:rsidRDefault="00E60F31" w:rsidP="004F2F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363951" w14:textId="77777777" w:rsidR="00E60F31" w:rsidRDefault="00E60F31" w:rsidP="00E60F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5884650"/>
      <w:docPartObj>
        <w:docPartGallery w:val="Page Numbers (Bottom of Page)"/>
        <w:docPartUnique/>
      </w:docPartObj>
    </w:sdtPr>
    <w:sdtContent>
      <w:p w14:paraId="7F35269A" w14:textId="23FB34BE" w:rsidR="00E60F31" w:rsidRDefault="00E60F31" w:rsidP="004F2F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CB241D" w14:textId="77777777" w:rsidR="00E60F31" w:rsidRDefault="00E60F31" w:rsidP="00E60F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A926" w14:textId="77777777" w:rsidR="00BD04E4" w:rsidRDefault="00BD04E4" w:rsidP="00E60F31">
      <w:r>
        <w:separator/>
      </w:r>
    </w:p>
  </w:footnote>
  <w:footnote w:type="continuationSeparator" w:id="0">
    <w:p w14:paraId="331E9862" w14:textId="77777777" w:rsidR="00BD04E4" w:rsidRDefault="00BD04E4" w:rsidP="00E60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31"/>
    <w:rsid w:val="001568DC"/>
    <w:rsid w:val="001D6D47"/>
    <w:rsid w:val="001E5EEE"/>
    <w:rsid w:val="002101A7"/>
    <w:rsid w:val="002618E4"/>
    <w:rsid w:val="00340FC4"/>
    <w:rsid w:val="0037100C"/>
    <w:rsid w:val="003E2AB6"/>
    <w:rsid w:val="00471276"/>
    <w:rsid w:val="0048444A"/>
    <w:rsid w:val="004854F9"/>
    <w:rsid w:val="00486D75"/>
    <w:rsid w:val="004F6018"/>
    <w:rsid w:val="00500899"/>
    <w:rsid w:val="00593CF8"/>
    <w:rsid w:val="007C21A9"/>
    <w:rsid w:val="00802726"/>
    <w:rsid w:val="008A6962"/>
    <w:rsid w:val="008C2848"/>
    <w:rsid w:val="008D76D4"/>
    <w:rsid w:val="00974EE7"/>
    <w:rsid w:val="00975CDE"/>
    <w:rsid w:val="009926F4"/>
    <w:rsid w:val="009B06E9"/>
    <w:rsid w:val="009B0E9B"/>
    <w:rsid w:val="009D36BD"/>
    <w:rsid w:val="00A131E6"/>
    <w:rsid w:val="00A1507A"/>
    <w:rsid w:val="00A62534"/>
    <w:rsid w:val="00B2310F"/>
    <w:rsid w:val="00B40F9B"/>
    <w:rsid w:val="00B41459"/>
    <w:rsid w:val="00B432C2"/>
    <w:rsid w:val="00BD04E4"/>
    <w:rsid w:val="00C07DB1"/>
    <w:rsid w:val="00C136A7"/>
    <w:rsid w:val="00C54C3F"/>
    <w:rsid w:val="00C63C96"/>
    <w:rsid w:val="00C80597"/>
    <w:rsid w:val="00C84B6E"/>
    <w:rsid w:val="00CE59FA"/>
    <w:rsid w:val="00D34C21"/>
    <w:rsid w:val="00D76E10"/>
    <w:rsid w:val="00E60F31"/>
    <w:rsid w:val="00EA4838"/>
    <w:rsid w:val="00F619A5"/>
    <w:rsid w:val="00F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40968"/>
  <w15:chartTrackingRefBased/>
  <w15:docId w15:val="{6E481E48-7473-6848-AFAB-15C4CCE3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31"/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F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E60F31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E60F31"/>
    <w:pPr>
      <w:ind w:firstLine="480"/>
    </w:pPr>
  </w:style>
  <w:style w:type="paragraph" w:customStyle="1" w:styleId="SMcaption">
    <w:name w:val="SM caption"/>
    <w:basedOn w:val="SMText"/>
    <w:qFormat/>
    <w:rsid w:val="00E60F31"/>
    <w:pPr>
      <w:ind w:firstLine="0"/>
    </w:pPr>
  </w:style>
  <w:style w:type="paragraph" w:customStyle="1" w:styleId="PubInfo">
    <w:name w:val="PubInfo"/>
    <w:basedOn w:val="Normal"/>
    <w:qFormat/>
    <w:rsid w:val="00E60F31"/>
    <w:pPr>
      <w:suppressAutoHyphens/>
      <w:jc w:val="center"/>
    </w:pPr>
    <w:rPr>
      <w:sz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E60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60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1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60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Cinco, Isaac R.</dc:creator>
  <cp:keywords/>
  <dc:description/>
  <cp:lastModifiedBy>Cinco, Isaac R.</cp:lastModifiedBy>
  <cp:revision>4</cp:revision>
  <cp:lastPrinted>2023-05-23T20:03:00Z</cp:lastPrinted>
  <dcterms:created xsi:type="dcterms:W3CDTF">2023-05-23T20:03:00Z</dcterms:created>
  <dcterms:modified xsi:type="dcterms:W3CDTF">2023-06-22T19:19:00Z</dcterms:modified>
</cp:coreProperties>
</file>