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6D24F" w14:textId="77777777" w:rsidR="00B411B0" w:rsidRDefault="009D3310" w:rsidP="00B752CB">
      <w:pPr>
        <w:pStyle w:val="Titel"/>
        <w:keepNext/>
        <w:jc w:val="center"/>
        <w:rPr>
          <w:lang w:val="en-GB"/>
        </w:rPr>
      </w:pPr>
      <w:r w:rsidRPr="00DB482A">
        <w:rPr>
          <w:lang w:val="en-GB"/>
        </w:rPr>
        <w:t xml:space="preserve">Supplementary </w:t>
      </w:r>
      <w:r w:rsidR="00563C4C" w:rsidRPr="00DB482A">
        <w:rPr>
          <w:lang w:val="en-GB"/>
        </w:rPr>
        <w:t>Ma</w:t>
      </w:r>
      <w:r w:rsidR="00EA7A58" w:rsidRPr="00DB482A">
        <w:rPr>
          <w:lang w:val="en-GB"/>
        </w:rPr>
        <w:t>terial</w:t>
      </w:r>
    </w:p>
    <w:p w14:paraId="28C289EB" w14:textId="77777777" w:rsidR="00B411B0" w:rsidRDefault="00B411B0" w:rsidP="00B411B0">
      <w:pPr>
        <w:pStyle w:val="Titel"/>
        <w:keepNext/>
        <w:jc w:val="center"/>
      </w:pPr>
      <w:r>
        <w:rPr>
          <w:noProof/>
        </w:rPr>
        <w:drawing>
          <wp:inline distT="0" distB="0" distL="0" distR="0" wp14:anchorId="6D9FE8B7" wp14:editId="7279B6FF">
            <wp:extent cx="5159816" cy="5080188"/>
            <wp:effectExtent l="0" t="0" r="3810" b="0"/>
            <wp:docPr id="689047084" name="Grafik 689047084" descr="Ein Bild, das Text, Diagramm, Entwurf, technische Zeichnun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pic:nvPicPr>
                  <pic:blipFill>
                    <a:blip r:embed="rId8">
                      <a:extLst>
                        <a:ext uri="{28A0092B-C50C-407E-A947-70E740481C1C}">
                          <a14:useLocalDpi xmlns:a14="http://schemas.microsoft.com/office/drawing/2010/main" val="0"/>
                        </a:ext>
                      </a:extLst>
                    </a:blip>
                    <a:stretch>
                      <a:fillRect/>
                    </a:stretch>
                  </pic:blipFill>
                  <pic:spPr>
                    <a:xfrm>
                      <a:off x="0" y="0"/>
                      <a:ext cx="5159816" cy="5080188"/>
                    </a:xfrm>
                    <a:prstGeom prst="rect">
                      <a:avLst/>
                    </a:prstGeom>
                  </pic:spPr>
                </pic:pic>
              </a:graphicData>
            </a:graphic>
          </wp:inline>
        </w:drawing>
      </w:r>
    </w:p>
    <w:p w14:paraId="57F10C51" w14:textId="6A34072C" w:rsidR="00B411B0" w:rsidRPr="00FC1850" w:rsidRDefault="00B411B0" w:rsidP="00B411B0">
      <w:pPr>
        <w:pStyle w:val="Beschriftung"/>
        <w:jc w:val="both"/>
        <w:rPr>
          <w:i w:val="0"/>
          <w:iCs w:val="0"/>
          <w:color w:val="auto"/>
          <w:lang w:val="en-GB"/>
        </w:rPr>
      </w:pPr>
      <w:r w:rsidRPr="00C433EB">
        <w:rPr>
          <w:b/>
          <w:bCs/>
          <w:i w:val="0"/>
          <w:iCs w:val="0"/>
          <w:color w:val="auto"/>
          <w:lang w:val="en-GB"/>
        </w:rPr>
        <w:t xml:space="preserve">Suppl. Figure </w:t>
      </w:r>
      <w:r w:rsidRPr="00C433EB">
        <w:rPr>
          <w:b/>
          <w:bCs/>
          <w:i w:val="0"/>
          <w:iCs w:val="0"/>
          <w:color w:val="auto"/>
        </w:rPr>
        <w:fldChar w:fldCharType="begin"/>
      </w:r>
      <w:r w:rsidRPr="00C433EB">
        <w:rPr>
          <w:b/>
          <w:bCs/>
          <w:i w:val="0"/>
          <w:iCs w:val="0"/>
          <w:color w:val="auto"/>
          <w:lang w:val="en-GB"/>
        </w:rPr>
        <w:instrText xml:space="preserve"> SEQ Suppl._Figure \* ARABIC </w:instrText>
      </w:r>
      <w:r w:rsidRPr="00C433EB">
        <w:rPr>
          <w:b/>
          <w:bCs/>
          <w:i w:val="0"/>
          <w:iCs w:val="0"/>
          <w:color w:val="auto"/>
        </w:rPr>
        <w:fldChar w:fldCharType="separate"/>
      </w:r>
      <w:r w:rsidRPr="00C433EB">
        <w:rPr>
          <w:b/>
          <w:bCs/>
          <w:i w:val="0"/>
          <w:iCs w:val="0"/>
          <w:noProof/>
          <w:color w:val="auto"/>
          <w:lang w:val="en-GB"/>
        </w:rPr>
        <w:t>1</w:t>
      </w:r>
      <w:r w:rsidRPr="00C433EB">
        <w:rPr>
          <w:b/>
          <w:bCs/>
          <w:i w:val="0"/>
          <w:iCs w:val="0"/>
          <w:color w:val="auto"/>
        </w:rPr>
        <w:fldChar w:fldCharType="end"/>
      </w:r>
      <w:r w:rsidRPr="00C433EB">
        <w:rPr>
          <w:b/>
          <w:bCs/>
          <w:i w:val="0"/>
          <w:iCs w:val="0"/>
          <w:color w:val="auto"/>
          <w:lang w:val="en-GB"/>
        </w:rPr>
        <w:t xml:space="preserve">: </w:t>
      </w:r>
      <w:r w:rsidR="00C433EB" w:rsidRPr="00C433EB">
        <w:rPr>
          <w:b/>
          <w:bCs/>
          <w:i w:val="0"/>
          <w:iCs w:val="0"/>
          <w:color w:val="auto"/>
          <w:lang w:val="en-GB"/>
        </w:rPr>
        <w:t>Associations of the number of observed species with demographic data.</w:t>
      </w:r>
      <w:r w:rsidR="009753BF">
        <w:rPr>
          <w:b/>
          <w:bCs/>
          <w:i w:val="0"/>
          <w:iCs w:val="0"/>
          <w:color w:val="auto"/>
          <w:lang w:val="en-GB"/>
        </w:rPr>
        <w:t xml:space="preserve"> </w:t>
      </w:r>
      <w:r w:rsidR="00187C5E">
        <w:rPr>
          <w:b/>
          <w:bCs/>
          <w:i w:val="0"/>
          <w:iCs w:val="0"/>
          <w:color w:val="auto"/>
          <w:lang w:val="en-GB"/>
        </w:rPr>
        <w:t>Reads were rarefied to common depth</w:t>
      </w:r>
      <w:r w:rsidR="00BF47E9">
        <w:rPr>
          <w:b/>
          <w:bCs/>
          <w:i w:val="0"/>
          <w:iCs w:val="0"/>
          <w:color w:val="auto"/>
          <w:lang w:val="en-GB"/>
        </w:rPr>
        <w:t xml:space="preserve">. </w:t>
      </w:r>
      <w:r w:rsidR="00BC43D9">
        <w:rPr>
          <w:b/>
          <w:bCs/>
          <w:i w:val="0"/>
          <w:iCs w:val="0"/>
          <w:color w:val="auto"/>
          <w:lang w:val="en-GB"/>
        </w:rPr>
        <w:t xml:space="preserve">a, </w:t>
      </w:r>
      <w:r w:rsidR="005626DA">
        <w:rPr>
          <w:i w:val="0"/>
          <w:iCs w:val="0"/>
          <w:color w:val="auto"/>
          <w:lang w:val="en-GB"/>
        </w:rPr>
        <w:t xml:space="preserve">Age in years and the BMI were correlated </w:t>
      </w:r>
      <w:r w:rsidR="00612905">
        <w:rPr>
          <w:i w:val="0"/>
          <w:iCs w:val="0"/>
          <w:color w:val="auto"/>
          <w:lang w:val="en-GB"/>
        </w:rPr>
        <w:t xml:space="preserve">using spearman </w:t>
      </w:r>
      <w:r w:rsidR="005626DA">
        <w:rPr>
          <w:i w:val="0"/>
          <w:iCs w:val="0"/>
          <w:color w:val="auto"/>
          <w:lang w:val="en-GB"/>
        </w:rPr>
        <w:t>with the number of uniquely observed species</w:t>
      </w:r>
      <w:r w:rsidR="0065580E">
        <w:rPr>
          <w:i w:val="0"/>
          <w:iCs w:val="0"/>
          <w:color w:val="auto"/>
          <w:lang w:val="en-GB"/>
        </w:rPr>
        <w:t xml:space="preserve">. </w:t>
      </w:r>
      <w:r w:rsidR="00612905">
        <w:rPr>
          <w:b/>
          <w:i w:val="0"/>
          <w:iCs w:val="0"/>
          <w:color w:val="auto"/>
          <w:lang w:val="en-GB"/>
        </w:rPr>
        <w:t xml:space="preserve">b, </w:t>
      </w:r>
      <w:r w:rsidR="00612905">
        <w:rPr>
          <w:i w:val="0"/>
          <w:iCs w:val="0"/>
          <w:color w:val="auto"/>
          <w:lang w:val="en-GB"/>
        </w:rPr>
        <w:t>Weekly Showering frequency</w:t>
      </w:r>
      <w:r w:rsidR="001A13F3">
        <w:rPr>
          <w:i w:val="0"/>
          <w:iCs w:val="0"/>
          <w:color w:val="auto"/>
          <w:lang w:val="en-GB"/>
        </w:rPr>
        <w:t xml:space="preserve">. </w:t>
      </w:r>
      <w:proofErr w:type="spellStart"/>
      <w:r w:rsidR="001A13F3">
        <w:rPr>
          <w:i w:val="0"/>
          <w:iCs w:val="0"/>
          <w:color w:val="auto"/>
          <w:lang w:val="en-GB"/>
        </w:rPr>
        <w:t>Wk</w:t>
      </w:r>
      <w:proofErr w:type="spellEnd"/>
      <w:r w:rsidR="001A13F3">
        <w:rPr>
          <w:i w:val="0"/>
          <w:iCs w:val="0"/>
          <w:color w:val="auto"/>
          <w:lang w:val="en-GB"/>
        </w:rPr>
        <w:t xml:space="preserve"> = weekly. </w:t>
      </w:r>
      <w:r w:rsidR="00780218">
        <w:rPr>
          <w:i w:val="0"/>
          <w:iCs w:val="0"/>
          <w:color w:val="auto"/>
          <w:lang w:val="en-GB"/>
        </w:rPr>
        <w:t>Kruskal-Wallis test</w:t>
      </w:r>
      <w:r w:rsidR="007D1E9E">
        <w:rPr>
          <w:i w:val="0"/>
          <w:iCs w:val="0"/>
          <w:color w:val="auto"/>
          <w:lang w:val="en-GB"/>
        </w:rPr>
        <w:t>, n = 32</w:t>
      </w:r>
      <w:r w:rsidR="001A13F3">
        <w:rPr>
          <w:i w:val="0"/>
          <w:iCs w:val="0"/>
          <w:color w:val="auto"/>
          <w:lang w:val="en-GB"/>
        </w:rPr>
        <w:t xml:space="preserve"> </w:t>
      </w:r>
      <w:r w:rsidR="001A13F3">
        <w:rPr>
          <w:b/>
          <w:i w:val="0"/>
          <w:iCs w:val="0"/>
          <w:color w:val="auto"/>
          <w:lang w:val="en-GB"/>
        </w:rPr>
        <w:t xml:space="preserve">c, </w:t>
      </w:r>
      <w:r w:rsidR="00F8742B">
        <w:rPr>
          <w:i w:val="0"/>
          <w:iCs w:val="0"/>
          <w:color w:val="auto"/>
          <w:lang w:val="en-GB"/>
        </w:rPr>
        <w:t>Sex-related differences, Mann Whitney test</w:t>
      </w:r>
      <w:r w:rsidR="007D1E9E">
        <w:rPr>
          <w:i w:val="0"/>
          <w:iCs w:val="0"/>
          <w:color w:val="auto"/>
          <w:lang w:val="en-GB"/>
        </w:rPr>
        <w:t>, n = 32</w:t>
      </w:r>
      <w:r w:rsidR="00FC1850">
        <w:rPr>
          <w:i w:val="0"/>
          <w:iCs w:val="0"/>
          <w:color w:val="auto"/>
          <w:lang w:val="en-GB"/>
        </w:rPr>
        <w:t xml:space="preserve"> </w:t>
      </w:r>
      <w:r w:rsidR="00FC1850">
        <w:rPr>
          <w:b/>
          <w:i w:val="0"/>
          <w:iCs w:val="0"/>
          <w:color w:val="auto"/>
          <w:lang w:val="en-GB"/>
        </w:rPr>
        <w:t xml:space="preserve">d, </w:t>
      </w:r>
      <w:r w:rsidR="00FC1850">
        <w:rPr>
          <w:i w:val="0"/>
          <w:iCs w:val="0"/>
          <w:color w:val="auto"/>
          <w:lang w:val="en-GB"/>
        </w:rPr>
        <w:t>Differences between study sites</w:t>
      </w:r>
      <w:r w:rsidR="00780218">
        <w:rPr>
          <w:i w:val="0"/>
          <w:iCs w:val="0"/>
          <w:color w:val="auto"/>
          <w:lang w:val="en-GB"/>
        </w:rPr>
        <w:t>, FFM = Fran</w:t>
      </w:r>
      <w:r w:rsidR="007D1E9E">
        <w:rPr>
          <w:i w:val="0"/>
          <w:iCs w:val="0"/>
          <w:color w:val="auto"/>
          <w:lang w:val="en-GB"/>
        </w:rPr>
        <w:t>kfurt am Main, Germany. Mann Whitney test, n = 32.</w:t>
      </w:r>
    </w:p>
    <w:p w14:paraId="4C8E121D" w14:textId="59DEEB2D" w:rsidR="00B752CB" w:rsidRPr="00DB482A" w:rsidRDefault="00B04A24" w:rsidP="00B752CB">
      <w:pPr>
        <w:pStyle w:val="Titel"/>
        <w:keepNext/>
        <w:jc w:val="center"/>
        <w:rPr>
          <w:lang w:val="en-GB"/>
        </w:rPr>
      </w:pPr>
      <w:r w:rsidRPr="00DB482A">
        <w:rPr>
          <w:noProof/>
          <w:lang w:eastAsia="de-DE"/>
        </w:rPr>
        <w:lastRenderedPageBreak/>
        <w:drawing>
          <wp:inline distT="0" distB="0" distL="0" distR="0" wp14:anchorId="71BB9A44" wp14:editId="5FEBC327">
            <wp:extent cx="6526146" cy="3226280"/>
            <wp:effectExtent l="0" t="0" r="825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6536567" cy="3231432"/>
                    </a:xfrm>
                    <a:prstGeom prst="rect">
                      <a:avLst/>
                    </a:prstGeom>
                  </pic:spPr>
                </pic:pic>
              </a:graphicData>
            </a:graphic>
          </wp:inline>
        </w:drawing>
      </w:r>
    </w:p>
    <w:p w14:paraId="0159BFAD" w14:textId="4894DDF2" w:rsidR="004274A1" w:rsidRPr="00465BA7" w:rsidRDefault="04C8F1CA" w:rsidP="00B752CB">
      <w:pPr>
        <w:pStyle w:val="Beschriftung"/>
        <w:rPr>
          <w:b/>
          <w:bCs/>
          <w:i w:val="0"/>
          <w:iCs w:val="0"/>
          <w:color w:val="auto"/>
          <w:lang w:val="en-GB"/>
        </w:rPr>
      </w:pPr>
      <w:r w:rsidRPr="00465BA7">
        <w:rPr>
          <w:b/>
          <w:bCs/>
          <w:i w:val="0"/>
          <w:iCs w:val="0"/>
          <w:color w:val="auto"/>
          <w:lang w:val="en-GB"/>
        </w:rPr>
        <w:t xml:space="preserve">Suppl. Figure </w:t>
      </w:r>
      <w:r w:rsidR="00B752CB" w:rsidRPr="00465BA7">
        <w:rPr>
          <w:b/>
          <w:bCs/>
          <w:i w:val="0"/>
          <w:iCs w:val="0"/>
          <w:color w:val="auto"/>
          <w:lang w:val="en-GB"/>
        </w:rPr>
        <w:fldChar w:fldCharType="begin"/>
      </w:r>
      <w:r w:rsidR="00B752CB" w:rsidRPr="00465BA7">
        <w:rPr>
          <w:b/>
          <w:bCs/>
          <w:i w:val="0"/>
          <w:iCs w:val="0"/>
          <w:color w:val="auto"/>
          <w:lang w:val="en-GB"/>
        </w:rPr>
        <w:instrText xml:space="preserve"> SEQ Suppl._Figure \* ARABIC </w:instrText>
      </w:r>
      <w:r w:rsidR="00B752CB" w:rsidRPr="00465BA7">
        <w:rPr>
          <w:b/>
          <w:bCs/>
          <w:i w:val="0"/>
          <w:iCs w:val="0"/>
          <w:color w:val="auto"/>
          <w:lang w:val="en-GB"/>
        </w:rPr>
        <w:fldChar w:fldCharType="separate"/>
      </w:r>
      <w:r w:rsidR="00B411B0">
        <w:rPr>
          <w:b/>
          <w:bCs/>
          <w:i w:val="0"/>
          <w:iCs w:val="0"/>
          <w:noProof/>
          <w:color w:val="auto"/>
          <w:lang w:val="en-GB"/>
        </w:rPr>
        <w:t>2</w:t>
      </w:r>
      <w:r w:rsidR="00B752CB" w:rsidRPr="00465BA7">
        <w:rPr>
          <w:b/>
          <w:bCs/>
          <w:i w:val="0"/>
          <w:iCs w:val="0"/>
          <w:color w:val="auto"/>
          <w:lang w:val="en-GB"/>
        </w:rPr>
        <w:fldChar w:fldCharType="end"/>
      </w:r>
      <w:r w:rsidRPr="00465BA7">
        <w:rPr>
          <w:b/>
          <w:bCs/>
          <w:i w:val="0"/>
          <w:iCs w:val="0"/>
          <w:color w:val="auto"/>
          <w:lang w:val="en-GB"/>
        </w:rPr>
        <w:t xml:space="preserve">: Expression levels of AMPs stratified to ΔSA-positive and ΔSA-negative subgroups. </w:t>
      </w:r>
    </w:p>
    <w:p w14:paraId="0BB92E94" w14:textId="3E50EBA3" w:rsidR="00BA1252" w:rsidRDefault="00BA1252" w:rsidP="001929C1">
      <w:pPr>
        <w:jc w:val="both"/>
        <w:rPr>
          <w:lang w:val="en-GB"/>
        </w:rPr>
        <w:sectPr w:rsidR="00BA1252">
          <w:footerReference w:type="default" r:id="rId10"/>
          <w:pgSz w:w="11906" w:h="16838"/>
          <w:pgMar w:top="1417" w:right="1417" w:bottom="1134" w:left="1417" w:header="708" w:footer="708" w:gutter="0"/>
          <w:cols w:space="708"/>
          <w:docGrid w:linePitch="360"/>
        </w:sectPr>
      </w:pPr>
    </w:p>
    <w:p w14:paraId="244ECC80" w14:textId="167E70C7" w:rsidR="00BA1252" w:rsidRPr="00BA1252" w:rsidRDefault="00BA1252" w:rsidP="00BA1252">
      <w:pPr>
        <w:rPr>
          <w:lang w:val="en-GB"/>
        </w:rPr>
      </w:pPr>
    </w:p>
    <w:p w14:paraId="03928B52" w14:textId="77777777" w:rsidR="00BA1252" w:rsidRDefault="00BA1252" w:rsidP="00BA1252">
      <w:pPr>
        <w:keepNext/>
      </w:pPr>
      <w:r>
        <w:rPr>
          <w:noProof/>
          <w:lang w:eastAsia="de-DE"/>
        </w:rPr>
        <w:drawing>
          <wp:inline distT="0" distB="0" distL="0" distR="0" wp14:anchorId="4DBF2332" wp14:editId="41CDDAD2">
            <wp:extent cx="9405420" cy="3762375"/>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neUsage_TRBV_StageSaureus_segment_count.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414445" cy="3765985"/>
                    </a:xfrm>
                    <a:prstGeom prst="rect">
                      <a:avLst/>
                    </a:prstGeom>
                  </pic:spPr>
                </pic:pic>
              </a:graphicData>
            </a:graphic>
          </wp:inline>
        </w:drawing>
      </w:r>
    </w:p>
    <w:p w14:paraId="6B1AFADB" w14:textId="012F089F" w:rsidR="009D3310" w:rsidRPr="002949AC" w:rsidRDefault="00BA1252" w:rsidP="00BA1252">
      <w:pPr>
        <w:pStyle w:val="Beschriftung"/>
        <w:rPr>
          <w:i w:val="0"/>
          <w:iCs w:val="0"/>
          <w:color w:val="auto"/>
          <w:lang w:val="en-GB"/>
        </w:rPr>
      </w:pPr>
      <w:r w:rsidRPr="002949AC">
        <w:rPr>
          <w:b/>
          <w:i w:val="0"/>
          <w:iCs w:val="0"/>
          <w:color w:val="auto"/>
          <w:lang w:val="en-GB"/>
        </w:rPr>
        <w:t xml:space="preserve">Suppl. Figure </w:t>
      </w:r>
      <w:r w:rsidR="268DE1DE" w:rsidRPr="268DE1DE">
        <w:rPr>
          <w:b/>
          <w:bCs/>
          <w:i w:val="0"/>
          <w:iCs w:val="0"/>
          <w:color w:val="auto"/>
          <w:lang w:val="en-GB"/>
        </w:rPr>
        <w:t>3</w:t>
      </w:r>
      <w:r w:rsidRPr="002949AC">
        <w:rPr>
          <w:b/>
          <w:i w:val="0"/>
          <w:iCs w:val="0"/>
          <w:color w:val="auto"/>
          <w:lang w:val="en-GB"/>
        </w:rPr>
        <w:t xml:space="preserve">: TRBV Gene Usage of the TCR repertoire stratified to </w:t>
      </w:r>
      <w:proofErr w:type="spellStart"/>
      <w:r w:rsidRPr="002949AC">
        <w:rPr>
          <w:b/>
          <w:i w:val="0"/>
          <w:iCs w:val="0"/>
          <w:color w:val="auto"/>
          <w:lang w:val="en-GB"/>
        </w:rPr>
        <w:t>lesional</w:t>
      </w:r>
      <w:proofErr w:type="spellEnd"/>
      <w:r w:rsidRPr="002949AC">
        <w:rPr>
          <w:b/>
          <w:i w:val="0"/>
          <w:iCs w:val="0"/>
          <w:color w:val="auto"/>
          <w:lang w:val="en-GB"/>
        </w:rPr>
        <w:t xml:space="preserve"> stages and </w:t>
      </w:r>
      <w:r w:rsidRPr="002949AC">
        <w:rPr>
          <w:b/>
          <w:color w:val="auto"/>
          <w:lang w:val="en-GB"/>
        </w:rPr>
        <w:t>S. aureus</w:t>
      </w:r>
      <w:r w:rsidR="7279B6FF" w:rsidRPr="7279B6FF">
        <w:rPr>
          <w:b/>
          <w:bCs/>
          <w:color w:val="auto"/>
          <w:lang w:val="en-GB"/>
        </w:rPr>
        <w:t xml:space="preserve"> </w:t>
      </w:r>
      <w:r w:rsidR="7279B6FF" w:rsidRPr="7279B6FF">
        <w:rPr>
          <w:b/>
          <w:bCs/>
          <w:i w:val="0"/>
          <w:iCs w:val="0"/>
          <w:color w:val="auto"/>
          <w:lang w:val="en-GB"/>
        </w:rPr>
        <w:t>status</w:t>
      </w:r>
      <w:r w:rsidRPr="002949AC">
        <w:rPr>
          <w:b/>
          <w:i w:val="0"/>
          <w:iCs w:val="0"/>
          <w:color w:val="auto"/>
          <w:lang w:val="en-GB"/>
        </w:rPr>
        <w:t>.</w:t>
      </w:r>
      <w:r w:rsidRPr="002949AC">
        <w:rPr>
          <w:i w:val="0"/>
          <w:iCs w:val="0"/>
          <w:color w:val="auto"/>
          <w:lang w:val="en-GB"/>
        </w:rPr>
        <w:t xml:space="preserve"> TRBV5-1 is heavily reduced in Plaques with S. aureus. TRBV5-1 was linked to being tumour infiltrating lymphocytes by another investigation </w:t>
      </w:r>
      <w:r w:rsidR="0020103A">
        <w:rPr>
          <w:i w:val="0"/>
          <w:iCs w:val="0"/>
          <w:color w:val="auto"/>
          <w:lang w:val="en-GB"/>
        </w:rPr>
        <w:fldChar w:fldCharType="begin" w:fldLock="1"/>
      </w:r>
      <w:r w:rsidR="00B5135E">
        <w:rPr>
          <w:i w:val="0"/>
          <w:iCs w:val="0"/>
          <w:color w:val="auto"/>
          <w:lang w:val="en-GB"/>
        </w:rPr>
        <w:instrText>ADDIN CSL_CITATION {"citationItems":[{"id":"ITEM-1","itemData":{"DOI":"10.1182/bloodadvances.2018027482","ISSN":"2473-9529","abstract":"Whole-exome sequencing allows simultaneous identification of recombined TCRα, TCRβ, and TCRγ sequences and their expression. Tumor cell percentage calculated using exome data eliminates the need for arbitrary thresholds for reactive T-cell contamination in samples.","author":[{"dropping-particle":"","family":"Iyer","given":"Aishwarya","non-dropping-particle":"","parse-names":false,"suffix":""},{"dropping-particle":"","family":"Hennessey","given":"Dylan","non-dropping-particle":"","parse-names":false,"suffix":""},{"dropping-particle":"","family":"O’Keefe","given":"Sandra","non-dropping-particle":"","parse-names":false,"suffix":""},{"dropping-particle":"","family":"Patterson","given":"Jordan","non-dropping-particle":"","parse-names":false,"suffix":""},{"dropping-particle":"","family":"Wang","given":"Weiwei","non-dropping-particle":"","parse-names":false,"suffix":""},{"dropping-particle":"","family":"Salopek","given":"Thomas","non-dropping-particle":"","parse-names":false,"suffix":""},{"dropping-particle":"","family":"Wong","given":"Gane Ka-Shu","non-dropping-particle":"","parse-names":false,"suffix":""},{"dropping-particle":"","family":"Gniadecki","given":"Robert","non-dropping-particle":"","parse-names":false,"suffix":""}],"container-title":"Blood Advances","id":"ITEM-1","issue":"7","issued":{"date-parts":[["2019","4","9"]]},"page":"1175-1184","title":"Clonotypic heterogeneity in cutaneous T-cell lymphoma (mycosis fungoides) revealed by comprehensive whole-exome sequencing","type":"article-journal","volume":"3"},"uris":["http://www.mendeley.com/documents/?uuid=9cdf059c-d33d-4d9d-8cdf-965d96b4154f"]}],"mendeley":{"formattedCitation":"[1]","plainTextFormattedCitation":"[1]","previouslyFormattedCitation":"[1]"},"properties":{"noteIndex":0},"schema":"https://github.com/citation-style-language/schema/raw/master/csl-citation.json"}</w:instrText>
      </w:r>
      <w:r w:rsidR="0020103A">
        <w:rPr>
          <w:i w:val="0"/>
          <w:iCs w:val="0"/>
          <w:color w:val="auto"/>
          <w:lang w:val="en-GB"/>
        </w:rPr>
        <w:fldChar w:fldCharType="separate"/>
      </w:r>
      <w:r w:rsidR="00B5135E" w:rsidRPr="00B5135E">
        <w:rPr>
          <w:i w:val="0"/>
          <w:iCs w:val="0"/>
          <w:noProof/>
          <w:color w:val="auto"/>
          <w:lang w:val="en-GB"/>
        </w:rPr>
        <w:t>[1]</w:t>
      </w:r>
      <w:r w:rsidR="0020103A">
        <w:rPr>
          <w:i w:val="0"/>
          <w:iCs w:val="0"/>
          <w:color w:val="auto"/>
          <w:lang w:val="en-GB"/>
        </w:rPr>
        <w:fldChar w:fldCharType="end"/>
      </w:r>
      <w:r w:rsidR="00B5135E">
        <w:rPr>
          <w:i w:val="0"/>
          <w:iCs w:val="0"/>
          <w:color w:val="auto"/>
          <w:lang w:val="en-GB"/>
        </w:rPr>
        <w:t>.</w:t>
      </w:r>
    </w:p>
    <w:p w14:paraId="0015A36B" w14:textId="77777777" w:rsidR="00BA1252" w:rsidRPr="00BA1252" w:rsidRDefault="00BA1252" w:rsidP="00BA1252">
      <w:pPr>
        <w:rPr>
          <w:lang w:val="en-GB"/>
        </w:rPr>
      </w:pPr>
    </w:p>
    <w:p w14:paraId="2520FACF" w14:textId="77777777" w:rsidR="00BA1252" w:rsidRDefault="00BA1252" w:rsidP="009D3310">
      <w:pPr>
        <w:rPr>
          <w:lang w:val="en-GB"/>
        </w:rPr>
        <w:sectPr w:rsidR="00BA1252" w:rsidSect="00BA1252">
          <w:pgSz w:w="16838" w:h="11906" w:orient="landscape"/>
          <w:pgMar w:top="1417" w:right="1134" w:bottom="1417" w:left="1417" w:header="708" w:footer="708" w:gutter="0"/>
          <w:cols w:space="708"/>
          <w:docGrid w:linePitch="360"/>
        </w:sectPr>
      </w:pPr>
    </w:p>
    <w:p w14:paraId="357F0EAF" w14:textId="77777777" w:rsidR="002D41E4" w:rsidRDefault="002D41E4" w:rsidP="002D41E4">
      <w:pPr>
        <w:keepNext/>
      </w:pPr>
      <w:r>
        <w:rPr>
          <w:noProof/>
          <w:lang w:eastAsia="de-DE"/>
        </w:rPr>
        <w:lastRenderedPageBreak/>
        <w:drawing>
          <wp:inline distT="0" distB="0" distL="0" distR="0" wp14:anchorId="040DA6A2" wp14:editId="1ABE4E79">
            <wp:extent cx="5690616" cy="2829771"/>
            <wp:effectExtent l="0" t="0" r="5715" b="8890"/>
            <wp:docPr id="5" name="Grafik 5" descr="Ein Bild, das Text, Diagramm,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Diagramm, Reihe enthält.&#10;&#10;Automatisch generierte Beschreibu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90616" cy="2829771"/>
                    </a:xfrm>
                    <a:prstGeom prst="rect">
                      <a:avLst/>
                    </a:prstGeom>
                  </pic:spPr>
                </pic:pic>
              </a:graphicData>
            </a:graphic>
          </wp:inline>
        </w:drawing>
      </w:r>
    </w:p>
    <w:p w14:paraId="6663219E" w14:textId="6662B237" w:rsidR="002D41E4" w:rsidRPr="002949AC" w:rsidRDefault="002D41E4" w:rsidP="002D41E4">
      <w:pPr>
        <w:pStyle w:val="Beschriftung"/>
        <w:rPr>
          <w:i w:val="0"/>
          <w:iCs w:val="0"/>
          <w:color w:val="auto"/>
          <w:lang w:val="en-GB"/>
        </w:rPr>
      </w:pPr>
      <w:r w:rsidRPr="002949AC">
        <w:rPr>
          <w:b/>
          <w:i w:val="0"/>
          <w:iCs w:val="0"/>
          <w:color w:val="auto"/>
          <w:lang w:val="en-GB"/>
        </w:rPr>
        <w:t xml:space="preserve">Suppl. Figure </w:t>
      </w:r>
      <w:r w:rsidR="3CFB8090" w:rsidRPr="3CFB8090">
        <w:rPr>
          <w:b/>
          <w:bCs/>
          <w:i w:val="0"/>
          <w:iCs w:val="0"/>
          <w:color w:val="auto"/>
          <w:lang w:val="en-GB"/>
        </w:rPr>
        <w:t>4</w:t>
      </w:r>
      <w:r w:rsidRPr="002949AC">
        <w:rPr>
          <w:b/>
          <w:i w:val="0"/>
          <w:iCs w:val="0"/>
          <w:color w:val="auto"/>
          <w:lang w:val="en-GB"/>
        </w:rPr>
        <w:t>: Top epitope targets of T cell receptors.</w:t>
      </w:r>
      <w:r w:rsidRPr="002949AC">
        <w:rPr>
          <w:i w:val="0"/>
          <w:iCs w:val="0"/>
          <w:color w:val="auto"/>
          <w:lang w:val="en-GB"/>
        </w:rPr>
        <w:t xml:space="preserve"> The epitopes that showed the highest binding score (strongest affinity) to TCRs in each sample were denoted and counted. The epitope for spa, a virulence factor enriched on Plaque of </w:t>
      </w:r>
      <w:r w:rsidRPr="002949AC">
        <w:rPr>
          <w:i w:val="0"/>
          <w:iCs w:val="0"/>
          <w:color w:val="auto"/>
        </w:rPr>
        <w:t>Δ</w:t>
      </w:r>
      <w:r w:rsidRPr="002949AC">
        <w:rPr>
          <w:i w:val="0"/>
          <w:iCs w:val="0"/>
          <w:color w:val="auto"/>
          <w:lang w:val="en-GB"/>
        </w:rPr>
        <w:t>SA-positive patients, is recognized by MHC-II with high affinity. spa was shown to trigger inflammation and survival via NF-</w:t>
      </w:r>
      <w:r w:rsidRPr="002949AC">
        <w:rPr>
          <w:i w:val="0"/>
          <w:iCs w:val="0"/>
          <w:color w:val="auto"/>
        </w:rPr>
        <w:t>κ</w:t>
      </w:r>
      <w:r w:rsidRPr="002949AC">
        <w:rPr>
          <w:i w:val="0"/>
          <w:iCs w:val="0"/>
          <w:color w:val="auto"/>
          <w:lang w:val="en-GB"/>
        </w:rPr>
        <w:t xml:space="preserve">B </w:t>
      </w:r>
      <w:r w:rsidR="00B5135E">
        <w:rPr>
          <w:i w:val="0"/>
          <w:iCs w:val="0"/>
          <w:color w:val="auto"/>
          <w:lang w:val="en-GB"/>
        </w:rPr>
        <w:fldChar w:fldCharType="begin" w:fldLock="1"/>
      </w:r>
      <w:r w:rsidR="008B4DA2">
        <w:rPr>
          <w:i w:val="0"/>
          <w:iCs w:val="0"/>
          <w:color w:val="auto"/>
          <w:lang w:val="en-GB"/>
        </w:rPr>
        <w:instrText>ADDIN CSL_CITATION {"citationItems":[{"id":"ITEM-1","itemData":{"DOI":"10.1038/nm1079","ISSN":"1078-8956","PMID":"15247912","abstract":"Staphylococcus aureus is a major human pathogen that is associated with diverse types of local and systemic infection characterized by inflammation dominated by polymorphonuclear leukocytes. Staphylococci frequently cause pneumonia, and these clinical isolates often have increased expression of protein A, suggesting that this protein may have a role in virulence. Here we show that TNFR1, a receptor for tumor-necrosis factor-α (TNF-α) that is widely distributed on the airway epithelium, is a receptor for protein A. We also show that the protein A-TNFR1 signaling pathway has a central role in the pathogenesis of staphylococcal pneumonia.","author":[{"dropping-particle":"","family":"Gómez","given":"Marisa I.","non-dropping-particle":"","parse-names":false,"suffix":""},{"dropping-particle":"","family":"Lee","given":"Aram","non-dropping-particle":"","parse-names":false,"suffix":""},{"dropping-particle":"","family":"Reddy","given":"Bharat","non-dropping-particle":"","parse-names":false,"suffix":""},{"dropping-particle":"","family":"Muir","given":"Amanda","non-dropping-particle":"","parse-names":false,"suffix":""},{"dropping-particle":"","family":"Soong","given":"Grace","non-dropping-particle":"","parse-names":false,"suffix":""},{"dropping-particle":"","family":"Pitt","given":"Allyson","non-dropping-particle":"","parse-names":false,"suffix":""},{"dropping-particle":"","family":"Cheung","given":"Ambrose","non-dropping-particle":"","parse-names":false,"suffix":""},{"dropping-particle":"","family":"Prince","given":"Alice","non-dropping-particle":"","parse-names":false,"suffix":""}],"container-title":"Nature Medicine","id":"ITEM-1","issue":"8","issued":{"date-parts":[["2004","8","11"]]},"page":"842-848","title":"Staphylococcus aureus protein A induces airway epithelial inflammatory responses by activating TNFR1","type":"article-journal","volume":"10"},"uris":["http://www.mendeley.com/documents/?uuid=fb604dbd-6c31-4c39-a989-f3ef083dae56"]},{"id":"ITEM-2","itemData":{"DOI":"10.1074/jbc.M601956200","ISSN":"00219258","PMID":"16709567","abstract":"Staphylococcus aureus continues to be a major cause of infection in normal as well as immunocompromised hosts, and the increasing prevalence of highly virulent community-acquired methicillin-resistant strains is a public health concern. A highly expressed surface component of S. aureus, protein A (SpA), contributes to its success as a pathogen by both activating inflammation and by interfering with immune clearance. SpA is known to bind to IgG Fc, which impedes phagocytosis. SpA is also a potent activator of tumor necrosis factor α (TNF-α) receptor 1 (TNFR1) signaling, inducing both chemokine expression and TNF-converting enzyme-dependent soluble TNFR1 (sTNFR1) shedding, which has anti-inflammatory consequences, particularly in the lung. Using a collection of glutathione S-transferase fusions to the intact IgG binding region of SpA and to each of the individual binding domains, we found that the SpA IgG binding domains also mediate binding to human airway cells. TNFR1-dependent CXCL8 production could be elicited by any one of the individual SpA IgG binding domains as efficiently as by either the entire SpA or the intact IgG binding region. SpA induction of sTNFR1 shedding required the entire IgG binding region and tolerated fewer substitutions in residues known to interact with IgG. Each of the repeated domains of the IgG binding domain can affect multiple immune responses independently, activating inflammation through TNFR1 and thwarting opsonization by trapping IgG Fc domains, while the intact IgG binding region can limit further signaling through sTNFR1 shedding. © 2006 by The American Society for Biochemistry and Molecular Biology, Inc.","author":[{"dropping-particle":"","family":"Gómez","given":"Marisa I.","non-dropping-particle":"","parse-names":false,"suffix":""},{"dropping-particle":"","family":"O'Seaghdha","given":"Maghnus","non-dropping-particle":"","parse-names":false,"suffix":""},{"dropping-particle":"","family":"Magargee","given":"Mariah","non-dropping-particle":"","parse-names":false,"suffix":""},{"dropping-particle":"","family":"Foster","given":"Timothy J.","non-dropping-particle":"","parse-names":false,"suffix":""},{"dropping-particle":"","family":"Prince","given":"Alice S.","non-dropping-particle":"","parse-names":false,"suffix":""}],"container-title":"Journal of Biological Chemistry","id":"ITEM-2","issue":"29","issued":{"date-parts":[["2006","7"]]},"page":"20190-20196","title":"Staphylococcus aureus Protein A Activates TNFR1 Signaling through Conserved IgG Binding Domains","type":"article-journal","volume":"281"},"uris":["http://www.mendeley.com/documents/?uuid=8e060ae9-93e8-468b-a7b0-65163f7cb9fe"]}],"mendeley":{"formattedCitation":"[2,3]","plainTextFormattedCitation":"[2,3]","previouslyFormattedCitation":"[2,3]"},"properties":{"noteIndex":0},"schema":"https://github.com/citation-style-language/schema/raw/master/csl-citation.json"}</w:instrText>
      </w:r>
      <w:r w:rsidR="00B5135E">
        <w:rPr>
          <w:i w:val="0"/>
          <w:iCs w:val="0"/>
          <w:color w:val="auto"/>
          <w:lang w:val="en-GB"/>
        </w:rPr>
        <w:fldChar w:fldCharType="separate"/>
      </w:r>
      <w:r w:rsidR="003B19E3" w:rsidRPr="003B19E3">
        <w:rPr>
          <w:i w:val="0"/>
          <w:iCs w:val="0"/>
          <w:noProof/>
          <w:color w:val="auto"/>
          <w:lang w:val="en-GB"/>
        </w:rPr>
        <w:t>[2,3]</w:t>
      </w:r>
      <w:r w:rsidR="00B5135E">
        <w:rPr>
          <w:i w:val="0"/>
          <w:iCs w:val="0"/>
          <w:color w:val="auto"/>
          <w:lang w:val="en-GB"/>
        </w:rPr>
        <w:fldChar w:fldCharType="end"/>
      </w:r>
      <w:r w:rsidRPr="002949AC">
        <w:rPr>
          <w:i w:val="0"/>
          <w:iCs w:val="0"/>
          <w:color w:val="auto"/>
          <w:lang w:val="en-GB"/>
        </w:rPr>
        <w:t xml:space="preserve"> and CD4+ T cells are the subset of T cells that are malignant in MF </w:t>
      </w:r>
      <w:r w:rsidR="00B5135E">
        <w:rPr>
          <w:i w:val="0"/>
          <w:iCs w:val="0"/>
          <w:color w:val="auto"/>
          <w:lang w:val="en-GB"/>
        </w:rPr>
        <w:fldChar w:fldCharType="begin" w:fldLock="1"/>
      </w:r>
      <w:r w:rsidR="00B5135E">
        <w:rPr>
          <w:i w:val="0"/>
          <w:iCs w:val="0"/>
          <w:color w:val="auto"/>
          <w:lang w:val="en-GB"/>
        </w:rPr>
        <w:instrText>ADDIN CSL_CITATION {"citationItems":[{"id":"ITEM-1","itemData":{"DOI":"10.1182/blood-2009-11-251926","ISSN":"0006-4971","PMID":"20484084","abstract":"Cutaneous T-cell lymphoma (CTCL) encompasses leukemic variants (L-CTCL) such as Sézary syndrome (SS) and primarily cutaneous variants such as mycosis fungoides (MF). To clarify the relationship between these clinically disparate presentations, we studied the phenotype of T cells from L-CTCL and MF. Clonal malignant T cells from the blood of L-CTCL patients universally coexpressed the lymph node homing molecules CCR7 and L-selectin as well as the differentiation marker CD27, a phenotype consistent with central memory T cells. CCR4 was also universally expressed at high levels, and there was variable expression of other skin addressins (CCR6, CCR10, and CLA). In contrast, T cells isolated from MF skin lesions lacked CCR7/L-selectin and CD27 but strongly expressed CCR4 and CLA, a phenotype suggestive of skin resident effector memory T cells. Our results suggest that SS is a malignancy of central memory T cells and MF is a malignancy of skin resident effector memory T cells.","author":[{"dropping-particle":"","family":"Campbell","given":"James J.","non-dropping-particle":"","parse-names":false,"suffix":""},{"dropping-particle":"","family":"Clark","given":"Rachael A.","non-dropping-particle":"","parse-names":false,"suffix":""},{"dropping-particle":"","family":"Watanabe","given":"Rei","non-dropping-particle":"","parse-names":false,"suffix":""},{"dropping-particle":"","family":"Kupper","given":"Thomas S.","non-dropping-particle":"","parse-names":false,"suffix":""}],"container-title":"Blood","id":"ITEM-1","issue":"5","issued":{"date-parts":[["2010","8","5"]]},"page":"767-771","title":"Sézary syndrome and mycosis fungoides arise from distinct T-cell subsets: a biologic rationale for their distinct clinical behaviors","type":"article-journal","volume":"116"},"uris":["http://www.mendeley.com/documents/?uuid=f9858e8e-3292-4977-a384-832a911d0cb6"]}],"mendeley":{"formattedCitation":"[4]","plainTextFormattedCitation":"[4]","previouslyFormattedCitation":"[4]"},"properties":{"noteIndex":0},"schema":"https://github.com/citation-style-language/schema/raw/master/csl-citation.json"}</w:instrText>
      </w:r>
      <w:r w:rsidR="00B5135E">
        <w:rPr>
          <w:i w:val="0"/>
          <w:iCs w:val="0"/>
          <w:color w:val="auto"/>
          <w:lang w:val="en-GB"/>
        </w:rPr>
        <w:fldChar w:fldCharType="separate"/>
      </w:r>
      <w:r w:rsidR="00B5135E" w:rsidRPr="00B5135E">
        <w:rPr>
          <w:i w:val="0"/>
          <w:iCs w:val="0"/>
          <w:noProof/>
          <w:color w:val="auto"/>
          <w:lang w:val="en-GB"/>
        </w:rPr>
        <w:t>[4]</w:t>
      </w:r>
      <w:r w:rsidR="00B5135E">
        <w:rPr>
          <w:i w:val="0"/>
          <w:iCs w:val="0"/>
          <w:color w:val="auto"/>
          <w:lang w:val="en-GB"/>
        </w:rPr>
        <w:fldChar w:fldCharType="end"/>
      </w:r>
      <w:r w:rsidRPr="002949AC">
        <w:rPr>
          <w:i w:val="0"/>
          <w:iCs w:val="0"/>
          <w:color w:val="auto"/>
          <w:lang w:val="en-GB"/>
        </w:rPr>
        <w:t>.</w:t>
      </w:r>
    </w:p>
    <w:p w14:paraId="05168771" w14:textId="77777777" w:rsidR="00B752CB" w:rsidRPr="00DB482A" w:rsidRDefault="009D3310" w:rsidP="00B752CB">
      <w:pPr>
        <w:keepNext/>
        <w:rPr>
          <w:lang w:val="en-GB"/>
        </w:rPr>
      </w:pPr>
      <w:r w:rsidRPr="00DB482A">
        <w:rPr>
          <w:noProof/>
          <w:lang w:eastAsia="de-DE"/>
        </w:rPr>
        <w:drawing>
          <wp:inline distT="0" distB="0" distL="0" distR="0" wp14:anchorId="167AB2E0" wp14:editId="7C2D034E">
            <wp:extent cx="5865962" cy="3520160"/>
            <wp:effectExtent l="0" t="0" r="1905"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aplan-Meier.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876898" cy="3526723"/>
                    </a:xfrm>
                    <a:prstGeom prst="rect">
                      <a:avLst/>
                    </a:prstGeom>
                  </pic:spPr>
                </pic:pic>
              </a:graphicData>
            </a:graphic>
          </wp:inline>
        </w:drawing>
      </w:r>
    </w:p>
    <w:p w14:paraId="4C56BE03" w14:textId="03A87B65" w:rsidR="009D3310" w:rsidRPr="005A7828" w:rsidRDefault="00B752CB" w:rsidP="009B0839">
      <w:pPr>
        <w:pStyle w:val="Beschriftung"/>
        <w:jc w:val="both"/>
        <w:rPr>
          <w:i w:val="0"/>
          <w:iCs w:val="0"/>
          <w:color w:val="auto"/>
          <w:lang w:val="en-GB"/>
        </w:rPr>
      </w:pPr>
      <w:r w:rsidRPr="005A7828">
        <w:rPr>
          <w:b/>
          <w:i w:val="0"/>
          <w:iCs w:val="0"/>
          <w:color w:val="auto"/>
          <w:lang w:val="en-GB"/>
        </w:rPr>
        <w:t xml:space="preserve">Suppl. Figure </w:t>
      </w:r>
      <w:r w:rsidR="12FD5172" w:rsidRPr="12FD5172">
        <w:rPr>
          <w:b/>
          <w:bCs/>
          <w:i w:val="0"/>
          <w:iCs w:val="0"/>
          <w:color w:val="auto"/>
          <w:lang w:val="en-GB"/>
        </w:rPr>
        <w:t>5</w:t>
      </w:r>
      <w:r w:rsidRPr="005A7828">
        <w:rPr>
          <w:b/>
          <w:i w:val="0"/>
          <w:iCs w:val="0"/>
          <w:color w:val="auto"/>
          <w:lang w:val="en-GB"/>
        </w:rPr>
        <w:t xml:space="preserve">: Event-free survival Kaplan-Meier curves. The log-rank test was used to determine significance of differences between survival curves (1 degree of freedom). </w:t>
      </w:r>
      <w:r w:rsidR="004C3CF0" w:rsidRPr="005A7828">
        <w:rPr>
          <w:b/>
          <w:i w:val="0"/>
          <w:iCs w:val="0"/>
          <w:color w:val="auto"/>
          <w:lang w:val="en-GB"/>
        </w:rPr>
        <w:t xml:space="preserve">a, </w:t>
      </w:r>
      <w:r w:rsidR="004C3CF0" w:rsidRPr="005A7828">
        <w:rPr>
          <w:i w:val="0"/>
          <w:iCs w:val="0"/>
          <w:color w:val="auto"/>
          <w:lang w:val="en-GB"/>
        </w:rPr>
        <w:t xml:space="preserve">95% Confidence Interval 2.801 to 39.14 </w:t>
      </w:r>
      <w:r w:rsidR="004C3CF0" w:rsidRPr="005A7828">
        <w:rPr>
          <w:b/>
          <w:i w:val="0"/>
          <w:iCs w:val="0"/>
          <w:color w:val="auto"/>
          <w:lang w:val="en-GB"/>
        </w:rPr>
        <w:t xml:space="preserve">b, </w:t>
      </w:r>
      <w:r w:rsidR="004C3CF0" w:rsidRPr="005A7828">
        <w:rPr>
          <w:i w:val="0"/>
          <w:iCs w:val="0"/>
          <w:color w:val="auto"/>
          <w:lang w:val="en-GB"/>
        </w:rPr>
        <w:t xml:space="preserve">95% Confidence Interval 0.5117 to 91.12 </w:t>
      </w:r>
      <w:r w:rsidR="004C3CF0" w:rsidRPr="005A7828">
        <w:rPr>
          <w:b/>
          <w:i w:val="0"/>
          <w:iCs w:val="0"/>
          <w:color w:val="auto"/>
          <w:lang w:val="en-GB"/>
        </w:rPr>
        <w:t>c</w:t>
      </w:r>
      <w:r w:rsidRPr="005A7828">
        <w:rPr>
          <w:b/>
          <w:i w:val="0"/>
          <w:iCs w:val="0"/>
          <w:color w:val="auto"/>
          <w:lang w:val="en-GB"/>
        </w:rPr>
        <w:t xml:space="preserve">, </w:t>
      </w:r>
      <w:bookmarkStart w:id="0" w:name="OLE_LINK1"/>
      <w:r w:rsidRPr="005A7828">
        <w:rPr>
          <w:i w:val="0"/>
          <w:iCs w:val="0"/>
          <w:color w:val="auto"/>
          <w:lang w:val="en-GB"/>
        </w:rPr>
        <w:t xml:space="preserve">95% Confidence Interval 18.21 to 98.36 </w:t>
      </w:r>
      <w:bookmarkEnd w:id="0"/>
      <w:r w:rsidR="004C3CF0" w:rsidRPr="005A7828">
        <w:rPr>
          <w:b/>
          <w:i w:val="0"/>
          <w:iCs w:val="0"/>
          <w:color w:val="auto"/>
          <w:lang w:val="en-GB"/>
        </w:rPr>
        <w:t>d</w:t>
      </w:r>
      <w:r w:rsidRPr="005A7828">
        <w:rPr>
          <w:b/>
          <w:i w:val="0"/>
          <w:iCs w:val="0"/>
          <w:color w:val="auto"/>
          <w:lang w:val="en-GB"/>
        </w:rPr>
        <w:t xml:space="preserve">, </w:t>
      </w:r>
      <w:r w:rsidRPr="005A7828">
        <w:rPr>
          <w:i w:val="0"/>
          <w:iCs w:val="0"/>
          <w:color w:val="auto"/>
          <w:lang w:val="en-GB"/>
        </w:rPr>
        <w:t xml:space="preserve">95% Confidence Interval 0.74 to 206.5 </w:t>
      </w:r>
      <w:r w:rsidR="004C3CF0" w:rsidRPr="005A7828">
        <w:rPr>
          <w:b/>
          <w:i w:val="0"/>
          <w:iCs w:val="0"/>
          <w:color w:val="auto"/>
          <w:lang w:val="en-GB"/>
        </w:rPr>
        <w:t>e</w:t>
      </w:r>
      <w:r w:rsidRPr="005A7828">
        <w:rPr>
          <w:b/>
          <w:i w:val="0"/>
          <w:iCs w:val="0"/>
          <w:color w:val="auto"/>
          <w:lang w:val="en-GB"/>
        </w:rPr>
        <w:t xml:space="preserve">, </w:t>
      </w:r>
      <w:r w:rsidRPr="005A7828">
        <w:rPr>
          <w:i w:val="0"/>
          <w:iCs w:val="0"/>
          <w:color w:val="auto"/>
          <w:lang w:val="en-GB"/>
        </w:rPr>
        <w:t>95% Confidence Interval 0.42 to 65.05</w:t>
      </w:r>
      <w:r w:rsidR="004C3CF0" w:rsidRPr="005A7828">
        <w:rPr>
          <w:i w:val="0"/>
          <w:iCs w:val="0"/>
          <w:color w:val="auto"/>
          <w:lang w:val="en-GB"/>
        </w:rPr>
        <w:t>.</w:t>
      </w:r>
    </w:p>
    <w:p w14:paraId="36C44944" w14:textId="77777777" w:rsidR="00D10F32" w:rsidRPr="00DB482A" w:rsidRDefault="00D10F32" w:rsidP="00D10F32">
      <w:pPr>
        <w:rPr>
          <w:lang w:val="en-GB"/>
        </w:rPr>
      </w:pPr>
    </w:p>
    <w:p w14:paraId="233B76D1" w14:textId="77777777" w:rsidR="00D10F32" w:rsidRPr="00DB482A" w:rsidRDefault="00D10F32" w:rsidP="00D10F32">
      <w:pPr>
        <w:rPr>
          <w:lang w:val="en-GB"/>
        </w:rPr>
      </w:pPr>
    </w:p>
    <w:p w14:paraId="3B4A03D9" w14:textId="3B9F1F2F" w:rsidR="00FD362A" w:rsidRPr="00DB482A" w:rsidRDefault="00D10F32" w:rsidP="00FD362A">
      <w:pPr>
        <w:keepNext/>
        <w:rPr>
          <w:lang w:val="en-GB"/>
        </w:rPr>
      </w:pPr>
      <w:r w:rsidRPr="00DB482A">
        <w:rPr>
          <w:noProof/>
          <w:lang w:eastAsia="de-DE"/>
        </w:rPr>
        <w:lastRenderedPageBreak/>
        <w:drawing>
          <wp:inline distT="0" distB="0" distL="0" distR="0" wp14:anchorId="71DB0CAB" wp14:editId="221639BD">
            <wp:extent cx="6096000" cy="3070225"/>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14" cstate="print">
                      <a:extLst>
                        <a:ext uri="{28A0092B-C50C-407E-A947-70E740481C1C}">
                          <a14:useLocalDpi xmlns:a14="http://schemas.microsoft.com/office/drawing/2010/main" val="0"/>
                        </a:ext>
                      </a:extLst>
                    </a:blip>
                    <a:srcRect l="661" t="-571" r="3197" b="818"/>
                    <a:stretch/>
                  </pic:blipFill>
                  <pic:spPr bwMode="auto">
                    <a:xfrm>
                      <a:off x="0" y="0"/>
                      <a:ext cx="6108890" cy="3076717"/>
                    </a:xfrm>
                    <a:prstGeom prst="rect">
                      <a:avLst/>
                    </a:prstGeom>
                    <a:ln>
                      <a:noFill/>
                    </a:ln>
                    <a:extLst>
                      <a:ext uri="{53640926-AAD7-44D8-BBD7-CCE9431645EC}">
                        <a14:shadowObscured xmlns:a14="http://schemas.microsoft.com/office/drawing/2010/main"/>
                      </a:ext>
                    </a:extLst>
                  </pic:spPr>
                </pic:pic>
              </a:graphicData>
            </a:graphic>
          </wp:inline>
        </w:drawing>
      </w:r>
    </w:p>
    <w:p w14:paraId="21826018" w14:textId="46E065C8" w:rsidR="00D10F32" w:rsidRPr="00425790" w:rsidRDefault="00FD362A" w:rsidP="00790176">
      <w:pPr>
        <w:pStyle w:val="Beschriftung"/>
        <w:jc w:val="both"/>
        <w:rPr>
          <w:rFonts w:ascii="Symbol" w:hAnsi="Symbol"/>
          <w:i w:val="0"/>
          <w:iCs w:val="0"/>
          <w:color w:val="auto"/>
          <w:lang w:val="en-GB"/>
        </w:rPr>
      </w:pPr>
      <w:r w:rsidRPr="00A8151A">
        <w:rPr>
          <w:b/>
          <w:i w:val="0"/>
          <w:iCs w:val="0"/>
          <w:color w:val="auto"/>
          <w:lang w:val="en-GB"/>
        </w:rPr>
        <w:t xml:space="preserve">Suppl. Figure </w:t>
      </w:r>
      <w:r w:rsidR="12FD5172" w:rsidRPr="12FD5172">
        <w:rPr>
          <w:b/>
          <w:bCs/>
          <w:i w:val="0"/>
          <w:iCs w:val="0"/>
          <w:color w:val="auto"/>
          <w:lang w:val="en-GB"/>
        </w:rPr>
        <w:t>6</w:t>
      </w:r>
      <w:r w:rsidRPr="00A8151A">
        <w:rPr>
          <w:b/>
          <w:i w:val="0"/>
          <w:iCs w:val="0"/>
          <w:color w:val="auto"/>
          <w:lang w:val="en-GB"/>
        </w:rPr>
        <w:t xml:space="preserve">: </w:t>
      </w:r>
      <w:r w:rsidR="00790176" w:rsidRPr="00A8151A">
        <w:rPr>
          <w:b/>
          <w:i w:val="0"/>
          <w:iCs w:val="0"/>
          <w:color w:val="auto"/>
          <w:lang w:val="en-GB"/>
        </w:rPr>
        <w:t>High concordance of Cell</w:t>
      </w:r>
      <w:r w:rsidR="002F459E">
        <w:rPr>
          <w:b/>
          <w:i w:val="0"/>
          <w:iCs w:val="0"/>
          <w:color w:val="auto"/>
          <w:lang w:val="en-GB"/>
        </w:rPr>
        <w:t>-</w:t>
      </w:r>
      <w:r w:rsidR="00790176" w:rsidRPr="00A8151A">
        <w:rPr>
          <w:b/>
          <w:i w:val="0"/>
          <w:iCs w:val="0"/>
          <w:color w:val="auto"/>
          <w:lang w:val="en-GB"/>
        </w:rPr>
        <w:t xml:space="preserve"> and DNA</w:t>
      </w:r>
      <w:r w:rsidR="002F459E">
        <w:rPr>
          <w:b/>
          <w:i w:val="0"/>
          <w:iCs w:val="0"/>
          <w:color w:val="auto"/>
          <w:lang w:val="en-GB"/>
        </w:rPr>
        <w:t>-derived</w:t>
      </w:r>
      <w:r w:rsidR="00790176" w:rsidRPr="00A8151A">
        <w:rPr>
          <w:b/>
          <w:i w:val="0"/>
          <w:iCs w:val="0"/>
          <w:color w:val="auto"/>
          <w:lang w:val="en-GB"/>
        </w:rPr>
        <w:t xml:space="preserve"> positive controls</w:t>
      </w:r>
      <w:r w:rsidR="00A9551D">
        <w:rPr>
          <w:b/>
          <w:i w:val="0"/>
          <w:iCs w:val="0"/>
          <w:color w:val="auto"/>
          <w:lang w:val="en-GB"/>
        </w:rPr>
        <w:t xml:space="preserve"> </w:t>
      </w:r>
      <w:r w:rsidR="00790176" w:rsidRPr="00A8151A">
        <w:rPr>
          <w:b/>
          <w:i w:val="0"/>
          <w:iCs w:val="0"/>
          <w:color w:val="auto"/>
          <w:lang w:val="en-GB"/>
        </w:rPr>
        <w:t>with the suppliers</w:t>
      </w:r>
      <w:r w:rsidR="00935098">
        <w:rPr>
          <w:b/>
          <w:i w:val="0"/>
          <w:iCs w:val="0"/>
          <w:color w:val="auto"/>
          <w:lang w:val="en-GB"/>
        </w:rPr>
        <w:t>’</w:t>
      </w:r>
      <w:r w:rsidR="00790176" w:rsidRPr="00A8151A">
        <w:rPr>
          <w:b/>
          <w:i w:val="0"/>
          <w:iCs w:val="0"/>
          <w:color w:val="auto"/>
          <w:lang w:val="en-GB"/>
        </w:rPr>
        <w:t xml:space="preserve"> specifications</w:t>
      </w:r>
      <w:r w:rsidRPr="00A8151A">
        <w:rPr>
          <w:b/>
          <w:i w:val="0"/>
          <w:iCs w:val="0"/>
          <w:color w:val="auto"/>
          <w:lang w:val="en-GB"/>
        </w:rPr>
        <w:t xml:space="preserve">. </w:t>
      </w:r>
      <w:r w:rsidR="00E37BF6">
        <w:rPr>
          <w:i w:val="0"/>
          <w:iCs w:val="0"/>
          <w:color w:val="auto"/>
          <w:lang w:val="en-GB"/>
        </w:rPr>
        <w:t xml:space="preserve">Control standards </w:t>
      </w:r>
      <w:r w:rsidR="000226BB">
        <w:rPr>
          <w:i w:val="0"/>
          <w:iCs w:val="0"/>
          <w:color w:val="auto"/>
          <w:lang w:val="en-GB"/>
        </w:rPr>
        <w:t>comprising of either</w:t>
      </w:r>
      <w:r w:rsidR="003642F9">
        <w:rPr>
          <w:i w:val="0"/>
          <w:iCs w:val="0"/>
          <w:color w:val="auto"/>
          <w:lang w:val="en-GB"/>
        </w:rPr>
        <w:t xml:space="preserve"> a </w:t>
      </w:r>
      <w:r w:rsidRPr="00A8151A">
        <w:rPr>
          <w:i w:val="0"/>
          <w:iCs w:val="0"/>
          <w:color w:val="auto"/>
          <w:lang w:val="en-GB"/>
        </w:rPr>
        <w:t>mock community of inactivated microbial cells (</w:t>
      </w:r>
      <w:r w:rsidR="0074365E" w:rsidRPr="00A8151A">
        <w:rPr>
          <w:i w:val="0"/>
          <w:iCs w:val="0"/>
          <w:color w:val="auto"/>
          <w:lang w:val="en-GB"/>
        </w:rPr>
        <w:t>i.e.,</w:t>
      </w:r>
      <w:r w:rsidRPr="00A8151A">
        <w:rPr>
          <w:i w:val="0"/>
          <w:iCs w:val="0"/>
          <w:color w:val="auto"/>
          <w:lang w:val="en-GB"/>
        </w:rPr>
        <w:t xml:space="preserve"> Cell</w:t>
      </w:r>
      <w:r w:rsidR="00A9551D">
        <w:rPr>
          <w:i w:val="0"/>
          <w:iCs w:val="0"/>
          <w:color w:val="auto"/>
          <w:lang w:val="en-GB"/>
        </w:rPr>
        <w:t>-derived</w:t>
      </w:r>
      <w:r w:rsidRPr="00A8151A">
        <w:rPr>
          <w:i w:val="0"/>
          <w:iCs w:val="0"/>
          <w:color w:val="auto"/>
          <w:lang w:val="en-GB"/>
        </w:rPr>
        <w:t xml:space="preserve">) </w:t>
      </w:r>
      <w:r w:rsidR="003642F9">
        <w:rPr>
          <w:i w:val="0"/>
          <w:iCs w:val="0"/>
          <w:color w:val="auto"/>
          <w:lang w:val="en-GB"/>
        </w:rPr>
        <w:t>or</w:t>
      </w:r>
      <w:r w:rsidRPr="00A8151A">
        <w:rPr>
          <w:i w:val="0"/>
          <w:iCs w:val="0"/>
          <w:color w:val="auto"/>
          <w:lang w:val="en-GB"/>
        </w:rPr>
        <w:t xml:space="preserve"> thereof derived microbial DNA (</w:t>
      </w:r>
      <w:r w:rsidR="005A7828" w:rsidRPr="00A8151A">
        <w:rPr>
          <w:i w:val="0"/>
          <w:iCs w:val="0"/>
          <w:color w:val="auto"/>
          <w:lang w:val="en-GB"/>
        </w:rPr>
        <w:t>i.e.,</w:t>
      </w:r>
      <w:r w:rsidRPr="00A8151A">
        <w:rPr>
          <w:i w:val="0"/>
          <w:iCs w:val="0"/>
          <w:color w:val="auto"/>
          <w:lang w:val="en-GB"/>
        </w:rPr>
        <w:t xml:space="preserve"> DNA</w:t>
      </w:r>
      <w:r w:rsidR="00A9551D">
        <w:rPr>
          <w:i w:val="0"/>
          <w:iCs w:val="0"/>
          <w:color w:val="auto"/>
          <w:lang w:val="en-GB"/>
        </w:rPr>
        <w:t>-derived</w:t>
      </w:r>
      <w:r w:rsidRPr="00A8151A">
        <w:rPr>
          <w:i w:val="0"/>
          <w:iCs w:val="0"/>
          <w:color w:val="auto"/>
          <w:lang w:val="en-GB"/>
        </w:rPr>
        <w:t xml:space="preserve">) </w:t>
      </w:r>
      <w:r w:rsidR="003642F9" w:rsidRPr="003642F9">
        <w:rPr>
          <w:i w:val="0"/>
          <w:iCs w:val="0"/>
          <w:color w:val="auto"/>
          <w:lang w:val="en-GB"/>
        </w:rPr>
        <w:t>processed with each batch of metagenomic</w:t>
      </w:r>
      <w:r w:rsidR="0048031C">
        <w:rPr>
          <w:i w:val="0"/>
          <w:iCs w:val="0"/>
          <w:color w:val="auto"/>
          <w:lang w:val="en-GB"/>
        </w:rPr>
        <w:t xml:space="preserve"> sample DNA </w:t>
      </w:r>
      <w:r w:rsidRPr="00A8151A">
        <w:rPr>
          <w:i w:val="0"/>
          <w:iCs w:val="0"/>
          <w:color w:val="auto"/>
          <w:lang w:val="en-GB"/>
        </w:rPr>
        <w:t>extraction and library preparation</w:t>
      </w:r>
      <w:r w:rsidR="0048031C">
        <w:rPr>
          <w:i w:val="0"/>
          <w:iCs w:val="0"/>
          <w:color w:val="auto"/>
          <w:lang w:val="en-GB"/>
        </w:rPr>
        <w:t>.</w:t>
      </w:r>
      <w:r w:rsidR="00743AC2">
        <w:rPr>
          <w:i w:val="0"/>
          <w:iCs w:val="0"/>
          <w:color w:val="auto"/>
          <w:lang w:val="en-GB"/>
        </w:rPr>
        <w:t xml:space="preserve"> </w:t>
      </w:r>
      <w:r w:rsidRPr="00A8151A">
        <w:rPr>
          <w:i w:val="0"/>
          <w:iCs w:val="0"/>
          <w:color w:val="auto"/>
          <w:lang w:val="en-GB"/>
        </w:rPr>
        <w:t xml:space="preserve">The </w:t>
      </w:r>
      <w:r w:rsidR="00F570AF">
        <w:rPr>
          <w:i w:val="0"/>
          <w:iCs w:val="0"/>
          <w:color w:val="auto"/>
          <w:lang w:val="en-GB"/>
        </w:rPr>
        <w:t xml:space="preserve">suppliers </w:t>
      </w:r>
      <w:r w:rsidR="00790176" w:rsidRPr="00A8151A">
        <w:rPr>
          <w:i w:val="0"/>
          <w:iCs w:val="0"/>
          <w:color w:val="auto"/>
          <w:lang w:val="en-GB"/>
        </w:rPr>
        <w:t xml:space="preserve">specified microbial composition of both standards is annotated as </w:t>
      </w:r>
      <w:proofErr w:type="spellStart"/>
      <w:r w:rsidR="00F570AF">
        <w:rPr>
          <w:i w:val="0"/>
          <w:iCs w:val="0"/>
          <w:color w:val="auto"/>
          <w:lang w:val="en-GB"/>
        </w:rPr>
        <w:t>ZymoBIOMICS</w:t>
      </w:r>
      <w:proofErr w:type="spellEnd"/>
      <w:r w:rsidR="00790176" w:rsidRPr="00A8151A">
        <w:rPr>
          <w:i w:val="0"/>
          <w:iCs w:val="0"/>
          <w:color w:val="auto"/>
          <w:lang w:val="en-GB"/>
        </w:rPr>
        <w:t>.</w:t>
      </w:r>
      <w:r w:rsidR="00743AC2">
        <w:rPr>
          <w:i w:val="0"/>
          <w:iCs w:val="0"/>
          <w:color w:val="auto"/>
          <w:lang w:val="en-GB"/>
        </w:rPr>
        <w:t xml:space="preserve"> Overall, </w:t>
      </w:r>
      <w:r w:rsidR="00445177">
        <w:rPr>
          <w:i w:val="0"/>
          <w:iCs w:val="0"/>
          <w:color w:val="auto"/>
          <w:lang w:val="en-GB"/>
        </w:rPr>
        <w:t xml:space="preserve">both Cell-derived and DNA-derived standards </w:t>
      </w:r>
      <w:r w:rsidR="005836D0">
        <w:rPr>
          <w:i w:val="0"/>
          <w:iCs w:val="0"/>
          <w:color w:val="auto"/>
          <w:lang w:val="en-GB"/>
        </w:rPr>
        <w:t xml:space="preserve">showed </w:t>
      </w:r>
      <w:r w:rsidR="005836D0">
        <w:rPr>
          <w:i w:val="0"/>
          <w:iCs w:val="0"/>
          <w:color w:val="auto"/>
          <w:lang w:val="en-GB"/>
        </w:rPr>
        <w:t xml:space="preserve">high concordance between </w:t>
      </w:r>
      <w:r w:rsidR="00445177">
        <w:rPr>
          <w:i w:val="0"/>
          <w:iCs w:val="0"/>
          <w:color w:val="auto"/>
          <w:lang w:val="en-GB"/>
        </w:rPr>
        <w:t xml:space="preserve">with the </w:t>
      </w:r>
      <w:r w:rsidR="00935098">
        <w:rPr>
          <w:i w:val="0"/>
          <w:iCs w:val="0"/>
          <w:color w:val="auto"/>
          <w:lang w:val="en-GB"/>
        </w:rPr>
        <w:t>suppliers’</w:t>
      </w:r>
      <w:r w:rsidR="00445177">
        <w:rPr>
          <w:i w:val="0"/>
          <w:iCs w:val="0"/>
          <w:color w:val="auto"/>
          <w:lang w:val="en-GB"/>
        </w:rPr>
        <w:t xml:space="preserve"> specifications</w:t>
      </w:r>
      <w:r w:rsidR="005836D0">
        <w:rPr>
          <w:i w:val="0"/>
          <w:iCs w:val="0"/>
          <w:color w:val="auto"/>
          <w:lang w:val="en-GB"/>
        </w:rPr>
        <w:t xml:space="preserve">. </w:t>
      </w:r>
      <w:r w:rsidR="004301B0">
        <w:rPr>
          <w:iCs w:val="0"/>
          <w:color w:val="auto"/>
          <w:lang w:val="en-GB"/>
        </w:rPr>
        <w:t>B. subtilis</w:t>
      </w:r>
      <w:r w:rsidR="004301B0">
        <w:rPr>
          <w:i w:val="0"/>
          <w:iCs w:val="0"/>
          <w:color w:val="auto"/>
          <w:lang w:val="en-GB"/>
        </w:rPr>
        <w:t xml:space="preserve"> was </w:t>
      </w:r>
      <w:r w:rsidR="00785172">
        <w:rPr>
          <w:i w:val="0"/>
          <w:iCs w:val="0"/>
          <w:color w:val="auto"/>
          <w:lang w:val="en-GB"/>
        </w:rPr>
        <w:t xml:space="preserve">mistakenly classified as </w:t>
      </w:r>
      <w:r w:rsidR="008A10DC">
        <w:rPr>
          <w:iCs w:val="0"/>
          <w:color w:val="auto"/>
          <w:lang w:val="en-GB"/>
        </w:rPr>
        <w:t>B. intestinalis</w:t>
      </w:r>
      <w:r w:rsidR="00F45564">
        <w:rPr>
          <w:i w:val="0"/>
          <w:iCs w:val="0"/>
          <w:color w:val="auto"/>
          <w:lang w:val="en-GB"/>
        </w:rPr>
        <w:t xml:space="preserve"> and </w:t>
      </w:r>
      <w:r w:rsidR="00F45564">
        <w:rPr>
          <w:iCs w:val="0"/>
          <w:color w:val="auto"/>
          <w:lang w:val="en-GB"/>
        </w:rPr>
        <w:t xml:space="preserve">B. cereus </w:t>
      </w:r>
      <w:r w:rsidR="0020038D">
        <w:rPr>
          <w:iCs w:val="0"/>
          <w:color w:val="auto"/>
          <w:lang w:val="en-GB"/>
        </w:rPr>
        <w:t>group</w:t>
      </w:r>
      <w:r w:rsidR="0020038D">
        <w:rPr>
          <w:i w:val="0"/>
          <w:iCs w:val="0"/>
          <w:color w:val="auto"/>
          <w:lang w:val="en-GB"/>
        </w:rPr>
        <w:t xml:space="preserve"> (very small read fractions in two Cell-derived control samples). </w:t>
      </w:r>
      <w:r w:rsidR="0049747C">
        <w:rPr>
          <w:i w:val="0"/>
          <w:iCs w:val="0"/>
          <w:color w:val="auto"/>
          <w:lang w:val="en-GB"/>
        </w:rPr>
        <w:t xml:space="preserve">A small fraction of reads belonging to </w:t>
      </w:r>
      <w:r w:rsidR="0049747C">
        <w:rPr>
          <w:iCs w:val="0"/>
          <w:color w:val="auto"/>
          <w:lang w:val="en-GB"/>
        </w:rPr>
        <w:t>S. aureus</w:t>
      </w:r>
      <w:r w:rsidR="0049747C">
        <w:rPr>
          <w:i w:val="0"/>
          <w:iCs w:val="0"/>
          <w:color w:val="auto"/>
          <w:lang w:val="en-GB"/>
        </w:rPr>
        <w:t xml:space="preserve"> was mistakenly classified as </w:t>
      </w:r>
      <w:r w:rsidR="0049747C">
        <w:rPr>
          <w:iCs w:val="0"/>
          <w:color w:val="auto"/>
          <w:lang w:val="en-GB"/>
        </w:rPr>
        <w:t xml:space="preserve">S. </w:t>
      </w:r>
      <w:r w:rsidR="00FB1ACD">
        <w:rPr>
          <w:iCs w:val="0"/>
          <w:color w:val="auto"/>
          <w:lang w:val="en-GB"/>
        </w:rPr>
        <w:t>argenteus</w:t>
      </w:r>
      <w:r w:rsidR="00FB1ACD">
        <w:rPr>
          <w:i w:val="0"/>
          <w:iCs w:val="0"/>
          <w:color w:val="auto"/>
          <w:lang w:val="en-GB"/>
        </w:rPr>
        <w:t>.</w:t>
      </w:r>
      <w:r w:rsidR="0057427A">
        <w:rPr>
          <w:i w:val="0"/>
          <w:iCs w:val="0"/>
          <w:color w:val="auto"/>
          <w:lang w:val="en-GB"/>
        </w:rPr>
        <w:t xml:space="preserve"> The latter organism </w:t>
      </w:r>
      <w:r w:rsidR="00530351">
        <w:rPr>
          <w:i w:val="0"/>
          <w:iCs w:val="0"/>
          <w:color w:val="auto"/>
          <w:lang w:val="en-GB"/>
        </w:rPr>
        <w:t xml:space="preserve">is highly similar to </w:t>
      </w:r>
      <w:r w:rsidR="00530351">
        <w:rPr>
          <w:iCs w:val="0"/>
          <w:color w:val="auto"/>
          <w:lang w:val="en-GB"/>
        </w:rPr>
        <w:t xml:space="preserve">S. aureus </w:t>
      </w:r>
      <w:r w:rsidR="00530351">
        <w:rPr>
          <w:i w:val="0"/>
          <w:iCs w:val="0"/>
          <w:color w:val="auto"/>
          <w:lang w:val="en-GB"/>
        </w:rPr>
        <w:t xml:space="preserve">and was first described as a </w:t>
      </w:r>
      <w:r w:rsidR="00EF0599">
        <w:rPr>
          <w:i w:val="0"/>
          <w:iCs w:val="0"/>
          <w:color w:val="auto"/>
          <w:lang w:val="en-GB"/>
        </w:rPr>
        <w:t xml:space="preserve">strain of this species, until </w:t>
      </w:r>
      <w:r w:rsidR="00EF0599">
        <w:rPr>
          <w:iCs w:val="0"/>
          <w:color w:val="auto"/>
          <w:lang w:val="en-GB"/>
        </w:rPr>
        <w:t xml:space="preserve">S. argenteus </w:t>
      </w:r>
      <w:r w:rsidR="00EF0599">
        <w:rPr>
          <w:i w:val="0"/>
          <w:iCs w:val="0"/>
          <w:color w:val="auto"/>
          <w:lang w:val="en-GB"/>
        </w:rPr>
        <w:t xml:space="preserve">was classified as individual organism </w:t>
      </w:r>
      <w:r w:rsidR="00EF0599">
        <w:rPr>
          <w:i w:val="0"/>
          <w:iCs w:val="0"/>
          <w:color w:val="auto"/>
          <w:lang w:val="en-GB"/>
        </w:rPr>
        <w:fldChar w:fldCharType="begin" w:fldLock="1"/>
      </w:r>
      <w:r w:rsidR="008B4DA2">
        <w:rPr>
          <w:i w:val="0"/>
          <w:iCs w:val="0"/>
          <w:color w:val="auto"/>
          <w:lang w:val="en-GB"/>
        </w:rPr>
        <w:instrText>ADDIN CSL_CITATION {"citationItems":[{"id":"ITEM-1","itemData":{"DOI":"10.1093/gbe/evr078","ISSN":"1759-6653","author":[{"dropping-particle":"","family":"Holt","given":"Deborah C.","non-dropping-particle":"","parse-names":false,"suffix":""},{"dropping-particle":"","family":"Holden","given":"Matthew T.G.","non-dropping-particle":"","parse-names":false,"suffix":""},{"dropping-particle":"","family":"Tong","given":"Steven Y.C.","non-dropping-particle":"","parse-names":false,"suffix":""},{"dropping-particle":"","family":"Castillo-Ramirez","given":"Santiago","non-dropping-particle":"","parse-names":false,"suffix":""},{"dropping-particle":"","family":"Clarke","given":"Louise","non-dropping-particle":"","parse-names":false,"suffix":""},{"dropping-particle":"","family":"Quail","given":"Michael A.","non-dropping-particle":"","parse-names":false,"suffix":""},{"dropping-particle":"","family":"Currie","given":"Bart J.","non-dropping-particle":"","parse-names":false,"suffix":""},{"dropping-particle":"","family":"Parkhill","given":"Julian","non-dropping-particle":"","parse-names":false,"suffix":""},{"dropping-particle":"","family":"Bentley","given":"Stephen D.","non-dropping-particle":"","parse-names":false,"suffix":""},{"dropping-particle":"","family":"Feil","given":"Edward J.","non-dropping-particle":"","parse-names":false,"suffix":""},{"dropping-particle":"","family":"Giffard","given":"Philip M.","non-dropping-particle":"","parse-names":false,"suffix":""}],"container-title":"Genome Biology and Evolution","id":"ITEM-1","issued":{"date-parts":[["2011","1","1"]]},"page":"881-895","title":"A Very Early-Branching Staphylococcus aureus Lineage Lacking the Carotenoid Pigment Staphyloxanthin","type":"article-journal","volume":"3"},"uris":["http://www.mendeley.com/documents/?uuid=16fe0f7f-a1e9-48aa-84d1-7e119d5a3753"]},{"id":"ITEM-2","itemData":{"DOI":"10.1099/ijs.0.062752-0","ISSN":"1466-5026","abstract":"We define two novel species of the genus Staphylococcus that are phenotypically similar to and have near identical 16S rRNA gene sequences to Staphylococcus aureus . However, compared to S. aureus and each other, the two species, Staphylococcus argenteus sp. nov. (type strain MSHR1132 T = DSM 28299 T = SSI 89.005 T ) and Staphylococcus schweitzeri sp. nov. (type strain FSA084 T = DSM 28300 T = SSI 89.004 T ), demonstrate: 1) at a whole-genome level considerable phylogenetic distance, lack of admixture, average nucleotide identity &lt;95 %, and inferred DNA–DNA hybridization &lt;70 %; 2) different profiles as determined by MALDI-TOF MS; 3) a non-pigmented phenotype for S. argenteus sp. nov.; 4) S. schweitzeri sp. nov. is not detected by standard nucA PCR; 5) distinct peptidoglycan types compared to S. aureus ; 6) a separate ecological niche for S. schweitzeri sp. nov.; and 7) a distinct clinical disease profile for S. argenteus sp. nov. compared to S. aureus .","author":[{"dropping-particle":"","family":"Tong","given":"Steven Y. C.","non-dropping-particle":"","parse-names":false,"suffix":""},{"dropping-particle":"","family":"Schaumburg","given":"Frieder","non-dropping-particle":"","parse-names":false,"suffix":""},{"dropping-particle":"","family":"Ellington","given":"Matthew J.","non-dropping-particle":"","parse-names":false,"suffix":""},{"dropping-particle":"","family":"Corander","given":"Jukka","non-dropping-particle":"","parse-names":false,"suffix":""},{"dropping-particle":"","family":"Pichon","given":"Bruno","non-dropping-particle":"","parse-names":false,"suffix":""},{"dropping-particle":"","family":"Leendertz","given":"Fabian","non-dropping-particle":"","parse-names":false,"suffix":""},{"dropping-particle":"","family":"Bentley","given":"Stephen D.","non-dropping-particle":"","parse-names":false,"suffix":""},{"dropping-particle":"","family":"Parkhill","given":"Julian","non-dropping-particle":"","parse-names":false,"suffix":""},{"dropping-particle":"","family":"Holt","given":"Deborah C.","non-dropping-particle":"","parse-names":false,"suffix":""},{"dropping-particle":"","family":"Peters","given":"Georg","non-dropping-particle":"","parse-names":false,"suffix":""},{"dropping-particle":"","family":"Giffard","given":"Philip M.","non-dropping-particle":"","parse-names":false,"suffix":""}],"container-title":"International Journal of Systematic and Evolutionary Microbiology","id":"ITEM-2","issue":"Pt_1","issued":{"date-parts":[["2015","1","1"]]},"page":"15-22","title":"Novel staphylococcal species that form part of a Staphylococcus aureus-related complex: the non-pigmented Staphylococcus argenteus sp. nov. and the non-human primate-associated Staphylococcus schweitzeri sp. nov.","type":"article-journal","volume":"65"},"uris":["http://www.mendeley.com/documents/?uuid=f092ebc2-b8c6-47b7-955f-539907754797"]}],"mendeley":{"formattedCitation":"[5,6]","plainTextFormattedCitation":"[5,6]","previouslyFormattedCitation":"[5]"},"properties":{"noteIndex":0},"schema":"https://github.com/citation-style-language/schema/raw/master/csl-citation.json"}</w:instrText>
      </w:r>
      <w:r w:rsidR="00EF0599">
        <w:rPr>
          <w:i w:val="0"/>
          <w:iCs w:val="0"/>
          <w:color w:val="auto"/>
          <w:lang w:val="en-GB"/>
        </w:rPr>
        <w:fldChar w:fldCharType="separate"/>
      </w:r>
      <w:r w:rsidR="008B4DA2" w:rsidRPr="008B4DA2">
        <w:rPr>
          <w:i w:val="0"/>
          <w:iCs w:val="0"/>
          <w:noProof/>
          <w:color w:val="auto"/>
          <w:lang w:val="en-GB"/>
        </w:rPr>
        <w:t>[5,6]</w:t>
      </w:r>
      <w:r w:rsidR="00EF0599">
        <w:rPr>
          <w:i w:val="0"/>
          <w:iCs w:val="0"/>
          <w:color w:val="auto"/>
          <w:lang w:val="en-GB"/>
        </w:rPr>
        <w:fldChar w:fldCharType="end"/>
      </w:r>
      <w:r w:rsidR="008B4DA2">
        <w:rPr>
          <w:i w:val="0"/>
          <w:iCs w:val="0"/>
          <w:color w:val="auto"/>
          <w:lang w:val="en-GB"/>
        </w:rPr>
        <w:t>.</w:t>
      </w:r>
      <w:r w:rsidR="00BA65AE">
        <w:rPr>
          <w:i w:val="0"/>
          <w:iCs w:val="0"/>
          <w:color w:val="auto"/>
          <w:lang w:val="en-GB"/>
        </w:rPr>
        <w:t xml:space="preserve"> Very small </w:t>
      </w:r>
      <w:r w:rsidR="00D7033B">
        <w:rPr>
          <w:i w:val="0"/>
          <w:iCs w:val="0"/>
          <w:color w:val="auto"/>
          <w:lang w:val="en-GB"/>
        </w:rPr>
        <w:t xml:space="preserve">fractions of reads were mistakenly assigned to </w:t>
      </w:r>
      <w:r w:rsidR="00D7033B">
        <w:rPr>
          <w:iCs w:val="0"/>
          <w:color w:val="auto"/>
          <w:lang w:val="en-GB"/>
        </w:rPr>
        <w:t xml:space="preserve">A. </w:t>
      </w:r>
      <w:proofErr w:type="spellStart"/>
      <w:r w:rsidR="00D7033B">
        <w:rPr>
          <w:iCs w:val="0"/>
          <w:color w:val="auto"/>
          <w:lang w:val="en-GB"/>
        </w:rPr>
        <w:t>junii</w:t>
      </w:r>
      <w:proofErr w:type="spellEnd"/>
      <w:r w:rsidR="00D7033B">
        <w:rPr>
          <w:i w:val="0"/>
          <w:iCs w:val="0"/>
          <w:color w:val="auto"/>
          <w:lang w:val="en-GB"/>
        </w:rPr>
        <w:t xml:space="preserve"> in two </w:t>
      </w:r>
      <w:r w:rsidR="00425790">
        <w:rPr>
          <w:i w:val="0"/>
          <w:iCs w:val="0"/>
          <w:color w:val="auto"/>
          <w:lang w:val="en-GB"/>
        </w:rPr>
        <w:t>DNA-derived samples.</w:t>
      </w:r>
      <w:r w:rsidR="00425790">
        <w:rPr>
          <w:rFonts w:ascii="Symbol" w:hAnsi="Symbol"/>
          <w:i w:val="0"/>
          <w:iCs w:val="0"/>
          <w:color w:val="auto"/>
          <w:lang w:val="en-GB"/>
        </w:rPr>
        <w:t xml:space="preserve">  </w:t>
      </w:r>
      <w:r w:rsidR="00790176" w:rsidRPr="00A8151A">
        <w:rPr>
          <w:i w:val="0"/>
          <w:iCs w:val="0"/>
          <w:color w:val="auto"/>
          <w:lang w:val="en-GB"/>
        </w:rPr>
        <w:t>Clustering was performed using Euclidean distance.</w:t>
      </w:r>
      <w:r w:rsidR="00EB7B8C" w:rsidRPr="00EB7B8C">
        <w:rPr>
          <w:b/>
          <w:i w:val="0"/>
          <w:iCs w:val="0"/>
          <w:color w:val="auto"/>
          <w:lang w:val="en-GB"/>
        </w:rPr>
        <w:t xml:space="preserve"> </w:t>
      </w:r>
    </w:p>
    <w:p w14:paraId="71ACA262" w14:textId="77777777" w:rsidR="009B0839" w:rsidRPr="00DB482A" w:rsidRDefault="009B0839" w:rsidP="009B0839">
      <w:pPr>
        <w:pStyle w:val="Beschriftung"/>
        <w:keepNext/>
        <w:rPr>
          <w:lang w:val="en-GB"/>
        </w:rPr>
      </w:pPr>
      <w:r w:rsidRPr="00DB482A">
        <w:rPr>
          <w:noProof/>
          <w:lang w:eastAsia="de-DE"/>
        </w:rPr>
        <w:drawing>
          <wp:inline distT="0" distB="0" distL="0" distR="0" wp14:anchorId="6D21D2D3" wp14:editId="1AD6FD16">
            <wp:extent cx="4753155" cy="3267032"/>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5" cstate="print">
                      <a:extLst>
                        <a:ext uri="{28A0092B-C50C-407E-A947-70E740481C1C}">
                          <a14:useLocalDpi xmlns:a14="http://schemas.microsoft.com/office/drawing/2010/main" val="0"/>
                        </a:ext>
                      </a:extLst>
                    </a:blip>
                    <a:srcRect t="3609" b="3609"/>
                    <a:stretch>
                      <a:fillRect/>
                    </a:stretch>
                  </pic:blipFill>
                  <pic:spPr bwMode="auto">
                    <a:xfrm>
                      <a:off x="0" y="0"/>
                      <a:ext cx="4805616" cy="3303091"/>
                    </a:xfrm>
                    <a:prstGeom prst="rect">
                      <a:avLst/>
                    </a:prstGeom>
                    <a:ln>
                      <a:noFill/>
                    </a:ln>
                    <a:extLst>
                      <a:ext uri="{53640926-AAD7-44D8-BBD7-CCE9431645EC}">
                        <a14:shadowObscured xmlns:a14="http://schemas.microsoft.com/office/drawing/2010/main"/>
                      </a:ext>
                    </a:extLst>
                  </pic:spPr>
                </pic:pic>
              </a:graphicData>
            </a:graphic>
          </wp:inline>
        </w:drawing>
      </w:r>
    </w:p>
    <w:p w14:paraId="7837D21E" w14:textId="0ECEDA8E" w:rsidR="009B0839" w:rsidRPr="002504E3" w:rsidRDefault="04C8F1CA" w:rsidP="009B0839">
      <w:pPr>
        <w:pStyle w:val="Beschriftung"/>
        <w:jc w:val="both"/>
        <w:rPr>
          <w:b/>
          <w:i w:val="0"/>
          <w:iCs w:val="0"/>
          <w:color w:val="auto"/>
          <w:lang w:val="en-GB"/>
        </w:rPr>
      </w:pPr>
      <w:r w:rsidRPr="00A8151A">
        <w:rPr>
          <w:b/>
          <w:bCs/>
          <w:i w:val="0"/>
          <w:iCs w:val="0"/>
          <w:color w:val="auto"/>
          <w:lang w:val="en-GB"/>
        </w:rPr>
        <w:t xml:space="preserve">Suppl. Figure </w:t>
      </w:r>
      <w:r w:rsidR="12FD5172" w:rsidRPr="12FD5172">
        <w:rPr>
          <w:b/>
          <w:bCs/>
          <w:i w:val="0"/>
          <w:iCs w:val="0"/>
          <w:color w:val="auto"/>
          <w:lang w:val="en-GB"/>
        </w:rPr>
        <w:t>7</w:t>
      </w:r>
      <w:r w:rsidRPr="00A8151A">
        <w:rPr>
          <w:b/>
          <w:bCs/>
          <w:i w:val="0"/>
          <w:iCs w:val="0"/>
          <w:color w:val="auto"/>
          <w:lang w:val="en-GB"/>
        </w:rPr>
        <w:t>: Rarefaction curves</w:t>
      </w:r>
      <w:r w:rsidRPr="00A8151A">
        <w:rPr>
          <w:i w:val="0"/>
          <w:iCs w:val="0"/>
          <w:color w:val="auto"/>
          <w:lang w:val="en-GB"/>
        </w:rPr>
        <w:t xml:space="preserve">. Non-human, quality-checked metagenomic reads were subsampled to increasing depths. For the analysis of diversity metrics and clustering taxonomic profiles samples were subsampled to 141,703 reads. At this point most metagenomic samples are still below the subsampling-threshold and the number of observed species are </w:t>
      </w:r>
      <w:r w:rsidRPr="002504E3">
        <w:rPr>
          <w:i w:val="0"/>
          <w:iCs w:val="0"/>
          <w:color w:val="auto"/>
          <w:lang w:val="en-GB"/>
        </w:rPr>
        <w:t xml:space="preserve">maximized. </w:t>
      </w:r>
    </w:p>
    <w:p w14:paraId="203FE62D" w14:textId="77777777" w:rsidR="002D41E4" w:rsidRDefault="002D41E4" w:rsidP="00534932">
      <w:pPr>
        <w:keepNext/>
        <w:jc w:val="both"/>
        <w:rPr>
          <w:b/>
          <w:bCs/>
          <w:sz w:val="18"/>
          <w:szCs w:val="18"/>
          <w:lang w:val="en-GB"/>
        </w:rPr>
      </w:pPr>
    </w:p>
    <w:p w14:paraId="48EAE27C" w14:textId="33034A23" w:rsidR="00051454" w:rsidRPr="002504E3" w:rsidRDefault="00051454" w:rsidP="00534932">
      <w:pPr>
        <w:keepNext/>
        <w:jc w:val="both"/>
        <w:rPr>
          <w:sz w:val="18"/>
          <w:szCs w:val="18"/>
          <w:lang w:val="en-GB"/>
        </w:rPr>
      </w:pPr>
      <w:r w:rsidRPr="002504E3">
        <w:rPr>
          <w:b/>
          <w:bCs/>
          <w:sz w:val="18"/>
          <w:szCs w:val="18"/>
          <w:lang w:val="en-GB"/>
        </w:rPr>
        <w:t xml:space="preserve">Suppl. Table </w:t>
      </w:r>
      <w:r w:rsidRPr="002504E3">
        <w:rPr>
          <w:b/>
          <w:bCs/>
          <w:sz w:val="18"/>
          <w:szCs w:val="18"/>
        </w:rPr>
        <w:fldChar w:fldCharType="begin"/>
      </w:r>
      <w:r w:rsidRPr="002504E3">
        <w:rPr>
          <w:b/>
          <w:bCs/>
          <w:sz w:val="18"/>
          <w:szCs w:val="18"/>
          <w:lang w:val="en-GB"/>
        </w:rPr>
        <w:instrText xml:space="preserve"> SEQ Suppl._Table \* ARABIC </w:instrText>
      </w:r>
      <w:r w:rsidRPr="002504E3">
        <w:rPr>
          <w:b/>
          <w:bCs/>
          <w:sz w:val="18"/>
          <w:szCs w:val="18"/>
        </w:rPr>
        <w:fldChar w:fldCharType="separate"/>
      </w:r>
      <w:r w:rsidRPr="002504E3">
        <w:rPr>
          <w:b/>
          <w:bCs/>
          <w:noProof/>
          <w:sz w:val="18"/>
          <w:szCs w:val="18"/>
          <w:lang w:val="en-GB"/>
        </w:rPr>
        <w:t>1</w:t>
      </w:r>
      <w:r w:rsidRPr="002504E3">
        <w:rPr>
          <w:b/>
          <w:bCs/>
          <w:sz w:val="18"/>
          <w:szCs w:val="18"/>
        </w:rPr>
        <w:fldChar w:fldCharType="end"/>
      </w:r>
      <w:r w:rsidRPr="002504E3">
        <w:rPr>
          <w:b/>
          <w:bCs/>
          <w:sz w:val="18"/>
          <w:szCs w:val="18"/>
          <w:lang w:val="en-GB"/>
        </w:rPr>
        <w:t xml:space="preserve">: </w:t>
      </w:r>
      <w:r w:rsidR="00805F7A" w:rsidRPr="002504E3">
        <w:rPr>
          <w:rFonts w:ascii="Calibri" w:eastAsia="Calibri" w:hAnsi="Calibri" w:cs="Calibri"/>
          <w:b/>
          <w:bCs/>
          <w:sz w:val="18"/>
          <w:szCs w:val="18"/>
          <w:lang w:val="en-GB"/>
        </w:rPr>
        <w:t xml:space="preserve"> Antibiotic diffusion assay. </w:t>
      </w:r>
      <w:r w:rsidR="00805F7A" w:rsidRPr="002504E3">
        <w:rPr>
          <w:rFonts w:ascii="Calibri" w:eastAsia="Calibri" w:hAnsi="Calibri" w:cs="Calibri"/>
          <w:sz w:val="18"/>
          <w:szCs w:val="18"/>
          <w:lang w:val="en-GB"/>
        </w:rPr>
        <w:t xml:space="preserve">The patient derived isolates </w:t>
      </w:r>
      <w:r w:rsidR="00805F7A" w:rsidRPr="002504E3">
        <w:rPr>
          <w:rFonts w:ascii="Calibri" w:eastAsia="Calibri" w:hAnsi="Calibri" w:cs="Calibri"/>
          <w:i/>
          <w:sz w:val="18"/>
          <w:szCs w:val="18"/>
          <w:lang w:val="en-GB"/>
        </w:rPr>
        <w:t>S. aureus</w:t>
      </w:r>
      <w:r w:rsidR="00805F7A" w:rsidRPr="002504E3">
        <w:rPr>
          <w:rFonts w:ascii="Calibri" w:eastAsia="Calibri" w:hAnsi="Calibri" w:cs="Calibri"/>
          <w:sz w:val="18"/>
          <w:szCs w:val="18"/>
          <w:lang w:val="en-GB"/>
        </w:rPr>
        <w:t xml:space="preserve"> MFMZ1, </w:t>
      </w:r>
      <w:r w:rsidR="00805F7A" w:rsidRPr="002504E3">
        <w:rPr>
          <w:rFonts w:ascii="Calibri" w:eastAsia="Calibri" w:hAnsi="Calibri" w:cs="Calibri"/>
          <w:i/>
          <w:sz w:val="18"/>
          <w:szCs w:val="18"/>
          <w:lang w:val="en-GB"/>
        </w:rPr>
        <w:t>S. epidermidis</w:t>
      </w:r>
      <w:r w:rsidR="00805F7A" w:rsidRPr="002504E3">
        <w:rPr>
          <w:rFonts w:ascii="Calibri" w:eastAsia="Calibri" w:hAnsi="Calibri" w:cs="Calibri"/>
          <w:sz w:val="18"/>
          <w:szCs w:val="18"/>
          <w:lang w:val="en-GB"/>
        </w:rPr>
        <w:t xml:space="preserve"> MFMZ1, and </w:t>
      </w:r>
      <w:r w:rsidR="00805F7A" w:rsidRPr="002504E3">
        <w:rPr>
          <w:rFonts w:ascii="Calibri" w:eastAsia="Calibri" w:hAnsi="Calibri" w:cs="Calibri"/>
          <w:i/>
          <w:sz w:val="18"/>
          <w:szCs w:val="18"/>
          <w:lang w:val="en-GB"/>
        </w:rPr>
        <w:t>S. hominis</w:t>
      </w:r>
      <w:r w:rsidR="00805F7A" w:rsidRPr="002504E3">
        <w:rPr>
          <w:rFonts w:ascii="Calibri" w:eastAsia="Calibri" w:hAnsi="Calibri" w:cs="Calibri"/>
          <w:sz w:val="18"/>
          <w:szCs w:val="18"/>
          <w:lang w:val="en-GB"/>
        </w:rPr>
        <w:t xml:space="preserve"> MFMZ1 as well as positive control </w:t>
      </w:r>
      <w:r w:rsidR="00805F7A" w:rsidRPr="002504E3">
        <w:rPr>
          <w:rFonts w:ascii="Calibri" w:eastAsia="Calibri" w:hAnsi="Calibri" w:cs="Calibri"/>
          <w:i/>
          <w:sz w:val="18"/>
          <w:szCs w:val="18"/>
          <w:lang w:val="en-GB"/>
        </w:rPr>
        <w:t>S. aureus</w:t>
      </w:r>
      <w:r w:rsidR="00805F7A" w:rsidRPr="002504E3">
        <w:rPr>
          <w:rFonts w:ascii="Calibri" w:eastAsia="Calibri" w:hAnsi="Calibri" w:cs="Calibri"/>
          <w:sz w:val="18"/>
          <w:szCs w:val="18"/>
          <w:lang w:val="en-GB"/>
        </w:rPr>
        <w:t xml:space="preserve"> DSM11823 and negative control strains derived from healthy patients </w:t>
      </w:r>
      <w:r w:rsidR="00805F7A" w:rsidRPr="002504E3">
        <w:rPr>
          <w:rFonts w:ascii="Calibri" w:eastAsia="Calibri" w:hAnsi="Calibri" w:cs="Calibri"/>
          <w:i/>
          <w:sz w:val="18"/>
          <w:szCs w:val="18"/>
          <w:lang w:val="en-GB"/>
        </w:rPr>
        <w:t>S. aureus</w:t>
      </w:r>
      <w:r w:rsidR="00805F7A" w:rsidRPr="002504E3">
        <w:rPr>
          <w:rFonts w:ascii="Calibri" w:eastAsia="Calibri" w:hAnsi="Calibri" w:cs="Calibri"/>
          <w:sz w:val="18"/>
          <w:szCs w:val="18"/>
          <w:lang w:val="en-GB"/>
        </w:rPr>
        <w:t xml:space="preserve"> EM01 and </w:t>
      </w:r>
      <w:r w:rsidR="00805F7A" w:rsidRPr="002504E3">
        <w:rPr>
          <w:rFonts w:ascii="Calibri" w:eastAsia="Calibri" w:hAnsi="Calibri" w:cs="Calibri"/>
          <w:i/>
          <w:sz w:val="18"/>
          <w:szCs w:val="18"/>
          <w:lang w:val="en-GB"/>
        </w:rPr>
        <w:t>S. epidermidis</w:t>
      </w:r>
      <w:r w:rsidR="00805F7A" w:rsidRPr="002504E3">
        <w:rPr>
          <w:rFonts w:ascii="Calibri" w:eastAsia="Calibri" w:hAnsi="Calibri" w:cs="Calibri"/>
          <w:sz w:val="18"/>
          <w:szCs w:val="18"/>
          <w:lang w:val="en-GB"/>
        </w:rPr>
        <w:t xml:space="preserve"> MV01 were tested on resistance towards a set of commonly used antibiotics in the clinic. </w:t>
      </w:r>
      <w:r w:rsidR="00805F7A" w:rsidRPr="002504E3">
        <w:rPr>
          <w:rFonts w:ascii="Calibri" w:eastAsia="Calibri" w:hAnsi="Calibri" w:cs="Calibri"/>
          <w:b/>
          <w:bCs/>
          <w:sz w:val="18"/>
          <w:szCs w:val="18"/>
          <w:lang w:val="en-GB"/>
        </w:rPr>
        <w:t>a,</w:t>
      </w:r>
      <w:r w:rsidR="00805F7A" w:rsidRPr="002504E3">
        <w:rPr>
          <w:rFonts w:ascii="Calibri" w:eastAsia="Calibri" w:hAnsi="Calibri" w:cs="Calibri"/>
          <w:sz w:val="18"/>
          <w:szCs w:val="18"/>
          <w:lang w:val="en-GB"/>
        </w:rPr>
        <w:t xml:space="preserve"> The antibiotics were applied using a Sensi-Disk dispenser with (1) 25 µg ampicillin, (2) 100 µg carbenicillin, (3) (23.75 µg) </w:t>
      </w:r>
      <w:proofErr w:type="spellStart"/>
      <w:r w:rsidR="00805F7A" w:rsidRPr="002504E3">
        <w:rPr>
          <w:rFonts w:ascii="Calibri" w:eastAsia="Calibri" w:hAnsi="Calibri" w:cs="Calibri"/>
          <w:sz w:val="18"/>
          <w:szCs w:val="18"/>
          <w:lang w:val="en-GB"/>
        </w:rPr>
        <w:t>sulfamethoxazol</w:t>
      </w:r>
      <w:proofErr w:type="spellEnd"/>
      <w:r w:rsidR="00805F7A" w:rsidRPr="002504E3">
        <w:rPr>
          <w:rFonts w:ascii="Calibri" w:eastAsia="Calibri" w:hAnsi="Calibri" w:cs="Calibri"/>
          <w:sz w:val="18"/>
          <w:szCs w:val="18"/>
          <w:lang w:val="en-GB"/>
        </w:rPr>
        <w:t xml:space="preserve"> + (1.25 µg) trimethoprim, (4) 15 µg erythromycin, (5) 10 µg gentamycin, and (6) 5 µg novobiocin. Measurement of halos indicating (s) sensitive, (</w:t>
      </w:r>
      <w:proofErr w:type="spellStart"/>
      <w:r w:rsidR="00805F7A" w:rsidRPr="002504E3">
        <w:rPr>
          <w:rFonts w:ascii="Calibri" w:eastAsia="Calibri" w:hAnsi="Calibri" w:cs="Calibri"/>
          <w:sz w:val="18"/>
          <w:szCs w:val="18"/>
          <w:lang w:val="en-GB"/>
        </w:rPr>
        <w:t>i</w:t>
      </w:r>
      <w:proofErr w:type="spellEnd"/>
      <w:r w:rsidR="00805F7A" w:rsidRPr="002504E3">
        <w:rPr>
          <w:rFonts w:ascii="Calibri" w:eastAsia="Calibri" w:hAnsi="Calibri" w:cs="Calibri"/>
          <w:sz w:val="18"/>
          <w:szCs w:val="18"/>
          <w:lang w:val="en-GB"/>
        </w:rPr>
        <w:t xml:space="preserve">) intermediate, or (r) resistance effect of the antibiotics towards the tested Staphylococci strains. * indicates that the antibiotic showed an unclear categorization between </w:t>
      </w:r>
      <w:proofErr w:type="spellStart"/>
      <w:r w:rsidR="00805F7A" w:rsidRPr="002504E3">
        <w:rPr>
          <w:rFonts w:ascii="Calibri" w:eastAsia="Calibri" w:hAnsi="Calibri" w:cs="Calibri"/>
          <w:sz w:val="18"/>
          <w:szCs w:val="18"/>
          <w:lang w:val="en-GB"/>
        </w:rPr>
        <w:t>i</w:t>
      </w:r>
      <w:proofErr w:type="spellEnd"/>
      <w:r w:rsidR="00805F7A" w:rsidRPr="002504E3">
        <w:rPr>
          <w:rFonts w:ascii="Calibri" w:eastAsia="Calibri" w:hAnsi="Calibri" w:cs="Calibri"/>
          <w:sz w:val="18"/>
          <w:szCs w:val="18"/>
          <w:lang w:val="en-GB"/>
        </w:rPr>
        <w:t xml:space="preserve"> and r.</w:t>
      </w:r>
    </w:p>
    <w:tbl>
      <w:tblPr>
        <w:tblStyle w:val="EinfacheTabelle5"/>
        <w:tblW w:w="0" w:type="auto"/>
        <w:tblLayout w:type="fixed"/>
        <w:tblLook w:val="06A0" w:firstRow="1" w:lastRow="0" w:firstColumn="1" w:lastColumn="0" w:noHBand="1" w:noVBand="1"/>
      </w:tblPr>
      <w:tblGrid>
        <w:gridCol w:w="1860"/>
        <w:gridCol w:w="945"/>
        <w:gridCol w:w="1155"/>
        <w:gridCol w:w="1200"/>
        <w:gridCol w:w="1185"/>
        <w:gridCol w:w="1380"/>
        <w:gridCol w:w="1335"/>
      </w:tblGrid>
      <w:tr w:rsidR="04C8F1CA" w14:paraId="42EA3B75" w14:textId="77777777" w:rsidTr="1E5B9E1E">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1860" w:type="dxa"/>
          </w:tcPr>
          <w:p w14:paraId="52CEFEE6" w14:textId="70E1E637" w:rsidR="04C8F1CA" w:rsidRDefault="04C8F1CA" w:rsidP="04C8F1CA">
            <w:pPr>
              <w:rPr>
                <w:rFonts w:ascii="Calibri" w:eastAsia="Calibri" w:hAnsi="Calibri" w:cs="Calibri"/>
                <w:b/>
                <w:bCs/>
                <w:i w:val="0"/>
                <w:iCs w:val="0"/>
                <w:color w:val="445369"/>
                <w:sz w:val="18"/>
                <w:szCs w:val="18"/>
                <w:lang w:val="en-GB"/>
              </w:rPr>
            </w:pPr>
          </w:p>
        </w:tc>
        <w:tc>
          <w:tcPr>
            <w:tcW w:w="945" w:type="dxa"/>
          </w:tcPr>
          <w:p w14:paraId="2E1FED01" w14:textId="19FC0555"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color w:val="445369"/>
                <w:sz w:val="18"/>
                <w:szCs w:val="18"/>
                <w:lang w:val="en-GB"/>
              </w:rPr>
              <w:t>S. aureus</w:t>
            </w:r>
          </w:p>
          <w:p w14:paraId="17194A74" w14:textId="0D904BDF"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i w:val="0"/>
                <w:iCs w:val="0"/>
                <w:color w:val="445369"/>
                <w:sz w:val="18"/>
                <w:szCs w:val="18"/>
                <w:lang w:val="en-GB"/>
              </w:rPr>
              <w:t>EM01</w:t>
            </w:r>
          </w:p>
        </w:tc>
        <w:tc>
          <w:tcPr>
            <w:tcW w:w="1155" w:type="dxa"/>
          </w:tcPr>
          <w:p w14:paraId="63CCD23B" w14:textId="23675789"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i w:val="0"/>
                <w:iCs w:val="0"/>
                <w:color w:val="445369"/>
                <w:sz w:val="18"/>
                <w:szCs w:val="18"/>
                <w:lang w:val="en-GB"/>
              </w:rPr>
            </w:pPr>
            <w:r w:rsidRPr="04C8F1CA">
              <w:rPr>
                <w:rFonts w:ascii="Calibri" w:eastAsia="Calibri" w:hAnsi="Calibri" w:cs="Calibri"/>
                <w:b/>
                <w:bCs/>
                <w:color w:val="445369"/>
                <w:sz w:val="18"/>
                <w:szCs w:val="18"/>
                <w:lang w:val="en-GB"/>
              </w:rPr>
              <w:t xml:space="preserve">S. aureus </w:t>
            </w:r>
          </w:p>
          <w:p w14:paraId="444B4C9E" w14:textId="04DD4677"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i w:val="0"/>
                <w:iCs w:val="0"/>
                <w:color w:val="445369"/>
                <w:sz w:val="18"/>
                <w:szCs w:val="18"/>
                <w:lang w:val="en-GB"/>
              </w:rPr>
              <w:t>DSM 11823</w:t>
            </w:r>
          </w:p>
        </w:tc>
        <w:tc>
          <w:tcPr>
            <w:tcW w:w="1200" w:type="dxa"/>
          </w:tcPr>
          <w:p w14:paraId="4989223F" w14:textId="2BF0839E"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i w:val="0"/>
                <w:iCs w:val="0"/>
                <w:color w:val="445369"/>
                <w:sz w:val="18"/>
                <w:szCs w:val="18"/>
                <w:lang w:val="en-GB"/>
              </w:rPr>
            </w:pPr>
            <w:r w:rsidRPr="04C8F1CA">
              <w:rPr>
                <w:rFonts w:ascii="Calibri" w:eastAsia="Calibri" w:hAnsi="Calibri" w:cs="Calibri"/>
                <w:b/>
                <w:bCs/>
                <w:color w:val="445369"/>
                <w:sz w:val="18"/>
                <w:szCs w:val="18"/>
                <w:lang w:val="en-GB"/>
              </w:rPr>
              <w:t>S. aureus</w:t>
            </w:r>
          </w:p>
          <w:p w14:paraId="4485F1EA" w14:textId="70C05EA3"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i w:val="0"/>
                <w:iCs w:val="0"/>
                <w:color w:val="445369"/>
                <w:sz w:val="18"/>
                <w:szCs w:val="18"/>
                <w:lang w:val="en-GB"/>
              </w:rPr>
              <w:t>MFMZ1</w:t>
            </w:r>
          </w:p>
        </w:tc>
        <w:tc>
          <w:tcPr>
            <w:tcW w:w="1185" w:type="dxa"/>
          </w:tcPr>
          <w:p w14:paraId="7101CE58" w14:textId="5EF5926D"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i w:val="0"/>
                <w:iCs w:val="0"/>
                <w:color w:val="445369"/>
                <w:sz w:val="18"/>
                <w:szCs w:val="18"/>
                <w:lang w:val="en-GB"/>
              </w:rPr>
            </w:pPr>
            <w:r w:rsidRPr="04C8F1CA">
              <w:rPr>
                <w:rFonts w:ascii="Calibri" w:eastAsia="Calibri" w:hAnsi="Calibri" w:cs="Calibri"/>
                <w:b/>
                <w:bCs/>
                <w:color w:val="445369"/>
                <w:sz w:val="18"/>
                <w:szCs w:val="18"/>
                <w:lang w:val="en-GB"/>
              </w:rPr>
              <w:t xml:space="preserve">S. hominis </w:t>
            </w:r>
          </w:p>
          <w:p w14:paraId="24580D49" w14:textId="504B2657"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i w:val="0"/>
                <w:iCs w:val="0"/>
                <w:color w:val="445369"/>
                <w:sz w:val="18"/>
                <w:szCs w:val="18"/>
                <w:lang w:val="en-GB"/>
              </w:rPr>
              <w:t>MFMZ1</w:t>
            </w:r>
          </w:p>
        </w:tc>
        <w:tc>
          <w:tcPr>
            <w:tcW w:w="1380" w:type="dxa"/>
          </w:tcPr>
          <w:p w14:paraId="676ED6FE" w14:textId="07595D11"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color w:val="445369"/>
                <w:sz w:val="18"/>
                <w:szCs w:val="18"/>
                <w:lang w:val="en-GB"/>
              </w:rPr>
              <w:t>S. epidermidis</w:t>
            </w:r>
          </w:p>
          <w:p w14:paraId="2785CC8F" w14:textId="2DB22408"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MFMZ1</w:t>
            </w:r>
          </w:p>
        </w:tc>
        <w:tc>
          <w:tcPr>
            <w:tcW w:w="1335" w:type="dxa"/>
          </w:tcPr>
          <w:p w14:paraId="508474D2" w14:textId="07595D11"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color w:val="445369"/>
                <w:sz w:val="18"/>
                <w:szCs w:val="18"/>
                <w:lang w:val="en-GB"/>
              </w:rPr>
              <w:t>S. epidermidis</w:t>
            </w:r>
          </w:p>
          <w:p w14:paraId="52670298" w14:textId="0A03B59A" w:rsidR="04C8F1CA" w:rsidRDefault="04C8F1CA" w:rsidP="04C8F1CA">
            <w:pPr>
              <w:cnfStyle w:val="100000000000" w:firstRow="1" w:lastRow="0" w:firstColumn="0" w:lastColumn="0" w:oddVBand="0" w:evenVBand="0" w:oddHBand="0" w:evenHBand="0" w:firstRowFirstColumn="0" w:firstRowLastColumn="0" w:lastRowFirstColumn="0" w:lastRowLastColumn="0"/>
              <w:rPr>
                <w:rFonts w:ascii="Calibri" w:eastAsia="Calibri" w:hAnsi="Calibri" w:cs="Calibri"/>
                <w:b/>
                <w:bCs/>
                <w:color w:val="445369"/>
                <w:sz w:val="18"/>
                <w:szCs w:val="18"/>
                <w:lang w:val="en-GB"/>
              </w:rPr>
            </w:pPr>
            <w:r w:rsidRPr="04C8F1CA">
              <w:rPr>
                <w:rFonts w:ascii="Calibri" w:eastAsia="Calibri" w:hAnsi="Calibri" w:cs="Calibri"/>
                <w:b/>
                <w:bCs/>
                <w:i w:val="0"/>
                <w:iCs w:val="0"/>
                <w:color w:val="445369"/>
                <w:sz w:val="18"/>
                <w:szCs w:val="18"/>
                <w:lang w:val="en-GB"/>
              </w:rPr>
              <w:t>MV01</w:t>
            </w:r>
          </w:p>
        </w:tc>
      </w:tr>
      <w:tr w:rsidR="04C8F1CA" w14:paraId="6F6C6860"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48738197" w14:textId="4EA28069"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(1) Ampicillin</w:t>
            </w:r>
          </w:p>
        </w:tc>
        <w:tc>
          <w:tcPr>
            <w:tcW w:w="945" w:type="dxa"/>
          </w:tcPr>
          <w:p w14:paraId="698E770D" w14:textId="303F5A71"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24.0 mm (r)</w:t>
            </w:r>
          </w:p>
        </w:tc>
        <w:tc>
          <w:tcPr>
            <w:tcW w:w="1155" w:type="dxa"/>
          </w:tcPr>
          <w:p w14:paraId="2CD57B1A" w14:textId="198A6F2D"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27.1 mm (r)</w:t>
            </w:r>
          </w:p>
        </w:tc>
        <w:tc>
          <w:tcPr>
            <w:tcW w:w="1200" w:type="dxa"/>
          </w:tcPr>
          <w:p w14:paraId="60335D4B" w14:textId="367FFB04"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0 mm (r)</w:t>
            </w:r>
          </w:p>
        </w:tc>
        <w:tc>
          <w:tcPr>
            <w:tcW w:w="1185" w:type="dxa"/>
          </w:tcPr>
          <w:p w14:paraId="3BF00BEE" w14:textId="76113ADF"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34.4 mm (s)</w:t>
            </w:r>
          </w:p>
        </w:tc>
        <w:tc>
          <w:tcPr>
            <w:tcW w:w="1380" w:type="dxa"/>
          </w:tcPr>
          <w:p w14:paraId="20EC90F7" w14:textId="39368A55"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33.4 mm (s)</w:t>
            </w:r>
          </w:p>
        </w:tc>
        <w:tc>
          <w:tcPr>
            <w:tcW w:w="1335" w:type="dxa"/>
          </w:tcPr>
          <w:p w14:paraId="1AC3D9C4" w14:textId="34BE39EB"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36.1 mm (s)</w:t>
            </w:r>
          </w:p>
        </w:tc>
      </w:tr>
      <w:tr w:rsidR="04C8F1CA" w14:paraId="5277E900"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2F2C0369" w14:textId="5ACB77A5"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(2) Carbenicillin</w:t>
            </w:r>
          </w:p>
        </w:tc>
        <w:tc>
          <w:tcPr>
            <w:tcW w:w="945" w:type="dxa"/>
          </w:tcPr>
          <w:p w14:paraId="11A1B73D" w14:textId="22C4F913"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26.0 (s)</w:t>
            </w:r>
          </w:p>
        </w:tc>
        <w:tc>
          <w:tcPr>
            <w:tcW w:w="1155" w:type="dxa"/>
          </w:tcPr>
          <w:p w14:paraId="5A102EC9" w14:textId="569EA90E"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24.1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200" w:type="dxa"/>
          </w:tcPr>
          <w:p w14:paraId="05B4D19C" w14:textId="4B4F1953"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0 mm (r)</w:t>
            </w:r>
          </w:p>
        </w:tc>
        <w:tc>
          <w:tcPr>
            <w:tcW w:w="1185" w:type="dxa"/>
          </w:tcPr>
          <w:p w14:paraId="7FACC340" w14:textId="03614CE2"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26.2 mm (s)</w:t>
            </w:r>
          </w:p>
        </w:tc>
        <w:tc>
          <w:tcPr>
            <w:tcW w:w="1380" w:type="dxa"/>
          </w:tcPr>
          <w:p w14:paraId="65E9DA40" w14:textId="5309D716"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26.2 mm (s)</w:t>
            </w:r>
          </w:p>
        </w:tc>
        <w:tc>
          <w:tcPr>
            <w:tcW w:w="1335" w:type="dxa"/>
          </w:tcPr>
          <w:p w14:paraId="4A847B51" w14:textId="23DF2C5B"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36.6 mm (s)</w:t>
            </w:r>
          </w:p>
        </w:tc>
      </w:tr>
      <w:tr w:rsidR="04C8F1CA" w14:paraId="007C477B"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00D95836" w14:textId="2A7916A9"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(3) Sulfamethoxazole + Trimethoprim</w:t>
            </w:r>
          </w:p>
        </w:tc>
        <w:tc>
          <w:tcPr>
            <w:tcW w:w="945" w:type="dxa"/>
          </w:tcPr>
          <w:p w14:paraId="390B66B9" w14:textId="2942D47E"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15.0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155" w:type="dxa"/>
          </w:tcPr>
          <w:p w14:paraId="093CCE62" w14:textId="6C43D564"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11.8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200" w:type="dxa"/>
          </w:tcPr>
          <w:p w14:paraId="2111E323" w14:textId="04222D65"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12.0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185" w:type="dxa"/>
          </w:tcPr>
          <w:p w14:paraId="69404D83" w14:textId="2E84BBBD"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21.0 mm (s)</w:t>
            </w:r>
          </w:p>
        </w:tc>
        <w:tc>
          <w:tcPr>
            <w:tcW w:w="1380" w:type="dxa"/>
          </w:tcPr>
          <w:p w14:paraId="07EE40A0" w14:textId="5DFD5CF1"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20.8 mm (s)</w:t>
            </w:r>
          </w:p>
        </w:tc>
        <w:tc>
          <w:tcPr>
            <w:tcW w:w="1335" w:type="dxa"/>
          </w:tcPr>
          <w:p w14:paraId="19BE59CB" w14:textId="4C7030A5"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15.3 mm (s)</w:t>
            </w:r>
          </w:p>
        </w:tc>
      </w:tr>
      <w:tr w:rsidR="04C8F1CA" w14:paraId="5CF85A1E"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43F6DE5B" w14:textId="7955F1EF"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(4) Erythromycin</w:t>
            </w:r>
          </w:p>
        </w:tc>
        <w:tc>
          <w:tcPr>
            <w:tcW w:w="945" w:type="dxa"/>
          </w:tcPr>
          <w:p w14:paraId="6EF2DF55" w14:textId="03D68878"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15.0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155" w:type="dxa"/>
          </w:tcPr>
          <w:p w14:paraId="07DBAE56" w14:textId="4545F066"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20.1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200" w:type="dxa"/>
          </w:tcPr>
          <w:p w14:paraId="46F5EF60" w14:textId="3CF2B433"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20.0 mm (</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w:t>
            </w:r>
          </w:p>
        </w:tc>
        <w:tc>
          <w:tcPr>
            <w:tcW w:w="1185" w:type="dxa"/>
          </w:tcPr>
          <w:p w14:paraId="6716AC4C" w14:textId="124470A4"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25.1 mm (s)</w:t>
            </w:r>
          </w:p>
        </w:tc>
        <w:tc>
          <w:tcPr>
            <w:tcW w:w="1380" w:type="dxa"/>
          </w:tcPr>
          <w:p w14:paraId="695B7F91" w14:textId="160D50D5"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28.2 mm (s)</w:t>
            </w:r>
          </w:p>
        </w:tc>
        <w:tc>
          <w:tcPr>
            <w:tcW w:w="1335" w:type="dxa"/>
          </w:tcPr>
          <w:p w14:paraId="04901334" w14:textId="45DC9241"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22.3 mm (s)</w:t>
            </w:r>
          </w:p>
        </w:tc>
      </w:tr>
      <w:tr w:rsidR="04C8F1CA" w14:paraId="55237113"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653E82D7" w14:textId="583E429E"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(5) Gentamycin</w:t>
            </w:r>
          </w:p>
        </w:tc>
        <w:tc>
          <w:tcPr>
            <w:tcW w:w="945" w:type="dxa"/>
          </w:tcPr>
          <w:p w14:paraId="3D422A62" w14:textId="598A3DB9"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10.0 mm (r)</w:t>
            </w:r>
          </w:p>
        </w:tc>
        <w:tc>
          <w:tcPr>
            <w:tcW w:w="1155" w:type="dxa"/>
          </w:tcPr>
          <w:p w14:paraId="1765079F" w14:textId="14171533"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14.9 mm (s)</w:t>
            </w:r>
          </w:p>
        </w:tc>
        <w:tc>
          <w:tcPr>
            <w:tcW w:w="1200" w:type="dxa"/>
          </w:tcPr>
          <w:p w14:paraId="56E266A9" w14:textId="0F8C17A7"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 xml:space="preserve">12.0 mm </w:t>
            </w:r>
          </w:p>
          <w:p w14:paraId="6B1B1082" w14:textId="0A1795F9"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w:t>
            </w:r>
            <w:proofErr w:type="spellStart"/>
            <w:r w:rsidRPr="04C8F1CA">
              <w:rPr>
                <w:rFonts w:ascii="Calibri" w:eastAsia="Calibri" w:hAnsi="Calibri" w:cs="Calibri"/>
                <w:color w:val="445369"/>
                <w:sz w:val="18"/>
                <w:szCs w:val="18"/>
                <w:lang w:val="en-GB"/>
              </w:rPr>
              <w:t>i</w:t>
            </w:r>
            <w:proofErr w:type="spellEnd"/>
            <w:r w:rsidRPr="04C8F1CA">
              <w:rPr>
                <w:rFonts w:ascii="Calibri" w:eastAsia="Calibri" w:hAnsi="Calibri" w:cs="Calibri"/>
                <w:color w:val="445369"/>
                <w:sz w:val="18"/>
                <w:szCs w:val="18"/>
                <w:lang w:val="en-GB"/>
              </w:rPr>
              <w:t>-r)*</w:t>
            </w:r>
          </w:p>
        </w:tc>
        <w:tc>
          <w:tcPr>
            <w:tcW w:w="1185" w:type="dxa"/>
          </w:tcPr>
          <w:p w14:paraId="62506E3C" w14:textId="02C4EBE2"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14.4 mm (s)</w:t>
            </w:r>
          </w:p>
        </w:tc>
        <w:tc>
          <w:tcPr>
            <w:tcW w:w="1380" w:type="dxa"/>
          </w:tcPr>
          <w:p w14:paraId="3C72F86A" w14:textId="55E04620"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25.9 mm (s)</w:t>
            </w:r>
          </w:p>
        </w:tc>
        <w:tc>
          <w:tcPr>
            <w:tcW w:w="1335" w:type="dxa"/>
          </w:tcPr>
          <w:p w14:paraId="405726FD" w14:textId="4F4D94D9"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15.9 mm (s)</w:t>
            </w:r>
          </w:p>
        </w:tc>
      </w:tr>
      <w:tr w:rsidR="04C8F1CA" w14:paraId="733C82F5" w14:textId="77777777" w:rsidTr="1E5B9E1E">
        <w:trPr>
          <w:trHeight w:val="300"/>
        </w:trPr>
        <w:tc>
          <w:tcPr>
            <w:cnfStyle w:val="001000000000" w:firstRow="0" w:lastRow="0" w:firstColumn="1" w:lastColumn="0" w:oddVBand="0" w:evenVBand="0" w:oddHBand="0" w:evenHBand="0" w:firstRowFirstColumn="0" w:firstRowLastColumn="0" w:lastRowFirstColumn="0" w:lastRowLastColumn="0"/>
            <w:tcW w:w="1860" w:type="dxa"/>
          </w:tcPr>
          <w:p w14:paraId="471DF132" w14:textId="0CC65065" w:rsidR="04C8F1CA" w:rsidRDefault="04C8F1CA" w:rsidP="04C8F1CA">
            <w:pPr>
              <w:rPr>
                <w:rFonts w:ascii="Calibri" w:eastAsia="Calibri" w:hAnsi="Calibri" w:cs="Calibri"/>
                <w:b/>
                <w:bCs/>
                <w:i w:val="0"/>
                <w:iCs w:val="0"/>
                <w:color w:val="445369"/>
                <w:sz w:val="18"/>
                <w:szCs w:val="18"/>
                <w:lang w:val="en-GB"/>
              </w:rPr>
            </w:pPr>
            <w:r w:rsidRPr="04C8F1CA">
              <w:rPr>
                <w:rFonts w:ascii="Calibri" w:eastAsia="Calibri" w:hAnsi="Calibri" w:cs="Calibri"/>
                <w:b/>
                <w:bCs/>
                <w:i w:val="0"/>
                <w:iCs w:val="0"/>
                <w:color w:val="445369"/>
                <w:sz w:val="18"/>
                <w:szCs w:val="18"/>
                <w:lang w:val="en-GB"/>
              </w:rPr>
              <w:t>(6) Novobiocin</w:t>
            </w:r>
          </w:p>
        </w:tc>
        <w:tc>
          <w:tcPr>
            <w:tcW w:w="945" w:type="dxa"/>
          </w:tcPr>
          <w:p w14:paraId="54C59F5F" w14:textId="49276BA0"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24.0 mm (s)</w:t>
            </w:r>
          </w:p>
        </w:tc>
        <w:tc>
          <w:tcPr>
            <w:tcW w:w="1155" w:type="dxa"/>
          </w:tcPr>
          <w:p w14:paraId="449EB2AF" w14:textId="15D94A5B"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28.5 mm (s)</w:t>
            </w:r>
          </w:p>
        </w:tc>
        <w:tc>
          <w:tcPr>
            <w:tcW w:w="1200" w:type="dxa"/>
          </w:tcPr>
          <w:p w14:paraId="3C635E58" w14:textId="0F42D1DE"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29.4 mm (s)</w:t>
            </w:r>
          </w:p>
        </w:tc>
        <w:tc>
          <w:tcPr>
            <w:tcW w:w="1185" w:type="dxa"/>
          </w:tcPr>
          <w:p w14:paraId="6899D420" w14:textId="114BD713"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27.0 mm (s)</w:t>
            </w:r>
          </w:p>
        </w:tc>
        <w:tc>
          <w:tcPr>
            <w:tcW w:w="1380" w:type="dxa"/>
          </w:tcPr>
          <w:p w14:paraId="79ADA25A" w14:textId="79183E31"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38.2 mm (s)</w:t>
            </w:r>
          </w:p>
        </w:tc>
        <w:tc>
          <w:tcPr>
            <w:tcW w:w="1335" w:type="dxa"/>
          </w:tcPr>
          <w:p w14:paraId="12CEF8E3" w14:textId="4DB7E4FE" w:rsidR="04C8F1CA" w:rsidRDefault="04C8F1CA" w:rsidP="04C8F1CA">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445369"/>
                <w:sz w:val="18"/>
                <w:szCs w:val="18"/>
                <w:lang w:val="en-GB"/>
              </w:rPr>
            </w:pPr>
            <w:r w:rsidRPr="04C8F1CA">
              <w:rPr>
                <w:rFonts w:ascii="Calibri" w:eastAsia="Calibri" w:hAnsi="Calibri" w:cs="Calibri"/>
                <w:color w:val="445369"/>
                <w:sz w:val="18"/>
                <w:szCs w:val="18"/>
                <w:lang w:val="en-GB"/>
              </w:rPr>
              <w:t>33.1 mm (s)</w:t>
            </w:r>
          </w:p>
        </w:tc>
      </w:tr>
    </w:tbl>
    <w:p w14:paraId="53745844" w14:textId="77777777" w:rsidR="00595BBD" w:rsidRDefault="00595BBD" w:rsidP="04C8F1CA">
      <w:pPr>
        <w:keepNext/>
      </w:pPr>
    </w:p>
    <w:p w14:paraId="21AD3E67" w14:textId="5E48CE3C" w:rsidR="00CD602A" w:rsidRPr="00DB482A" w:rsidRDefault="00CD602A" w:rsidP="00CD602A">
      <w:pPr>
        <w:pStyle w:val="Beschriftung"/>
        <w:keepNext/>
        <w:rPr>
          <w:b/>
          <w:lang w:val="en-GB"/>
        </w:rPr>
      </w:pPr>
      <w:r w:rsidRPr="00A8151A">
        <w:rPr>
          <w:b/>
          <w:i w:val="0"/>
          <w:iCs w:val="0"/>
          <w:color w:val="auto"/>
          <w:lang w:val="en-GB"/>
        </w:rPr>
        <w:t xml:space="preserve">Suppl. Table </w:t>
      </w:r>
      <w:r w:rsidR="00051454" w:rsidRPr="00A8151A">
        <w:rPr>
          <w:b/>
          <w:i w:val="0"/>
          <w:iCs w:val="0"/>
          <w:color w:val="auto"/>
          <w:lang w:val="en-GB"/>
        </w:rPr>
        <w:fldChar w:fldCharType="begin"/>
      </w:r>
      <w:r w:rsidR="00051454" w:rsidRPr="00A8151A">
        <w:rPr>
          <w:b/>
          <w:i w:val="0"/>
          <w:iCs w:val="0"/>
          <w:color w:val="auto"/>
          <w:lang w:val="en-GB"/>
        </w:rPr>
        <w:instrText xml:space="preserve"> SEQ Suppl._Table \* ARABIC </w:instrText>
      </w:r>
      <w:r w:rsidR="00051454" w:rsidRPr="00A8151A">
        <w:rPr>
          <w:b/>
          <w:i w:val="0"/>
          <w:iCs w:val="0"/>
          <w:color w:val="auto"/>
          <w:lang w:val="en-GB"/>
        </w:rPr>
        <w:fldChar w:fldCharType="separate"/>
      </w:r>
      <w:r w:rsidR="00051454" w:rsidRPr="00A8151A">
        <w:rPr>
          <w:b/>
          <w:i w:val="0"/>
          <w:iCs w:val="0"/>
          <w:noProof/>
          <w:color w:val="auto"/>
          <w:lang w:val="en-GB"/>
        </w:rPr>
        <w:t>2</w:t>
      </w:r>
      <w:r w:rsidR="00051454" w:rsidRPr="00A8151A">
        <w:rPr>
          <w:b/>
          <w:i w:val="0"/>
          <w:iCs w:val="0"/>
          <w:color w:val="auto"/>
          <w:lang w:val="en-GB"/>
        </w:rPr>
        <w:fldChar w:fldCharType="end"/>
      </w:r>
      <w:r w:rsidRPr="00A8151A">
        <w:rPr>
          <w:b/>
          <w:i w:val="0"/>
          <w:iCs w:val="0"/>
          <w:color w:val="auto"/>
          <w:lang w:val="en-GB"/>
        </w:rPr>
        <w:t>: Sequences</w:t>
      </w:r>
      <w:r w:rsidR="00CE6CC6" w:rsidRPr="00A8151A">
        <w:rPr>
          <w:b/>
          <w:i w:val="0"/>
          <w:iCs w:val="0"/>
          <w:color w:val="auto"/>
          <w:lang w:val="en-GB"/>
        </w:rPr>
        <w:t xml:space="preserve"> of Primers</w:t>
      </w:r>
      <w:r w:rsidR="004F050B" w:rsidRPr="00A8151A">
        <w:rPr>
          <w:b/>
          <w:i w:val="0"/>
          <w:iCs w:val="0"/>
          <w:color w:val="auto"/>
          <w:lang w:val="en-GB"/>
        </w:rPr>
        <w:t xml:space="preserve"> for AMPs</w:t>
      </w:r>
      <w:r w:rsidR="009E3476" w:rsidRPr="00A8151A">
        <w:rPr>
          <w:b/>
          <w:i w:val="0"/>
          <w:iCs w:val="0"/>
          <w:color w:val="auto"/>
          <w:lang w:val="en-GB"/>
        </w:rPr>
        <w:t xml:space="preserve"> and quantification of</w:t>
      </w:r>
      <w:r w:rsidR="004F050B" w:rsidRPr="00A8151A">
        <w:rPr>
          <w:b/>
          <w:i w:val="0"/>
          <w:iCs w:val="0"/>
          <w:color w:val="auto"/>
          <w:lang w:val="en-GB"/>
        </w:rPr>
        <w:t xml:space="preserve"> Staphylococci quantification and </w:t>
      </w:r>
      <w:r w:rsidR="009E3476" w:rsidRPr="00A8151A">
        <w:rPr>
          <w:b/>
          <w:i w:val="0"/>
          <w:iCs w:val="0"/>
          <w:color w:val="auto"/>
          <w:lang w:val="en-GB"/>
        </w:rPr>
        <w:t>virulence genes</w:t>
      </w:r>
      <w:r w:rsidR="0038241C">
        <w:rPr>
          <w:b/>
          <w:lang w:val="en-GB"/>
        </w:rPr>
        <w:t>.</w:t>
      </w:r>
    </w:p>
    <w:tbl>
      <w:tblPr>
        <w:tblStyle w:val="EinfacheTabelle5"/>
        <w:tblW w:w="4243" w:type="pct"/>
        <w:tblLook w:val="04A0" w:firstRow="1" w:lastRow="0" w:firstColumn="1" w:lastColumn="0" w:noHBand="0" w:noVBand="1"/>
      </w:tblPr>
      <w:tblGrid>
        <w:gridCol w:w="1009"/>
        <w:gridCol w:w="4851"/>
        <w:gridCol w:w="1838"/>
      </w:tblGrid>
      <w:tr w:rsidR="00CD602A" w:rsidRPr="00DB482A" w14:paraId="6569F02F" w14:textId="77777777" w:rsidTr="1E5B9E1E">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08" w:type="dxa"/>
          </w:tcPr>
          <w:p w14:paraId="0E3FCC6A" w14:textId="77777777" w:rsidR="00CD602A" w:rsidRPr="009743A1" w:rsidRDefault="00CD602A" w:rsidP="00736FF0">
            <w:pPr>
              <w:pStyle w:val="Masterthesis"/>
              <w:rPr>
                <w:i w:val="0"/>
                <w:iCs w:val="0"/>
                <w:sz w:val="22"/>
              </w:rPr>
            </w:pPr>
            <w:r w:rsidRPr="009743A1">
              <w:rPr>
                <w:i w:val="0"/>
                <w:iCs w:val="0"/>
                <w:sz w:val="22"/>
              </w:rPr>
              <w:t>Gene</w:t>
            </w:r>
          </w:p>
        </w:tc>
        <w:tc>
          <w:tcPr>
            <w:tcW w:w="4846" w:type="dxa"/>
          </w:tcPr>
          <w:p w14:paraId="4091AD90" w14:textId="35AF85B1" w:rsidR="00CD602A" w:rsidRPr="009743A1" w:rsidRDefault="00F81381" w:rsidP="00736FF0">
            <w:pPr>
              <w:pStyle w:val="Masterthesis"/>
              <w:cnfStyle w:val="100000000000" w:firstRow="1" w:lastRow="0" w:firstColumn="0" w:lastColumn="0" w:oddVBand="0" w:evenVBand="0" w:oddHBand="0" w:evenHBand="0" w:firstRowFirstColumn="0" w:firstRowLastColumn="0" w:lastRowFirstColumn="0" w:lastRowLastColumn="0"/>
              <w:rPr>
                <w:i w:val="0"/>
                <w:iCs w:val="0"/>
                <w:sz w:val="22"/>
              </w:rPr>
            </w:pPr>
            <w:r>
              <w:rPr>
                <w:i w:val="0"/>
                <w:iCs w:val="0"/>
                <w:sz w:val="22"/>
              </w:rPr>
              <w:t>Primers</w:t>
            </w:r>
          </w:p>
        </w:tc>
        <w:tc>
          <w:tcPr>
            <w:tcW w:w="1836" w:type="dxa"/>
          </w:tcPr>
          <w:p w14:paraId="2FBC49DA" w14:textId="6EBE7019" w:rsidR="00CD602A" w:rsidRPr="009743A1" w:rsidRDefault="0038241C" w:rsidP="00736FF0">
            <w:pPr>
              <w:pStyle w:val="Masterthesis"/>
              <w:jc w:val="center"/>
              <w:cnfStyle w:val="100000000000" w:firstRow="1" w:lastRow="0" w:firstColumn="0" w:lastColumn="0" w:oddVBand="0" w:evenVBand="0" w:oddHBand="0" w:evenHBand="0" w:firstRowFirstColumn="0" w:firstRowLastColumn="0" w:lastRowFirstColumn="0" w:lastRowLastColumn="0"/>
              <w:rPr>
                <w:i w:val="0"/>
                <w:iCs w:val="0"/>
                <w:sz w:val="22"/>
              </w:rPr>
            </w:pPr>
            <w:r w:rsidRPr="009743A1">
              <w:rPr>
                <w:i w:val="0"/>
                <w:iCs w:val="0"/>
                <w:sz w:val="22"/>
              </w:rPr>
              <w:t>Source</w:t>
            </w:r>
          </w:p>
        </w:tc>
      </w:tr>
      <w:tr w:rsidR="00CD602A" w:rsidRPr="00DB482A" w14:paraId="2933B09E" w14:textId="77777777" w:rsidTr="1E5B9E1E">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C30198F" w14:textId="77777777" w:rsidR="00CD602A" w:rsidRPr="009743A1" w:rsidRDefault="00CD602A" w:rsidP="00CC6DBA">
            <w:pPr>
              <w:pStyle w:val="Masterthesis"/>
              <w:jc w:val="center"/>
              <w:rPr>
                <w:sz w:val="22"/>
              </w:rPr>
            </w:pPr>
            <w:r w:rsidRPr="009743A1">
              <w:rPr>
                <w:sz w:val="22"/>
              </w:rPr>
              <w:t>GAPDH</w:t>
            </w:r>
          </w:p>
        </w:tc>
        <w:tc>
          <w:tcPr>
            <w:tcW w:w="4846" w:type="dxa"/>
            <w:vAlign w:val="center"/>
          </w:tcPr>
          <w:p w14:paraId="4C515EA9"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DB482A">
              <w:rPr>
                <w:rFonts w:cstheme="minorHAnsi"/>
                <w:sz w:val="22"/>
              </w:rPr>
              <w:t>F: 5’-TCAAGGCTGAGAACGGGAAG-3’</w:t>
            </w:r>
          </w:p>
          <w:p w14:paraId="68A95FD2"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sz w:val="22"/>
              </w:rPr>
            </w:pPr>
            <w:r w:rsidRPr="00DB482A">
              <w:rPr>
                <w:rFonts w:cstheme="minorHAnsi"/>
                <w:sz w:val="22"/>
              </w:rPr>
              <w:t>R: 5’-CGCCCCACTTGATTTTGGAG-3’</w:t>
            </w:r>
          </w:p>
        </w:tc>
        <w:tc>
          <w:tcPr>
            <w:tcW w:w="1836" w:type="dxa"/>
            <w:vAlign w:val="center"/>
          </w:tcPr>
          <w:p w14:paraId="44CDE0BE" w14:textId="127E119B" w:rsidR="00CD602A" w:rsidRPr="00DB482A" w:rsidRDefault="00B5135E" w:rsidP="00736FF0">
            <w:pPr>
              <w:pStyle w:val="Masterthesis"/>
              <w:jc w:val="center"/>
              <w:cnfStyle w:val="000000100000" w:firstRow="0" w:lastRow="0" w:firstColumn="0" w:lastColumn="0" w:oddVBand="0" w:evenVBand="0" w:oddHBand="1"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{"citationItems":[{"id":"ITEM-1","itemData":{"DOI":"10.1016/j.omtm.2020.12.010","ISSN":"23290501","abstract":"Metastasis is the primary cause of cancer-related mortality. Experimental models that accurately reflect changes in metastatic burden are essential tools for developing treatments and to gain a better understanding of disease. Murine xenograft tumor models mimic the human scenario and provide a platform for metastasis analyses. An ex vivo quantitative method, gaining favor for its ease and accuracy, is quantitative reverse-transcriptase polymerase chain reaction (qRT-PCR); however, it is currently unclear how well this method correlates with gold-standard histological analysis, and its use has required detection of overexpressed exogenous genes. We have introduced a variation of the qRT-PCR method: human-specific glyceraldehyde 3-phosphate dehydrogenase (GAPDH) qRT-PCR, which allows quantification of metastasis in xenograft models without the requirement of overexpressed exogenous genes. This makes the method easily amenable to many xenograft models without alteration of the cancer cells. We determined that the method is able to detect a few human cells within abundant mouse lung tissue. Further, the human-specific GAPDH qRT-PCR is more sensitive and correlates with histological analysis in terms of determining relative metastatic burden, suggesting that human-specific GAPDH qRT-PCR could be used as a primary method for quantification of disseminated human cells in murine xenograft models.","author":[{"dropping-particle":"","family":"Dahn","given":"Margaret L.","non-dropping-particle":"","parse-names":false,"suffix":""},{"dropping-particle":"","family":"Dean","given":"Cheryl A.","non-dropping-particle":"","parse-names":false,"suffix":""},{"dropping-particle":"","family":"Jo","given":"Diana B.","non-dropping-particle":"","parse-names":false,"suffix":""},{"dropping-particle":"","family":"Coyle","given":"Krysta M.","non-dropping-particle":"","parse-names":false,"suffix":""},{"dropping-particle":"","family":"Marcato","given":"Paola","non-dropping-particle":"","parse-names":false,"suffix":""}],"container-title":"Molecular Therapy - Methods &amp; Clinical Development","id":"ITEM-1","issue":"March","issued":{"date-parts":[["2021","3"]]},"page":"398-408","publisher":"The Author(s)","title":"Human-specific GAPDH qRT-PCR is an accurate and sensitive method of xenograft metastasis quantification","type":"article-journal","volume":"20"},"uris":["http://www.mendeley.com/documents/?uuid=d0f6c095-4ee7-4a79-91c2-195e169c7ecf"]}],"mendeley":{"formattedCitation":"[7]","plainTextFormattedCitation":"[7]","previouslyFormattedCitation":"[6]"},"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[7]</w:t>
            </w:r>
            <w:r>
              <w:rPr>
                <w:rFonts w:cstheme="minorHAnsi"/>
                <w:sz w:val="22"/>
              </w:rPr>
              <w:fldChar w:fldCharType="end"/>
            </w:r>
          </w:p>
        </w:tc>
      </w:tr>
      <w:tr w:rsidR="00782440" w:rsidRPr="00B318DA" w14:paraId="74E66B5F" w14:textId="77777777" w:rsidTr="1E5B9E1E">
        <w:trPr>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5040BDF" w14:textId="45D9E8D9" w:rsidR="00782440" w:rsidRPr="009743A1" w:rsidRDefault="00782440" w:rsidP="00CC6DBA">
            <w:pPr>
              <w:pStyle w:val="Masterthesis"/>
              <w:jc w:val="center"/>
              <w:rPr>
                <w:sz w:val="22"/>
              </w:rPr>
            </w:pPr>
            <w:r w:rsidRPr="009743A1">
              <w:rPr>
                <w:sz w:val="22"/>
              </w:rPr>
              <w:t>hBD1</w:t>
            </w:r>
          </w:p>
        </w:tc>
        <w:tc>
          <w:tcPr>
            <w:tcW w:w="4846" w:type="dxa"/>
            <w:vAlign w:val="center"/>
          </w:tcPr>
          <w:p w14:paraId="1B86E1CD" w14:textId="5043D1A5" w:rsidR="00B318DA" w:rsidRPr="00DE7065" w:rsidRDefault="00B318DA" w:rsidP="00B318DA">
            <w:pPr>
              <w:cnfStyle w:val="000000000000" w:firstRow="0" w:lastRow="0" w:firstColumn="0" w:lastColumn="0" w:oddVBand="0" w:evenVBand="0" w:oddHBand="0" w:evenHBand="0" w:firstRowFirstColumn="0" w:firstRowLastColumn="0" w:lastRowFirstColumn="0" w:lastRowLastColumn="0"/>
            </w:pPr>
            <w:r w:rsidRPr="00DE7065">
              <w:t>F</w:t>
            </w:r>
            <w:r>
              <w:t>:</w:t>
            </w:r>
            <w:r w:rsidRPr="00DE7065">
              <w:t xml:space="preserve"> 5’-TGAGAACTTCCTACCTTCTGCTGTTT-3‘</w:t>
            </w:r>
          </w:p>
          <w:p w14:paraId="374856CF" w14:textId="54CE8760" w:rsidR="00782440" w:rsidRPr="00B318DA" w:rsidRDefault="00B318DA" w:rsidP="00B318DA">
            <w:pPr>
              <w:cnfStyle w:val="000000000000" w:firstRow="0" w:lastRow="0" w:firstColumn="0" w:lastColumn="0" w:oddVBand="0" w:evenVBand="0" w:oddHBand="0" w:evenHBand="0" w:firstRowFirstColumn="0" w:firstRowLastColumn="0" w:lastRowFirstColumn="0" w:lastRowLastColumn="0"/>
            </w:pPr>
            <w:r w:rsidRPr="00DE7065">
              <w:t>R</w:t>
            </w:r>
            <w:r>
              <w:t>:</w:t>
            </w:r>
            <w:r w:rsidRPr="00DE7065">
              <w:t xml:space="preserve"> 5’-GCCAAGGCCTGTGAGAAAGTTA-3’</w:t>
            </w:r>
          </w:p>
        </w:tc>
        <w:tc>
          <w:tcPr>
            <w:tcW w:w="1836" w:type="dxa"/>
            <w:vAlign w:val="center"/>
          </w:tcPr>
          <w:p w14:paraId="6D371325" w14:textId="59371E93" w:rsidR="00782440" w:rsidRPr="00DB482A" w:rsidRDefault="00B5135E" w:rsidP="00736FF0">
            <w:pPr>
              <w:pStyle w:val="Masterthesis"/>
              <w:jc w:val="center"/>
              <w:cnfStyle w:val="000000000000" w:firstRow="0" w:lastRow="0" w:firstColumn="0" w:lastColumn="0" w:oddVBand="0" w:evenVBand="0" w:oddHBand="0"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{"citationItems":[{"id":"ITEM-1","itemData":{"DOI":"10.1158/1078-0432.CCR-14-0707","ISBN":"4930450518625","ISSN":"1078-0432","PMID":"25212608","abstract":"Purpose: Primary cutaneous T-cell lymphomas (CTCL) are neoplastic disorders of skin-homing T cells. Affected skin areas show morphologic similarities with alterations in other T-cell-mediated dermatoses. Furthermore, as in atopic dermatitis but in contrast with psoriasis, patients with CTCL are frequently afflicted by cutaneous bacterial infections that support the survival of lymphoma cells. Our aim was to investigate the mechanisms of elevated susceptibility to cutaneous infections in patients with CTCL. Experimental Design: Skin samples from CTCL, psoriasis, and atopic dermatitis patients were used to illuminate the antibacterial competence status and the presence of its modulating cytokines. For substantiation of findings, 3-dimensional epidermis models, isolated and in vitro generated Th-subpopulations, were applied. Parameters were analyzed via qPCR and IHC. Results: CTCL lesions compared with psoriatic lesions presented an impaired upregulation of antibacterial proteins (ABPs), with levels even below those in atopic dermatitis. This was associated with a relative deficiency of the ABP-inducing cytokine IL-17 and a strong presence of the ABP-downregulating cytokine IL-13. The simultaneous presence of the Th17-cell cytokine IL-26 indicated that IL-17 deficiency in CTCL lesions results from functional deviation of Th17 cells. Accordingly, IL-17 but not IL-26 production by Th17 cells in vitro was inhibited by IL-4Ra ligand. Levels of other ABP inducers were comparable between CTCL and psoriasis lesions. The same was true about IL-22/TNF-α targets, including the keratinocyte hyper-regeneration marker K16 and the matrix-degrading enzyme MMP1. Conclusion: Our results suggest that the cutaneous bacterial infections in CTCL are caused by impaired ABP induction as consequence of Th2-mediated biased Th17-cell function.","author":[{"dropping-particle":"","family":"Wolk","given":"Kerstin","non-dropping-particle":"","parse-names":false,"suffix":""},{"dropping-particle":"","family":"Mitsui","given":"Hiroshi","non-dropping-particle":"","parse-names":false,"suffix":""},{"dropping-particle":"","family":"Witte","given":"Katrin","non-dropping-particle":"","parse-names":false,"suffix":""},{"dropping-particle":"","family":"Gellrich","given":"Sylke","non-dropping-particle":"","parse-names":false,"suffix":""},{"dropping-particle":"","family":"Gulati","given":"Nicholas","non-dropping-particle":"","parse-names":false,"suffix":""},{"dropping-particle":"","family":"Humme","given":"Daniel","non-dropping-particle":"","parse-names":false,"suffix":""},{"dropping-particle":"","family":"Witte","given":"Ellen","non-dropping-particle":"","parse-names":false,"suffix":""},{"dropping-particle":"","family":"Gonsior","given":"Melanie","non-dropping-particle":"","parse-names":false,"suffix":""},{"dropping-particle":"","family":"Beyer","given":"Marc","non-dropping-particle":"","parse-names":false,"suffix":""},{"dropping-particle":"","family":"Kadin","given":"Marshall E.","non-dropping-particle":"","parse-names":false,"suffix":""},{"dropping-particle":"","family":"Volk","given":"Hans-Dieter","non-dropping-particle":"","parse-names":false,"suffix":""},{"dropping-particle":"","family":"Krueger","given":"James G.","non-dropping-particle":"","parse-names":false,"suffix":""},{"dropping-particle":"","family":"Sterry","given":"Wolfram","non-dropping-particle":"","parse-names":false,"suffix":""},{"dropping-particle":"","family":"Sabat","given":"Robert","non-dropping-particle":"","parse-names":false,"suffix":""}],"container-title":"Clinical Cancer Research","id":"ITEM-1","issue":"21","issued":{"date-parts":[["2014","11","1"]]},"page":"5507-5516","title":"Deficient Cutaneous Antibacterial Competence in Cutaneous T-Cell Lymphomas: Role of Th2-Mediated Biased Th17 Function","type":"article-journal","volume":"20"},"uris":["http://www.mendeley.com/documents/?uuid=dcd083eb-258b-4c9f-b7d8-0cb9d297c2e1"]}],"mendeley":{"formattedCitation":"[8]","plainTextFormattedCitation":"[8]","previouslyFormattedCitation":"[7]"},"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[8]</w:t>
            </w:r>
            <w:r>
              <w:rPr>
                <w:rFonts w:cstheme="minorHAnsi"/>
                <w:sz w:val="22"/>
              </w:rPr>
              <w:fldChar w:fldCharType="end"/>
            </w:r>
          </w:p>
        </w:tc>
      </w:tr>
      <w:tr w:rsidR="00CD602A" w:rsidRPr="00DB482A" w14:paraId="2CCD007C" w14:textId="77777777" w:rsidTr="1E5B9E1E">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F0B5DD6" w14:textId="77777777" w:rsidR="00CD602A" w:rsidRPr="009743A1" w:rsidRDefault="00CD602A" w:rsidP="00CC6DBA">
            <w:pPr>
              <w:pStyle w:val="Masterthesis"/>
              <w:jc w:val="center"/>
              <w:rPr>
                <w:rFonts w:cstheme="minorHAnsi"/>
                <w:sz w:val="22"/>
              </w:rPr>
            </w:pPr>
            <w:r w:rsidRPr="009743A1">
              <w:rPr>
                <w:rFonts w:cstheme="minorHAnsi"/>
                <w:sz w:val="22"/>
              </w:rPr>
              <w:t>hBD2</w:t>
            </w:r>
          </w:p>
        </w:tc>
        <w:tc>
          <w:tcPr>
            <w:tcW w:w="4846" w:type="dxa"/>
            <w:vAlign w:val="center"/>
          </w:tcPr>
          <w:p w14:paraId="321BBCAD"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DB482A">
              <w:rPr>
                <w:rFonts w:cstheme="minorHAnsi"/>
                <w:sz w:val="22"/>
              </w:rPr>
              <w:t>F: 5’-TGATGCCTCTTCCAGGTGTTT-3’</w:t>
            </w:r>
          </w:p>
          <w:p w14:paraId="6D21FBD5"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DB482A">
              <w:rPr>
                <w:rFonts w:cstheme="minorHAnsi"/>
                <w:sz w:val="22"/>
              </w:rPr>
              <w:t xml:space="preserve">R: 5’-GGATGACATATGGCTCCACTCTT-3’ </w:t>
            </w:r>
          </w:p>
        </w:tc>
        <w:tc>
          <w:tcPr>
            <w:tcW w:w="1836" w:type="dxa"/>
            <w:vAlign w:val="center"/>
          </w:tcPr>
          <w:p w14:paraId="4BC7030E" w14:textId="16AAB183" w:rsidR="00CD602A" w:rsidRPr="00DB482A" w:rsidRDefault="00B5135E" w:rsidP="00736FF0">
            <w:pPr>
              <w:pStyle w:val="Masterthesis"/>
              <w:jc w:val="center"/>
              <w:cnfStyle w:val="000000100000" w:firstRow="0" w:lastRow="0" w:firstColumn="0" w:lastColumn="0" w:oddVBand="0" w:evenVBand="0" w:oddHBand="1"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{"citationItems":[{"id":"ITEM-1","itemData":{"DOI":"10.1007/s00403-007-0749-6","ISSN":"0340-3696","PMID":"17415576","abstract":"The human β-defensins (hBDs) are peptides with a strong antimicrobial activity. Patients with atopic dermatitis (AD) and mycosis fungoides (MF) are prone to skin infections. We aimed to investigate the mRNA expression of hBDs in lesional and non-lesional skin of MF patients, and to compare the data with hBD levels found in AD patients and healthy controls. In this prospective pilot study, 13 patients with MF were recruited. Punch biopsies were harvested from the centre of the tumour (lesional) as well as a healthy skin site (non-lesional controls). In addition to the specimens of MF patients, skin samples (healthy controls) were obtained from healthy subjects (n = 15) and patients with acute AD (n = 14). In order to detect mRNA of hBDs, we performed quantitative real-time reverse transcriptase polymerase chain reaction. As compared to healthy controls, skin of patients with MF (non-lesional and lesional) and AD patients showed significantly lower hBD-1 mRNA expression and significantly higher hBD-2 and hBD-3 mRNA expression. HBD-1 mRNA levels of lesional skin were significantly lower than those of non-lesional skin. By contrast, significantly increased hBD-2 and hBD-3 mRNA expression was found in lesional skin of MF patients when compared to non-lesional skin. HBD mRNA expression in lesional skin of MF patients did not significantly differ from hBD expression that was observed in AD lesions. We observed an identical pattern of hBD expression in MD and AD suggesting a common regulatory mechanism that might mainly be driven by T helper 2 lymphocytes. © 2007 Springer-Verlag.","author":[{"dropping-particle":"","family":"Gambichler","given":"T.","non-dropping-particle":"","parse-names":false,"suffix":""},{"dropping-particle":"","family":"Skrygan","given":"M.","non-dropping-particle":"","parse-names":false,"suffix":""},{"dropping-particle":"","family":"Appelhans","given":"C.","non-dropping-particle":"","parse-names":false,"suffix":""},{"dropping-particle":"","family":"Tomi","given":"N. S.","non-dropping-particle":"","parse-names":false,"suffix":""},{"dropping-particle":"","family":"Reinacher-Schick","given":"A.","non-dropping-particle":"","parse-names":false,"suffix":""},{"dropping-particle":"","family":"Altmeyer","given":"P.","non-dropping-particle":"","parse-names":false,"suffix":""},{"dropping-particle":"","family":"Kreuter","given":"A.","non-dropping-particle":"","parse-names":false,"suffix":""}],"container-title":"Archives of Dermatological Research","id":"ITEM-1","issue":"4","issued":{"date-parts":[["2007","6","18"]]},"page":"221-224","title":"Expression of human β-defensins in patients with mycosis fungoides","type":"article-journal","volume":"299"},"uris":["http://www.mendeley.com/documents/?uuid=d6040e79-b411-4fbe-8b26-3d89b30f7e91"]}],"mendeley":{"formattedCitation":"[9]","plainTextFormattedCitation":"[9]","previouslyFormattedCitation":"[8]"},"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[9]</w:t>
            </w:r>
            <w:r>
              <w:rPr>
                <w:rFonts w:cstheme="minorHAnsi"/>
                <w:sz w:val="22"/>
              </w:rPr>
              <w:fldChar w:fldCharType="end"/>
            </w:r>
          </w:p>
        </w:tc>
      </w:tr>
      <w:tr w:rsidR="00CD602A" w:rsidRPr="00DB482A" w14:paraId="34394334" w14:textId="77777777" w:rsidTr="1E5B9E1E">
        <w:trPr>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4F986B10" w14:textId="77777777" w:rsidR="00CD602A" w:rsidRPr="009743A1" w:rsidRDefault="00CD602A" w:rsidP="00CC6DBA">
            <w:pPr>
              <w:pStyle w:val="Masterthesis"/>
              <w:jc w:val="center"/>
              <w:rPr>
                <w:rFonts w:cstheme="minorHAnsi"/>
                <w:sz w:val="22"/>
              </w:rPr>
            </w:pPr>
            <w:r w:rsidRPr="009743A1">
              <w:rPr>
                <w:rFonts w:cstheme="minorHAnsi"/>
                <w:sz w:val="22"/>
              </w:rPr>
              <w:t>hBD3</w:t>
            </w:r>
          </w:p>
        </w:tc>
        <w:tc>
          <w:tcPr>
            <w:tcW w:w="4846" w:type="dxa"/>
            <w:vAlign w:val="center"/>
          </w:tcPr>
          <w:p w14:paraId="255032BC"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F: 5’-TGAGGATCCATTATCTTCTGTTTGCT-3’</w:t>
            </w:r>
          </w:p>
          <w:p w14:paraId="10B71BAF"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R: 5’-TTCTGTAATGTGTTTATGATTCCTCCA-3’</w:t>
            </w:r>
          </w:p>
        </w:tc>
        <w:tc>
          <w:tcPr>
            <w:tcW w:w="1836" w:type="dxa"/>
            <w:vAlign w:val="center"/>
          </w:tcPr>
          <w:p w14:paraId="5BADC3B1" w14:textId="178E363B" w:rsidR="00CD602A" w:rsidRPr="00DB482A" w:rsidRDefault="00B5135E" w:rsidP="00736FF0">
            <w:pPr>
              <w:pStyle w:val="Masterthesis"/>
              <w:jc w:val="center"/>
              <w:cnfStyle w:val="000000000000" w:firstRow="0" w:lastRow="0" w:firstColumn="0" w:lastColumn="0" w:oddVBand="0" w:evenVBand="0" w:oddHBand="0"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{"citationItems":[{"id":"ITEM-1","itemData":{"DOI":"10.1158/1078-0432.CCR-14-0707","ISBN":"4930450518625","ISSN":"1078-0432","PMID":"25212608","abstract":"Purpose: Primary cutaneous T-cell lymphomas (CTCL) are neoplastic disorders of skin-homing T cells. Affected skin areas show morphologic similarities with alterations in other T-cell-mediated dermatoses. Furthermore, as in atopic dermatitis but in contrast with psoriasis, patients with CTCL are frequently afflicted by cutaneous bacterial infections that support the survival of lymphoma cells. Our aim was to investigate the mechanisms of elevated susceptibility to cutaneous infections in patients with CTCL. Experimental Design: Skin samples from CTCL, psoriasis, and atopic dermatitis patients were used to illuminate the antibacterial competence status and the presence of its modulating cytokines. For substantiation of findings, 3-dimensional epidermis models, isolated and in vitro generated Th-subpopulations, were applied. Parameters were analyzed via qPCR and IHC. Results: CTCL lesions compared with psoriatic lesions presented an impaired upregulation of antibacterial proteins (ABPs), with levels even below those in atopic dermatitis. This was associated with a relative deficiency of the ABP-inducing cytokine IL-17 and a strong presence of the ABP-downregulating cytokine IL-13. The simultaneous presence of the Th17-cell cytokine IL-26 indicated that IL-17 deficiency in CTCL lesions results from functional deviation of Th17 cells. Accordingly, IL-17 but not IL-26 production by Th17 cells in vitro was inhibited by IL-4Ra ligand. Levels of other ABP inducers were comparable between CTCL and psoriasis lesions. The same was true about IL-22/TNF-α targets, including the keratinocyte hyper-regeneration marker K16 and the matrix-degrading enzyme MMP1. Conclusion: Our results suggest that the cutaneous bacterial infections in CTCL are caused by impaired ABP induction as consequence of Th2-mediated biased Th17-cell function.","author":[{"dropping-particle":"","family":"Wolk","given":"Kerstin","non-dropping-particle":"","parse-names":false,"suffix":""},{"dropping-particle":"","family":"Mitsui","given":"Hiroshi","non-dropping-particle":"","parse-names":false,"suffix":""},{"dropping-particle":"","family":"Witte","given":"Katrin","non-dropping-particle":"","parse-names":false,"suffix":""},{"dropping-particle":"","family":"Gellrich","given":"Sylke","non-dropping-particle":"","parse-names":false,"suffix":""},{"dropping-particle":"","family":"Gulati","given":"Nicholas","non-dropping-particle":"","parse-names":false,"suffix":""},{"dropping-particle":"","family":"Humme","given":"Daniel","non-dropping-particle":"","parse-names":false,"suffix":""},{"dropping-particle":"","family":"Witte","given":"Ellen","non-dropping-particle":"","parse-names":false,"suffix":""},{"dropping-particle":"","family":"Gonsior","given":"Melanie","non-dropping-particle":"","parse-names":false,"suffix":""},{"dropping-particle":"","family":"Beyer","given":"Marc","non-dropping-particle":"","parse-names":false,"suffix":""},{"dropping-particle":"","family":"Kadin","given":"Marshall E.","non-dropping-particle":"","parse-names":false,"suffix":""},{"dropping-particle":"","family":"Volk","given":"Hans-Dieter","non-dropping-particle":"","parse-names":false,"suffix":""},{"dropping-particle":"","family":"Krueger","given":"James G.","non-dropping-particle":"","parse-names":false,"suffix":""},{"dropping-particle":"","family":"Sterry","given":"Wolfram","non-dropping-particle":"","parse-names":false,"suffix":""},{"dropping-particle":"","family":"Sabat","given":"Robert","non-dropping-particle":"","parse-names":false,"suffix":""}],"container-title":"Clinical Cancer Research","id":"ITEM-1","issue":"21","issued":{"date-parts":[["2014","11","1"]]},"page":"5507-5516","title":"Deficient Cutaneous Antibacterial Competence in Cutaneous T-Cell Lymphomas: Role of Th2-Mediated Biased Th17 Function","type":"article-journal","volume":"20"},"uris":["http://www.mendeley.com/documents/?uuid=dcd083eb-258b-4c9f-b7d8-0cb9d297c2e1"]}],"mendeley":{"formattedCitation":"[8]","plainTextFormattedCitation":"[8]","previouslyFormattedCitation":"[7]"},"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[8]</w:t>
            </w:r>
            <w:r>
              <w:rPr>
                <w:rFonts w:cstheme="minorHAnsi"/>
                <w:sz w:val="22"/>
              </w:rPr>
              <w:fldChar w:fldCharType="end"/>
            </w:r>
          </w:p>
        </w:tc>
      </w:tr>
      <w:tr w:rsidR="00782440" w:rsidRPr="006B3B6E" w14:paraId="5B36F3A6" w14:textId="77777777" w:rsidTr="1E5B9E1E">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28AF1D04" w14:textId="53DC7667" w:rsidR="00782440" w:rsidRPr="009743A1" w:rsidRDefault="00782440" w:rsidP="00CC6DBA">
            <w:pPr>
              <w:pStyle w:val="Masterthesis"/>
              <w:jc w:val="center"/>
              <w:rPr>
                <w:rFonts w:cstheme="minorHAnsi"/>
                <w:sz w:val="22"/>
              </w:rPr>
            </w:pPr>
            <w:r w:rsidRPr="009743A1">
              <w:rPr>
                <w:rFonts w:cstheme="minorHAnsi"/>
                <w:sz w:val="22"/>
              </w:rPr>
              <w:t>LL-37</w:t>
            </w:r>
          </w:p>
        </w:tc>
        <w:tc>
          <w:tcPr>
            <w:tcW w:w="4846" w:type="dxa"/>
            <w:vAlign w:val="center"/>
          </w:tcPr>
          <w:p w14:paraId="1A33C99D" w14:textId="0FD44874" w:rsidR="006B3B6E" w:rsidRPr="00465BA7" w:rsidRDefault="006B3B6E" w:rsidP="006B3B6E">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465BA7">
              <w:rPr>
                <w:rFonts w:cstheme="minorHAnsi"/>
                <w:sz w:val="22"/>
              </w:rPr>
              <w:t>F: 5’-TGACTTCAAGAAGGACGGGC-3’</w:t>
            </w:r>
          </w:p>
          <w:p w14:paraId="60F8F792" w14:textId="0E720A07" w:rsidR="00782440" w:rsidRPr="00DB482A" w:rsidRDefault="006B3B6E" w:rsidP="006B3B6E">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Pr>
                <w:rFonts w:cstheme="minorHAnsi"/>
                <w:sz w:val="22"/>
              </w:rPr>
              <w:t>R</w:t>
            </w:r>
            <w:r w:rsidRPr="00DB482A">
              <w:rPr>
                <w:rFonts w:cstheme="minorHAnsi"/>
                <w:sz w:val="22"/>
              </w:rPr>
              <w:t>: 5’-</w:t>
            </w:r>
            <w:r w:rsidRPr="006B3B6E">
              <w:rPr>
                <w:rFonts w:cstheme="minorHAnsi"/>
                <w:sz w:val="22"/>
              </w:rPr>
              <w:t>AGGGCACACACTAGGACTCT</w:t>
            </w:r>
            <w:r>
              <w:rPr>
                <w:rFonts w:cstheme="minorHAnsi"/>
                <w:sz w:val="22"/>
              </w:rPr>
              <w:t>-</w:t>
            </w:r>
            <w:r w:rsidRPr="006B3B6E">
              <w:rPr>
                <w:rFonts w:cstheme="minorHAnsi"/>
                <w:sz w:val="22"/>
              </w:rPr>
              <w:t>3’</w:t>
            </w:r>
          </w:p>
        </w:tc>
        <w:tc>
          <w:tcPr>
            <w:tcW w:w="1836" w:type="dxa"/>
            <w:vAlign w:val="center"/>
          </w:tcPr>
          <w:p w14:paraId="4A3E8311" w14:textId="17A14F8C" w:rsidR="00782440" w:rsidRPr="00DB482A" w:rsidRDefault="00F10FA6" w:rsidP="00736FF0">
            <w:pPr>
              <w:pStyle w:val="Masterthesis"/>
              <w:jc w:val="center"/>
              <w:cnfStyle w:val="000000100000" w:firstRow="0" w:lastRow="0" w:firstColumn="0" w:lastColumn="0" w:oddVBand="0" w:evenVBand="0" w:oddHBand="1" w:evenHBand="0" w:firstRowFirstColumn="0" w:firstRowLastColumn="0" w:lastRowFirstColumn="0" w:lastRowLastColumn="0"/>
              <w:rPr>
                <w:rFonts w:cstheme="minorHAnsi"/>
                <w:sz w:val="22"/>
              </w:rPr>
            </w:pPr>
            <w:r>
              <w:rPr>
                <w:rFonts w:cstheme="minorHAnsi"/>
                <w:sz w:val="22"/>
              </w:rPr>
              <w:t>Self-</w:t>
            </w:r>
            <w:proofErr w:type="spellStart"/>
            <w:r>
              <w:rPr>
                <w:rFonts w:cstheme="minorHAnsi"/>
                <w:sz w:val="22"/>
              </w:rPr>
              <w:t>Designed</w:t>
            </w:r>
            <w:proofErr w:type="spellEnd"/>
          </w:p>
        </w:tc>
      </w:tr>
      <w:tr w:rsidR="00CD602A" w:rsidRPr="00DB482A" w14:paraId="619A8545" w14:textId="77777777" w:rsidTr="1E5B9E1E">
        <w:trPr>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13D3FCEE" w14:textId="77777777" w:rsidR="00CD602A" w:rsidRPr="009743A1" w:rsidRDefault="00CD602A" w:rsidP="00CC6DBA">
            <w:pPr>
              <w:pStyle w:val="Masterthesis"/>
              <w:jc w:val="center"/>
              <w:rPr>
                <w:rFonts w:cstheme="minorHAnsi"/>
                <w:sz w:val="22"/>
              </w:rPr>
            </w:pPr>
            <w:r w:rsidRPr="009743A1">
              <w:rPr>
                <w:rFonts w:cstheme="minorHAnsi"/>
                <w:sz w:val="22"/>
              </w:rPr>
              <w:t>S100A7</w:t>
            </w:r>
          </w:p>
        </w:tc>
        <w:tc>
          <w:tcPr>
            <w:tcW w:w="4846" w:type="dxa"/>
            <w:vAlign w:val="center"/>
          </w:tcPr>
          <w:p w14:paraId="469B0489"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F: 5’-CTTCCTTAGTGCCTGTGACAAAAA-3’</w:t>
            </w:r>
          </w:p>
          <w:p w14:paraId="4409DFF3"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R: 5’-AAAGACAGAAACTCAGAAAAATCAATCT-3’</w:t>
            </w:r>
          </w:p>
        </w:tc>
        <w:tc>
          <w:tcPr>
            <w:tcW w:w="1836" w:type="dxa"/>
            <w:vAlign w:val="center"/>
          </w:tcPr>
          <w:p w14:paraId="49E1417F" w14:textId="1FB83FEA" w:rsidR="00CD602A" w:rsidRPr="00DB482A" w:rsidRDefault="00B5135E" w:rsidP="00736FF0">
            <w:pPr>
              <w:pStyle w:val="Masterthesis"/>
              <w:jc w:val="center"/>
              <w:cnfStyle w:val="000000000000" w:firstRow="0" w:lastRow="0" w:firstColumn="0" w:lastColumn="0" w:oddVBand="0" w:evenVBand="0" w:oddHBand="0"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{"citationItems":[{"id":"ITEM-1","itemData":{"DOI":"10.1158/1078-0432.CCR-14-0077","ISSN":"1078-0432","PMID":"24919568","abstract":"Purpose: Atopic dermatitis is characterized by decreased expression of filaggrin and loricrin. Patients with atopic dermatitis often suffer from skin infections, which are also frequently seen in patients with cutaneous T-cell lymphoma (CTCL). In this study, we aimed to investigate the skin barrier in CTCL. Experimental Design: We assessed skin moisture and transepidermal water loss (TEWL) in patients with CTCL.Wenext examinedmRNAexpression levels of filaggrin, loricrin, and antimicrobial peptides (AMP) in skin samples of CTCL, using skin from healthy volunteers and patients with atopic dermatitis or psoriasis as controls. Immunostainings for filaggrin, loricrin, and S100 proteins were also performed. Results: Lower levels of skin moisture accompanied by higher levels of TEWL were seen in lesional skin of CTCL than in normal skin. CTCL lesional skin contained lower levels of filaggrin and loricrin mRNA than normal skin, which was also true with atopic dermatitis and psoriatic skin. mRNA expression levels of filaggrin in CTCL skin negatively correlated with disease severity markers. Expression levels of AMPs in lesional skin of CTCL and atopic dermatitis were significantly lower than in psoriatic skin. Immunohistochemistry confirmed decreased expression of filaggrin and loricrin in CTCL, atopic dermatitis, and psoriatic skin and enhanced expression of S100 proteins in psoriatic skin. Conclusions: Our results show that there is barrier dysfunction in CTCL skin, similar to what is seen with atopic dermatitis skin. In addition, lowAMPexpression in CTCL skin was documented when compared with psoriatic skin, which may explain frequent infections that can occur in patients with CTCL. ©2014 AACR.","author":[{"dropping-particle":"","family":"Suga","given":"Hiraku","non-dropping-particle":"","parse-names":false,"suffix":""},{"dropping-particle":"","family":"Sugaya","given":"Makoto","non-dropping-particle":"","parse-names":false,"suffix":""},{"dropping-particle":"","family":"Miyagaki","given":"Tomomitsu","non-dropping-particle":"","parse-names":false,"suffix":""},{"dropping-particle":"","family":"Ohmatsu","given":"Hanako","non-dropping-particle":"","parse-names":false,"suffix":""},{"dropping-particle":"","family":"Kawaguchi","given":"Makiko","non-dropping-particle":"","parse-names":false,"suffix":""},{"dropping-particle":"","family":"Takahashi","given":"Naomi","non-dropping-particle":"","parse-names":false,"suffix":""},{"dropping-particle":"","family":"Fujita","given":"Hideki","non-dropping-particle":"","parse-names":false,"suffix":""},{"dropping-particle":"","family":"Asano","given":"Yoshihide","non-dropping-particle":"","parse-names":false,"suffix":""},{"dropping-particle":"","family":"Tada","given":"Yayoi","non-dropping-particle":"","parse-names":false,"suffix":""},{"dropping-particle":"","family":"Kadono","given":"Takafumi","non-dropping-particle":"","parse-names":false,"suffix":""},{"dropping-particle":"","family":"Sato","given":"Shinichi","non-dropping-particle":"","parse-names":false,"suffix":""}],"container-title":"Clinical Cancer Research","id":"ITEM-1","issue":"16","issued":{"date-parts":[["2014","8","15"]]},"page":"4339-4348","title":"Skin Barrier Dysfunction and Low Antimicrobial Peptide Expression in Cutaneous T-cell Lymphoma","type":"article-journal","volume":"20"},"uris":["http://www.mendeley.com/documents/?uuid=b0109cdb-3102-40da-8736-efc020664823"]}],"mendeley":{"formattedCitation":"[10]","plainTextFormattedCitation":"[10]","previouslyFormattedCitation":"[9]"},"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[10]</w:t>
            </w:r>
            <w:r>
              <w:rPr>
                <w:rFonts w:cstheme="minorHAnsi"/>
                <w:sz w:val="22"/>
              </w:rPr>
              <w:fldChar w:fldCharType="end"/>
            </w:r>
          </w:p>
        </w:tc>
      </w:tr>
      <w:tr w:rsidR="00CD602A" w:rsidRPr="00DB482A" w14:paraId="2663787C" w14:textId="77777777" w:rsidTr="1E5B9E1E">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7FF783A0" w14:textId="77777777" w:rsidR="00CD602A" w:rsidRPr="009743A1" w:rsidRDefault="00CD602A" w:rsidP="00CC6DBA">
            <w:pPr>
              <w:pStyle w:val="Masterthesis"/>
              <w:jc w:val="center"/>
              <w:rPr>
                <w:rFonts w:cstheme="minorHAnsi"/>
                <w:sz w:val="22"/>
              </w:rPr>
            </w:pPr>
            <w:r w:rsidRPr="009743A1">
              <w:rPr>
                <w:rFonts w:cstheme="minorHAnsi"/>
                <w:sz w:val="22"/>
              </w:rPr>
              <w:t>S100A8</w:t>
            </w:r>
          </w:p>
        </w:tc>
        <w:tc>
          <w:tcPr>
            <w:tcW w:w="4846" w:type="dxa"/>
            <w:vAlign w:val="center"/>
          </w:tcPr>
          <w:p w14:paraId="55818FFA"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DB482A">
              <w:rPr>
                <w:rFonts w:cstheme="minorHAnsi"/>
                <w:sz w:val="22"/>
              </w:rPr>
              <w:t>F: 5’-ATGCCGTCTACAGGGATGAC-3’</w:t>
            </w:r>
          </w:p>
          <w:p w14:paraId="667D5797" w14:textId="77777777" w:rsidR="00CD602A" w:rsidRPr="00DB482A" w:rsidRDefault="00CD602A"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rPr>
            </w:pPr>
            <w:r w:rsidRPr="00DB482A">
              <w:rPr>
                <w:rFonts w:cstheme="minorHAnsi"/>
                <w:sz w:val="22"/>
              </w:rPr>
              <w:t>R: 5’-ACGCCCATCTTTATCACCAG-3’</w:t>
            </w:r>
          </w:p>
        </w:tc>
        <w:tc>
          <w:tcPr>
            <w:tcW w:w="1836" w:type="dxa"/>
            <w:vAlign w:val="center"/>
          </w:tcPr>
          <w:p w14:paraId="719619AA" w14:textId="6926F9FD" w:rsidR="00CD602A" w:rsidRPr="00DB482A" w:rsidRDefault="00B5135E" w:rsidP="00736FF0">
            <w:pPr>
              <w:pStyle w:val="Masterthesis"/>
              <w:jc w:val="center"/>
              <w:cnfStyle w:val="000000100000" w:firstRow="0" w:lastRow="0" w:firstColumn="0" w:lastColumn="0" w:oddVBand="0" w:evenVBand="0" w:oddHBand="1" w:evenHBand="0" w:firstRowFirstColumn="0" w:firstRowLastColumn="0" w:lastRowFirstColumn="0" w:lastRowLastColumn="0"/>
              <w:rPr>
                <w:rFonts w:cstheme="minorHAnsi"/>
                <w:sz w:val="22"/>
              </w:rPr>
            </w:pPr>
            <w:r>
              <w:rPr>
                <w:rFonts w:cstheme="minorHAnsi"/>
                <w:sz w:val="22"/>
              </w:rPr>
              <w:fldChar w:fldCharType="begin" w:fldLock="1"/>
            </w:r>
            <w:r w:rsidR="008B4DA2">
              <w:rPr>
                <w:rFonts w:cstheme="minorHAnsi"/>
                <w:sz w:val="22"/>
              </w:rPr>
              <w:instrText>ADDIN CSL_CITATION {"citationItems":[{"id":"ITEM-1","itemData":{"DOI":"https://doi.org/10.1684/ejd.2018.3452","ISSN":"1952-4013","PMID":"30530405","abstract":"Progranulin (PGRN) is a multi-functional protein known to be involved in diverse biological processes, including tumourigenesis, anti-inflammation, and anti-infection. PGRN expression in sera or tissues is elevated in a variety of malignancies and is associated with poor prognosis. However, it remains to be determined whether PGRN is involved in Mycosis fungoides (MF). To investigate the roles of PGRN in MF. Serum PGRN levels were measured in patients with MF and normal controls by enzyme-linked immunosorbent assay. PGRN expression in MF and normal skin was examined by quantitative reverse transcription polymerase chain reaction and immunohistochemistry. Moreover, we analysed correlations between the expression levels of PGRN and antimicrobial peptides in lesional skin. PGRN levels were significantly lower in sera of MF patients than those of normal controls. PGRN mRNA levels in lesional skin of MF were also significantly decreased. Immunohistochemical staining revealed that PGRN was expressed in epidermal keratinocytes of normal controls, however, PGRN expression in epidermal keratinocytes was also weaker in MF skin. Furthermore, significant inverse correlations were identified between PGRN and antimicrobial peptide mRNA expression. These results suggest that low PGRN expression may contribute to the frequent occurrence of skin infections in patients with MF.","author":[{"dropping-particle":"","family":"Nakajima","given":"Rina","non-dropping-particle":"","parse-names":false,"suffix":""},{"dropping-particle":"","family":"Miyagaki","given":"Tomomitsu","non-dropping-particle":"","parse-names":false,"suffix":""},{"dropping-particle":"","family":"Kamijo","given":"Hiroaki","non-dropping-particle":"","parse-names":false,"suffix":""},{"dropping-particle":"","family":"Oka","given":"Tomonori","non-dropping-particle":"","parse-names":false,"suffix":""},{"dropping-particle":"","family":"Shishido-Takahashi","given":"Naomi","non-dropping-particle":"","parse-names":false,"suffix":""},{"dropping-particle":"","family":"Suga","given":"Hiraku","non-dropping-particle":"","parse-names":false,"suffix":""},{"dropping-particle":"","family":"Sugaya","given":"Makoto","non-dropping-particle":"","parse-names":false,"suffix":""},{"dropping-particle":"","family":"Sato","given":"Shinichi","non-dropping-particle":"","parse-names":false,"suffix":""}],"container-title":"European journal of dermatology : EJD","id":"ITEM-1","issue":"6","issued":{"date-parts":[["2018","12","1"]]},"page":"790-794","title":"Decreased progranulin expression in Mycosis fungoides: a possible association with the high frequency of skin infections.","type":"article-journal","volume":"28"},"uris":["http://www.mendeley.com/documents/?uuid=cc9115ba-f56b-40f8-a314-a27f9913bb29"]}],"mendeley":{"formattedCitation":"[11]","plainTextFormattedCitation":"[11]","previouslyFormattedCitation":"[10]"},"properties":{"noteIndex":0},"schema":"https://github.com/citation-style-language/schema/raw/master/csl-citation.json"}</w:instrText>
            </w:r>
            <w:r>
              <w:rPr>
                <w:rFonts w:cstheme="minorHAnsi"/>
                <w:sz w:val="22"/>
              </w:rPr>
              <w:fldChar w:fldCharType="separate"/>
            </w:r>
            <w:r w:rsidR="008B4DA2" w:rsidRPr="008B4DA2">
              <w:rPr>
                <w:rFonts w:cstheme="minorHAnsi"/>
                <w:noProof/>
                <w:sz w:val="22"/>
              </w:rPr>
              <w:t>[11]</w:t>
            </w:r>
            <w:r>
              <w:rPr>
                <w:rFonts w:cstheme="minorHAnsi"/>
                <w:sz w:val="22"/>
              </w:rPr>
              <w:fldChar w:fldCharType="end"/>
            </w:r>
          </w:p>
        </w:tc>
      </w:tr>
      <w:tr w:rsidR="00CD602A" w:rsidRPr="00187C5E" w14:paraId="5482662F" w14:textId="77777777" w:rsidTr="1E5B9E1E">
        <w:trPr>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5111EBE9" w14:textId="77777777" w:rsidR="00CD602A" w:rsidRPr="009743A1" w:rsidRDefault="00CD602A" w:rsidP="00CC6DBA">
            <w:pPr>
              <w:pStyle w:val="Masterthesis"/>
              <w:jc w:val="center"/>
              <w:rPr>
                <w:rFonts w:cstheme="minorHAnsi"/>
                <w:sz w:val="22"/>
              </w:rPr>
            </w:pPr>
            <w:r w:rsidRPr="009743A1">
              <w:rPr>
                <w:rFonts w:cstheme="minorHAnsi"/>
                <w:sz w:val="22"/>
              </w:rPr>
              <w:t>S100A9</w:t>
            </w:r>
          </w:p>
        </w:tc>
        <w:tc>
          <w:tcPr>
            <w:tcW w:w="4846" w:type="dxa"/>
            <w:vAlign w:val="center"/>
          </w:tcPr>
          <w:p w14:paraId="379432B2"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F: 5’-CAGCTGGAACGCAACATAGA-3’</w:t>
            </w:r>
          </w:p>
          <w:p w14:paraId="4B69A377" w14:textId="77777777" w:rsidR="00CD602A" w:rsidRPr="00DB482A" w:rsidRDefault="00CD602A" w:rsidP="00736FF0">
            <w:pPr>
              <w:pStyle w:val="Masterthesis"/>
              <w:cnfStyle w:val="000000000000" w:firstRow="0" w:lastRow="0" w:firstColumn="0" w:lastColumn="0" w:oddVBand="0" w:evenVBand="0" w:oddHBand="0" w:evenHBand="0" w:firstRowFirstColumn="0" w:firstRowLastColumn="0" w:lastRowFirstColumn="0" w:lastRowLastColumn="0"/>
              <w:rPr>
                <w:rFonts w:cstheme="minorHAnsi"/>
                <w:sz w:val="22"/>
              </w:rPr>
            </w:pPr>
            <w:r w:rsidRPr="00DB482A">
              <w:rPr>
                <w:rFonts w:cstheme="minorHAnsi"/>
                <w:sz w:val="22"/>
              </w:rPr>
              <w:t>R: 5’-TCAGCTGCTTGTCTGCATTT-3’</w:t>
            </w:r>
          </w:p>
        </w:tc>
        <w:tc>
          <w:tcPr>
            <w:tcW w:w="1836" w:type="dxa"/>
            <w:vAlign w:val="center"/>
          </w:tcPr>
          <w:p w14:paraId="2EB0ED0A" w14:textId="0D8EC794" w:rsidR="00CD602A" w:rsidRPr="00187C5E" w:rsidRDefault="00B5135E" w:rsidP="00736FF0">
            <w:pPr>
              <w:pStyle w:val="Masterthesis"/>
              <w:jc w:val="center"/>
              <w:cnfStyle w:val="000000000000" w:firstRow="0" w:lastRow="0" w:firstColumn="0" w:lastColumn="0" w:oddVBand="0" w:evenVBand="0" w:oddHBand="0" w:evenHBand="0" w:firstRowFirstColumn="0" w:firstRowLastColumn="0" w:lastRowFirstColumn="0" w:lastRowLastColumn="0"/>
              <w:rPr>
                <w:rFonts w:cstheme="minorHAnsi"/>
                <w:sz w:val="22"/>
                <w:lang w:val="en-GB"/>
              </w:rPr>
            </w:pPr>
            <w:r>
              <w:rPr>
                <w:rFonts w:cstheme="minorHAnsi"/>
                <w:sz w:val="22"/>
              </w:rPr>
              <w:fldChar w:fldCharType="begin" w:fldLock="1"/>
            </w:r>
            <w:r w:rsidR="008B4DA2">
              <w:rPr>
                <w:rFonts w:cstheme="minorHAnsi"/>
                <w:sz w:val="22"/>
              </w:rPr>
              <w:instrText>ADDIN CSL_CITATION {"citationItems":[{"id":"ITEM-1","itemData":{"DOI":"10.1158/1078-0432.CCR-14-0077","ISSN":"1078-0432","PMID":"24919568","abstract":"Purpose: Atopic dermatitis is characterized by decreased expression of filaggrin and loricrin. Patients with atopic dermatitis often suffer from skin infections, which are also frequently seen in patients with cutaneous T-cell lymphoma (CTCL). In this study, we aimed to investigate the skin barrier in CTCL. Experimental Design: We assessed skin moisture and transepidermal water loss (TEWL) in patients with CTCL.Wenext examinedmRNAexpression levels of filaggrin, loricrin, and antimicrobial peptides (AMP) in skin samples of CTCL, using skin from healthy volunteers and patients with atopic dermatitis or psoriasis as controls. Immunostainings for filaggrin, loricrin, and S100 proteins were also performed. Results: Lower levels of skin moisture accompanied by higher levels of TEWL were seen in lesional skin of CTCL than in normal skin. CTCL lesional skin contained lower levels of filaggrin and loricrin mRNA than normal skin, which was also true with atopic dermatitis and psoriatic skin. mRNA expression levels of filaggrin in CTCL skin negatively correlated with disease severity markers. Expression levels of AMPs in lesional skin of CTCL and atopic dermatitis were significantly lower than in psoriatic skin. Immunohistochemistry confirmed decreased expression of filaggrin and loricrin in CTCL, atopic dermatitis, and psoriatic skin and enhanced expression of S100 proteins in psoriatic skin. Conclusions: Our results show that there is barrier dysfunction in CTCL skin, similar to what is seen with atopic dermatitis skin. In addition, lowAMPexpression in CTCL skin was documented when compared with psoriatic skin, which may explain frequent infections that can occur in patients with CTCL. ©2014 AACR.","author":[{"dropping-particle":"","family":"Suga","given":"Hiraku","non-dropping-particle":"","parse-names":false,"suffix":""},{"dropping-particle":"","family":"Sugaya","given":"Makoto","non-dropping-particle":"","parse-names":false,"suffix":""},{"dropping-particle":"","family":"Miyagaki","given":"Tomomitsu","non-dropping-particle":"","parse-names":false,"suffix":""},{"dropping-particle":"","family":"Ohmatsu","given":"Hanako","non-dropping-particle":"","parse-names":false,"suffix":""},{"dropping-particle":"","family":"Kawaguchi","given":"Makiko","non-dropping-particle":"","parse-names":false,"suffix":""},{"dropping-particle":"","family":"Takahashi","given":"Naomi","non-dropping-particle":"","parse-names":false,"suffix":""},{"dropping-particle":"","family":"Fujita","given":"Hideki","non-dropping-particle":"","parse-names":false,"suffix":""},{"dropping-particle":"","family":"Asano","given":"Yoshihide","non-dropping-particle":"","parse-names":false,"suffix":""},{"dropping-particle":"","family":"Tada","given":"Yayoi","non-dropping-particle":"","parse-names":false,"suffix":""},{"dropping-particle":"","family":"Kadono","given":"Takafumi","non-dropping-particle":"","parse-names":false,"suffix":""},{"dropping-particle":"","family":"Sato","given":"Shinichi","non-dropping-particle":"","parse-names":false,"suffix":""}],"container-title":"Clinical Cancer Research","id":"ITEM-1","issue":"16","issued":{"date-parts":[["2014","8","15"]]},"page":"4339-4348","title":"Skin Barrier Dysfunction and Low Antimicrobial Peptide Expression in Cutaneous T-cell Lymphoma","type":"article-journal","volume":"20"},"uris":["http://www.mendeley.com/documents/?uuid=b0109cdb-3102-40da-8736-efc020664823"]}],"mendeley":{"formattedCitation":"[10]","plainTextFormattedCitation":"[10]","previouslyFormattedCitation":"[9]"},"properties":{"noteIndex":0},"schema":"https://github.com/citation-style-language/schema/raw/master/csl-citation.json"}</w:instrText>
            </w:r>
            <w:r>
              <w:rPr>
                <w:rFonts w:cstheme="minorHAnsi"/>
                <w:sz w:val="22"/>
              </w:rPr>
              <w:fldChar w:fldCharType="separate"/>
            </w:r>
            <w:r w:rsidR="008B4DA2" w:rsidRPr="008B4DA2">
              <w:rPr>
                <w:rFonts w:cstheme="minorHAnsi"/>
                <w:noProof/>
                <w:sz w:val="22"/>
                <w:lang w:val="en-GB"/>
              </w:rPr>
              <w:t>[10]</w:t>
            </w:r>
            <w:r>
              <w:rPr>
                <w:rFonts w:cstheme="minorHAnsi"/>
                <w:sz w:val="22"/>
              </w:rPr>
              <w:fldChar w:fldCharType="end"/>
            </w:r>
          </w:p>
        </w:tc>
      </w:tr>
      <w:tr w:rsidR="00D17D99" w:rsidRPr="00187C5E" w14:paraId="27939AE6" w14:textId="77777777" w:rsidTr="1E5B9E1E">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1008" w:type="dxa"/>
            <w:vAlign w:val="center"/>
          </w:tcPr>
          <w:p w14:paraId="3A382165" w14:textId="3281FA16" w:rsidR="00D17D99" w:rsidRPr="00187C5E" w:rsidRDefault="1E5B9E1E" w:rsidP="00CC6DBA">
            <w:pPr>
              <w:pStyle w:val="Masterthesis"/>
              <w:jc w:val="center"/>
              <w:rPr>
                <w:lang w:val="en-GB"/>
              </w:rPr>
            </w:pPr>
            <w:r w:rsidRPr="00187C5E">
              <w:rPr>
                <w:rFonts w:cstheme="minorBidi"/>
                <w:sz w:val="22"/>
                <w:lang w:val="en-GB"/>
              </w:rPr>
              <w:t xml:space="preserve">spa </w:t>
            </w:r>
          </w:p>
        </w:tc>
        <w:tc>
          <w:tcPr>
            <w:tcW w:w="4846" w:type="dxa"/>
            <w:vAlign w:val="center"/>
          </w:tcPr>
          <w:p w14:paraId="567F6601" w14:textId="07226459" w:rsidR="00D17D99" w:rsidRPr="00187C5E" w:rsidRDefault="000F0A2C"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lang w:val="en-GB"/>
              </w:rPr>
            </w:pPr>
            <w:r w:rsidRPr="00187C5E">
              <w:rPr>
                <w:rFonts w:cstheme="minorHAnsi"/>
                <w:sz w:val="22"/>
                <w:lang w:val="en-GB"/>
              </w:rPr>
              <w:t>F:</w:t>
            </w:r>
            <w:r w:rsidR="000B7759" w:rsidRPr="00187C5E">
              <w:rPr>
                <w:rFonts w:cstheme="minorHAnsi"/>
                <w:sz w:val="22"/>
                <w:lang w:val="en-GB"/>
              </w:rPr>
              <w:t xml:space="preserve"> 5’-</w:t>
            </w:r>
            <w:r w:rsidR="00A31480" w:rsidRPr="00187C5E">
              <w:rPr>
                <w:rFonts w:cstheme="minorHAnsi"/>
                <w:sz w:val="22"/>
                <w:lang w:val="en-GB"/>
              </w:rPr>
              <w:t>GATTTTGCGGTTTTAAGCC</w:t>
            </w:r>
            <w:r w:rsidR="00F32065" w:rsidRPr="00187C5E">
              <w:rPr>
                <w:rFonts w:cstheme="minorHAnsi"/>
                <w:sz w:val="22"/>
                <w:lang w:val="en-GB"/>
              </w:rPr>
              <w:t>-3’</w:t>
            </w:r>
          </w:p>
          <w:p w14:paraId="1665E78D" w14:textId="4D706633" w:rsidR="000F0A2C" w:rsidRPr="00187C5E" w:rsidRDefault="000F0A2C" w:rsidP="00736FF0">
            <w:pPr>
              <w:pStyle w:val="Masterthesis"/>
              <w:cnfStyle w:val="000000100000" w:firstRow="0" w:lastRow="0" w:firstColumn="0" w:lastColumn="0" w:oddVBand="0" w:evenVBand="0" w:oddHBand="1" w:evenHBand="0" w:firstRowFirstColumn="0" w:firstRowLastColumn="0" w:lastRowFirstColumn="0" w:lastRowLastColumn="0"/>
              <w:rPr>
                <w:rFonts w:cstheme="minorHAnsi"/>
                <w:sz w:val="22"/>
                <w:lang w:val="en-GB"/>
              </w:rPr>
            </w:pPr>
            <w:r w:rsidRPr="00187C5E">
              <w:rPr>
                <w:rFonts w:cstheme="minorHAnsi"/>
                <w:sz w:val="22"/>
                <w:lang w:val="en-GB"/>
              </w:rPr>
              <w:t>R:</w:t>
            </w:r>
            <w:r w:rsidR="000B7759" w:rsidRPr="00187C5E">
              <w:rPr>
                <w:rFonts w:cstheme="minorHAnsi"/>
                <w:sz w:val="22"/>
                <w:lang w:val="en-GB"/>
              </w:rPr>
              <w:t xml:space="preserve"> 5’-</w:t>
            </w:r>
            <w:r w:rsidR="00F32065" w:rsidRPr="00187C5E">
              <w:rPr>
                <w:rFonts w:cstheme="minorHAnsi"/>
                <w:sz w:val="22"/>
                <w:lang w:val="en-GB"/>
              </w:rPr>
              <w:t>GAGTAGAAAGTGTTGAGGC-3’</w:t>
            </w:r>
          </w:p>
        </w:tc>
        <w:tc>
          <w:tcPr>
            <w:tcW w:w="1836" w:type="dxa"/>
            <w:vAlign w:val="center"/>
          </w:tcPr>
          <w:p w14:paraId="5E70C71D" w14:textId="0607D54E" w:rsidR="00D17D99" w:rsidRPr="00187C5E" w:rsidRDefault="1E5B9E1E" w:rsidP="1E5B9E1E">
            <w:pPr>
              <w:pStyle w:val="Masterthesis"/>
              <w:jc w:val="center"/>
              <w:cnfStyle w:val="000000100000" w:firstRow="0" w:lastRow="0" w:firstColumn="0" w:lastColumn="0" w:oddVBand="0" w:evenVBand="0" w:oddHBand="1" w:evenHBand="0" w:firstRowFirstColumn="0" w:firstRowLastColumn="0" w:lastRowFirstColumn="0" w:lastRowLastColumn="0"/>
              <w:rPr>
                <w:sz w:val="22"/>
                <w:lang w:val="en-GB"/>
              </w:rPr>
            </w:pPr>
            <w:r w:rsidRPr="00187C5E">
              <w:rPr>
                <w:sz w:val="22"/>
                <w:lang w:val="en-GB"/>
              </w:rPr>
              <w:t>Self-Designed</w:t>
            </w:r>
          </w:p>
        </w:tc>
      </w:tr>
    </w:tbl>
    <w:p w14:paraId="2996F2D7" w14:textId="77777777" w:rsidR="00CD602A" w:rsidRPr="00187C5E" w:rsidRDefault="00CD602A" w:rsidP="00CD602A">
      <w:pPr>
        <w:rPr>
          <w:lang w:val="en-GB"/>
        </w:rPr>
      </w:pPr>
    </w:p>
    <w:p w14:paraId="27A56AB8" w14:textId="56853875" w:rsidR="00B5135E" w:rsidRPr="00187C5E" w:rsidRDefault="00B5135E" w:rsidP="00B5135E">
      <w:pPr>
        <w:pStyle w:val="berschrift1"/>
        <w:rPr>
          <w:lang w:val="en-GB"/>
        </w:rPr>
      </w:pPr>
      <w:r w:rsidRPr="00187C5E">
        <w:rPr>
          <w:lang w:val="en-GB"/>
        </w:rPr>
        <w:t>References</w:t>
      </w:r>
    </w:p>
    <w:p w14:paraId="448DC448" w14:textId="0100C651" w:rsidR="008B4DA2" w:rsidRPr="008B4DA2" w:rsidRDefault="00B5135E" w:rsidP="008B4DA2">
      <w:pPr>
        <w:widowControl w:val="0"/>
        <w:autoSpaceDE w:val="0"/>
        <w:autoSpaceDN w:val="0"/>
        <w:adjustRightInd w:val="0"/>
        <w:spacing w:line="240" w:lineRule="auto"/>
        <w:rPr>
          <w:rFonts w:ascii="Calibri" w:hAnsi="Calibri" w:cs="Calibri"/>
          <w:noProof/>
          <w:szCs w:val="24"/>
        </w:rPr>
      </w:pPr>
      <w:r>
        <w:fldChar w:fldCharType="begin" w:fldLock="1"/>
      </w:r>
      <w:r w:rsidRPr="00187C5E">
        <w:rPr>
          <w:lang w:val="en-GB"/>
        </w:rPr>
        <w:instrText xml:space="preserve">ADDIN Mendeley Bibliography CSL_BIBLIOGRAPHY </w:instrText>
      </w:r>
      <w:r>
        <w:fldChar w:fldCharType="separate"/>
      </w:r>
      <w:r w:rsidR="008B4DA2" w:rsidRPr="008B4DA2">
        <w:rPr>
          <w:rFonts w:ascii="Calibri" w:hAnsi="Calibri" w:cs="Calibri"/>
          <w:noProof/>
          <w:szCs w:val="24"/>
        </w:rPr>
        <w:t>1. Iyer A, Hennessey D, O’Keefe S, Patterson J, Wang W, Salopek T, et al. Clonotypic heterogeneity in cutaneous T-cell lymphoma (mycosis fungoides) revealed by comprehensive whole-exome sequencing. Blood Adv [Internet]. 2019;3:1175–84. Available from: https://ashpublications.org/bloodadvances/article/3/7/1175/247276/Clonotypic-heterogeneity-in-cutaneous-Tcell</w:t>
      </w:r>
    </w:p>
    <w:p w14:paraId="0DAFE603"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lastRenderedPageBreak/>
        <w:t>2. Gómez MI, Lee A, Reddy B, Muir A, Soong G, Pitt A, et al. Staphylococcus aureus protein A induces airway epithelial inflammatory responses by activating TNFR1. Nat Med [Internet]. 2004;10:842–8. Available from: http://www.nature.com/articles/nm1079</w:t>
      </w:r>
    </w:p>
    <w:p w14:paraId="3017AB20"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3. Gómez MI, O’Seaghdha M, Magargee M, Foster TJ, Prince AS. Staphylococcus aureus Protein A Activates TNFR1 Signaling through Conserved IgG Binding Domains. J Biol Chem [Internet]. 2006;281:20190–6. Available from: https://linkinghub.elsevier.com/retrieve/pii/S0021925819763339</w:t>
      </w:r>
    </w:p>
    <w:p w14:paraId="170CC0A5"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4. Campbell JJ, Clark RA, Watanabe R, Kupper TS. Sézary syndrome and mycosis fungoides arise from distinct T-cell subsets: a biologic rationale for their distinct clinical behaviors. Blood [Internet]. 2010;116:767–71. Available from: https://ashpublications.org/blood/article/116/5/767/107723/Sézary-syndrome-and-mycosis-fungoides-arise-from</w:t>
      </w:r>
    </w:p>
    <w:p w14:paraId="5F47417F"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5. Holt DC, Holden MTG, Tong SYC, Castillo-Ramirez S, Clarke L, Quail MA, et al. A Very Early-Branching Staphylococcus aureus Lineage Lacking the Carotenoid Pigment Staphyloxanthin. Genome Biol Evol [Internet]. 2011;3:881–95. Available from: https://academic.oup.com/gbe/article/doi/10.1093/gbe/evr078/591113</w:t>
      </w:r>
    </w:p>
    <w:p w14:paraId="4BA890E2"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6. Tong SYC, Schaumburg F, Ellington MJ, Corander J, Pichon B, Leendertz F, et al. Novel staphylococcal species that form part of a Staphylococcus aureus-related complex: the non-pigmented Staphylococcus argenteus sp. nov. and the non-human primate-associated Staphylococcus schweitzeri sp. nov. Int J Syst Evol Microbiol [Internet]. 2015;65:15–22. Available from: https://www.microbiologyresearch.org/content/journal/ijsem/10.1099/ijs.0.062752-0</w:t>
      </w:r>
    </w:p>
    <w:p w14:paraId="1CCB0F96"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7. Dahn ML, Dean CA, Jo DB, Coyle KM, Marcato P. Human-specific GAPDH qRT-PCR is an accurate and sensitive method of xenograft metastasis quantification. Mol Ther - Methods Clin Dev [Internet]. The Author(s); 2021;20:398–408. Available from: https://doi.org/10.1016/j.omtm.2020.12.010</w:t>
      </w:r>
    </w:p>
    <w:p w14:paraId="3521AD08"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8. Wolk K, Mitsui H, Witte K, Gellrich S, Gulati N, Humme D, et al. Deficient Cutaneous Antibacterial Competence in Cutaneous T-Cell Lymphomas: Role of Th2-Mediated Biased Th17 Function. Clin Cancer Res [Internet]. 2014;20:5507–16. Available from: http://clincancerres.aacrjournals.org/lookup/doi/10.1158/1078-0432.CCR-14-0707</w:t>
      </w:r>
    </w:p>
    <w:p w14:paraId="67F7E6F1"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9. Gambichler T, Skrygan M, Appelhans C, Tomi NS, Reinacher-Schick A, Altmeyer P, et al. Expression of human β-defensins in patients with mycosis fungoides. Arch Dermatol Res [Internet]. 2007;299:221–4. Available from: http://link.springer.com/10.1007/s00403-007-0749-6</w:t>
      </w:r>
    </w:p>
    <w:p w14:paraId="2C639FFE" w14:textId="77777777" w:rsidR="008B4DA2" w:rsidRPr="008B4DA2" w:rsidRDefault="008B4DA2" w:rsidP="008B4DA2">
      <w:pPr>
        <w:widowControl w:val="0"/>
        <w:autoSpaceDE w:val="0"/>
        <w:autoSpaceDN w:val="0"/>
        <w:adjustRightInd w:val="0"/>
        <w:spacing w:line="240" w:lineRule="auto"/>
        <w:rPr>
          <w:rFonts w:ascii="Calibri" w:hAnsi="Calibri" w:cs="Calibri"/>
          <w:noProof/>
          <w:szCs w:val="24"/>
        </w:rPr>
      </w:pPr>
      <w:r w:rsidRPr="008B4DA2">
        <w:rPr>
          <w:rFonts w:ascii="Calibri" w:hAnsi="Calibri" w:cs="Calibri"/>
          <w:noProof/>
          <w:szCs w:val="24"/>
        </w:rPr>
        <w:t>10. Suga H, Sugaya M, Miyagaki T, Ohmatsu H, Kawaguchi M, Takahashi N, et al. Skin Barrier Dysfunction and Low Antimicrobial Peptide Expression in Cutaneous T-cell Lymphoma. Clin Cancer Res [Internet]. 2014;20:4339–48. Available from: http://clincancerres.aacrjournals.org/lookup/doi/10.1158/1078-0432.CCR-14-0077</w:t>
      </w:r>
    </w:p>
    <w:p w14:paraId="04FD9118" w14:textId="77777777" w:rsidR="008B4DA2" w:rsidRPr="008B4DA2" w:rsidRDefault="008B4DA2" w:rsidP="008B4DA2">
      <w:pPr>
        <w:widowControl w:val="0"/>
        <w:autoSpaceDE w:val="0"/>
        <w:autoSpaceDN w:val="0"/>
        <w:adjustRightInd w:val="0"/>
        <w:spacing w:line="240" w:lineRule="auto"/>
        <w:rPr>
          <w:rFonts w:ascii="Calibri" w:hAnsi="Calibri" w:cs="Calibri"/>
          <w:noProof/>
        </w:rPr>
      </w:pPr>
      <w:r w:rsidRPr="008B4DA2">
        <w:rPr>
          <w:rFonts w:ascii="Calibri" w:hAnsi="Calibri" w:cs="Calibri"/>
          <w:noProof/>
          <w:szCs w:val="24"/>
        </w:rPr>
        <w:t>11. Nakajima R, Miyagaki T, Kamijo H, Oka T, Shishido-Takahashi N, Suga H, et al. Decreased progranulin expression in Mycosis fungoides: a possible association with the high frequency of skin infections. Eur J Dermatol [Internet]. 2018;28:790–4. Available from: http://www.ncbi.nlm.nih.gov/pubmed/30530405</w:t>
      </w:r>
    </w:p>
    <w:p w14:paraId="34F9FF19" w14:textId="78D8BAFB" w:rsidR="00B5135E" w:rsidRPr="00B5135E" w:rsidRDefault="00B5135E" w:rsidP="00CD602A">
      <w:r>
        <w:fldChar w:fldCharType="end"/>
      </w:r>
    </w:p>
    <w:sectPr w:rsidR="00B5135E" w:rsidRPr="00B5135E">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356753" w14:textId="77777777" w:rsidR="003D7D22" w:rsidRDefault="003D7D22" w:rsidP="00595BBD">
      <w:pPr>
        <w:spacing w:after="0" w:line="240" w:lineRule="auto"/>
      </w:pPr>
      <w:r>
        <w:separator/>
      </w:r>
    </w:p>
  </w:endnote>
  <w:endnote w:type="continuationSeparator" w:id="0">
    <w:p w14:paraId="51904D30" w14:textId="77777777" w:rsidR="003D7D22" w:rsidRDefault="003D7D22" w:rsidP="00595BBD">
      <w:pPr>
        <w:spacing w:after="0" w:line="240" w:lineRule="auto"/>
      </w:pPr>
      <w:r>
        <w:continuationSeparator/>
      </w:r>
    </w:p>
  </w:endnote>
  <w:endnote w:type="continuationNotice" w:id="1">
    <w:p w14:paraId="712CA934" w14:textId="77777777" w:rsidR="00D86C0D" w:rsidRDefault="00D86C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7843868"/>
      <w:docPartObj>
        <w:docPartGallery w:val="Page Numbers (Bottom of Page)"/>
        <w:docPartUnique/>
      </w:docPartObj>
    </w:sdtPr>
    <w:sdtEndPr/>
    <w:sdtContent>
      <w:p w14:paraId="48A0421A" w14:textId="03F7C16C" w:rsidR="00595BBD" w:rsidRDefault="00595BBD">
        <w:pPr>
          <w:pStyle w:val="Fuzeile"/>
          <w:jc w:val="right"/>
        </w:pPr>
        <w:r>
          <w:fldChar w:fldCharType="begin"/>
        </w:r>
        <w:r>
          <w:instrText>PAGE   \* MERGEFORMAT</w:instrText>
        </w:r>
        <w:r>
          <w:fldChar w:fldCharType="separate"/>
        </w:r>
        <w:r>
          <w:t>2</w:t>
        </w:r>
        <w:r>
          <w:fldChar w:fldCharType="end"/>
        </w:r>
      </w:p>
    </w:sdtContent>
  </w:sdt>
  <w:p w14:paraId="20561797" w14:textId="77777777" w:rsidR="00595BBD" w:rsidRDefault="00595BB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E42CFA" w14:textId="77777777" w:rsidR="003D7D22" w:rsidRDefault="003D7D22" w:rsidP="00595BBD">
      <w:pPr>
        <w:spacing w:after="0" w:line="240" w:lineRule="auto"/>
      </w:pPr>
      <w:r>
        <w:separator/>
      </w:r>
    </w:p>
  </w:footnote>
  <w:footnote w:type="continuationSeparator" w:id="0">
    <w:p w14:paraId="0781AC96" w14:textId="77777777" w:rsidR="003D7D22" w:rsidRDefault="003D7D22" w:rsidP="00595BBD">
      <w:pPr>
        <w:spacing w:after="0" w:line="240" w:lineRule="auto"/>
      </w:pPr>
      <w:r>
        <w:continuationSeparator/>
      </w:r>
    </w:p>
  </w:footnote>
  <w:footnote w:type="continuationNotice" w:id="1">
    <w:p w14:paraId="2256F915" w14:textId="77777777" w:rsidR="00D86C0D" w:rsidRDefault="00D86C0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310"/>
    <w:rsid w:val="00000BBD"/>
    <w:rsid w:val="0000112E"/>
    <w:rsid w:val="000226BB"/>
    <w:rsid w:val="00051454"/>
    <w:rsid w:val="00094FF4"/>
    <w:rsid w:val="000A1A30"/>
    <w:rsid w:val="000B3D34"/>
    <w:rsid w:val="000B7759"/>
    <w:rsid w:val="000F0A2C"/>
    <w:rsid w:val="00187C5E"/>
    <w:rsid w:val="001929C1"/>
    <w:rsid w:val="001A13F3"/>
    <w:rsid w:val="001D1E05"/>
    <w:rsid w:val="0020038D"/>
    <w:rsid w:val="0020103A"/>
    <w:rsid w:val="0021720D"/>
    <w:rsid w:val="002504E3"/>
    <w:rsid w:val="00284D2C"/>
    <w:rsid w:val="002949AC"/>
    <w:rsid w:val="002C49EC"/>
    <w:rsid w:val="002C777C"/>
    <w:rsid w:val="002D41E4"/>
    <w:rsid w:val="002F2D4F"/>
    <w:rsid w:val="002F459E"/>
    <w:rsid w:val="003642F9"/>
    <w:rsid w:val="0038241C"/>
    <w:rsid w:val="003B19E3"/>
    <w:rsid w:val="003D7D22"/>
    <w:rsid w:val="003F7A3B"/>
    <w:rsid w:val="0040473F"/>
    <w:rsid w:val="0041663D"/>
    <w:rsid w:val="00425790"/>
    <w:rsid w:val="004274A1"/>
    <w:rsid w:val="004301B0"/>
    <w:rsid w:val="00445177"/>
    <w:rsid w:val="004506E3"/>
    <w:rsid w:val="00465BA7"/>
    <w:rsid w:val="0048031C"/>
    <w:rsid w:val="0049747C"/>
    <w:rsid w:val="004A4F9B"/>
    <w:rsid w:val="004C3CF0"/>
    <w:rsid w:val="004D5A86"/>
    <w:rsid w:val="004E7B78"/>
    <w:rsid w:val="004F050B"/>
    <w:rsid w:val="0050295A"/>
    <w:rsid w:val="00530351"/>
    <w:rsid w:val="00534932"/>
    <w:rsid w:val="005626DA"/>
    <w:rsid w:val="00563C4C"/>
    <w:rsid w:val="0057427A"/>
    <w:rsid w:val="005836D0"/>
    <w:rsid w:val="00595BBD"/>
    <w:rsid w:val="005A7828"/>
    <w:rsid w:val="005B4F79"/>
    <w:rsid w:val="005C5417"/>
    <w:rsid w:val="005F5C5F"/>
    <w:rsid w:val="00601220"/>
    <w:rsid w:val="00612905"/>
    <w:rsid w:val="0065580E"/>
    <w:rsid w:val="00680055"/>
    <w:rsid w:val="006A20C2"/>
    <w:rsid w:val="006B3B6E"/>
    <w:rsid w:val="00706779"/>
    <w:rsid w:val="0074365E"/>
    <w:rsid w:val="00743AC2"/>
    <w:rsid w:val="00780218"/>
    <w:rsid w:val="00782440"/>
    <w:rsid w:val="00785172"/>
    <w:rsid w:val="00790176"/>
    <w:rsid w:val="007917C7"/>
    <w:rsid w:val="007D1E9E"/>
    <w:rsid w:val="007E2257"/>
    <w:rsid w:val="00805F7A"/>
    <w:rsid w:val="00810860"/>
    <w:rsid w:val="00845339"/>
    <w:rsid w:val="00845747"/>
    <w:rsid w:val="00887A18"/>
    <w:rsid w:val="008A10DC"/>
    <w:rsid w:val="008B4DA2"/>
    <w:rsid w:val="008C0C9B"/>
    <w:rsid w:val="008F6097"/>
    <w:rsid w:val="00925EF2"/>
    <w:rsid w:val="00931A3A"/>
    <w:rsid w:val="00935098"/>
    <w:rsid w:val="00973F43"/>
    <w:rsid w:val="009743A1"/>
    <w:rsid w:val="009753BF"/>
    <w:rsid w:val="009B0763"/>
    <w:rsid w:val="009B0839"/>
    <w:rsid w:val="009B7B1C"/>
    <w:rsid w:val="009D3310"/>
    <w:rsid w:val="009E3476"/>
    <w:rsid w:val="009F0578"/>
    <w:rsid w:val="00A04232"/>
    <w:rsid w:val="00A31480"/>
    <w:rsid w:val="00A55F49"/>
    <w:rsid w:val="00A62AE7"/>
    <w:rsid w:val="00A8151A"/>
    <w:rsid w:val="00A914AF"/>
    <w:rsid w:val="00A9551D"/>
    <w:rsid w:val="00AF2735"/>
    <w:rsid w:val="00B02517"/>
    <w:rsid w:val="00B04A24"/>
    <w:rsid w:val="00B318DA"/>
    <w:rsid w:val="00B411B0"/>
    <w:rsid w:val="00B5135E"/>
    <w:rsid w:val="00B752CB"/>
    <w:rsid w:val="00B96786"/>
    <w:rsid w:val="00BA1252"/>
    <w:rsid w:val="00BA65AE"/>
    <w:rsid w:val="00BC43D9"/>
    <w:rsid w:val="00BF47E9"/>
    <w:rsid w:val="00C433EB"/>
    <w:rsid w:val="00C53778"/>
    <w:rsid w:val="00CC6DBA"/>
    <w:rsid w:val="00CD602A"/>
    <w:rsid w:val="00CE659E"/>
    <w:rsid w:val="00CE6CC6"/>
    <w:rsid w:val="00D10F32"/>
    <w:rsid w:val="00D15D4C"/>
    <w:rsid w:val="00D17D99"/>
    <w:rsid w:val="00D23112"/>
    <w:rsid w:val="00D7033B"/>
    <w:rsid w:val="00D86C0D"/>
    <w:rsid w:val="00DB482A"/>
    <w:rsid w:val="00E37BF6"/>
    <w:rsid w:val="00E90F95"/>
    <w:rsid w:val="00EA7A58"/>
    <w:rsid w:val="00EB7B8C"/>
    <w:rsid w:val="00EF0599"/>
    <w:rsid w:val="00F10FA6"/>
    <w:rsid w:val="00F27CE9"/>
    <w:rsid w:val="00F32065"/>
    <w:rsid w:val="00F45564"/>
    <w:rsid w:val="00F55A0A"/>
    <w:rsid w:val="00F570AF"/>
    <w:rsid w:val="00F81381"/>
    <w:rsid w:val="00F8742B"/>
    <w:rsid w:val="00F94A8E"/>
    <w:rsid w:val="00FB1ACD"/>
    <w:rsid w:val="00FC1850"/>
    <w:rsid w:val="00FD362A"/>
    <w:rsid w:val="04C8F1CA"/>
    <w:rsid w:val="10F4B6A4"/>
    <w:rsid w:val="12FD5172"/>
    <w:rsid w:val="1E5B9E1E"/>
    <w:rsid w:val="268DE1DE"/>
    <w:rsid w:val="3CFB8090"/>
    <w:rsid w:val="7279B6F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97CE2A"/>
  <w15:chartTrackingRefBased/>
  <w15:docId w15:val="{B38F5BB3-CBDB-4BE2-922F-0AEDF2445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D33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D3310"/>
    <w:rPr>
      <w:rFonts w:asciiTheme="majorHAnsi" w:eastAsiaTheme="majorEastAsia" w:hAnsiTheme="majorHAnsi" w:cstheme="majorBidi"/>
      <w:color w:val="2E74B5" w:themeColor="accent1" w:themeShade="BF"/>
      <w:sz w:val="32"/>
      <w:szCs w:val="32"/>
    </w:rPr>
  </w:style>
  <w:style w:type="paragraph" w:styleId="Titel">
    <w:name w:val="Title"/>
    <w:basedOn w:val="Standard"/>
    <w:next w:val="Standard"/>
    <w:link w:val="TitelZchn"/>
    <w:uiPriority w:val="10"/>
    <w:qFormat/>
    <w:rsid w:val="009D331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D3310"/>
    <w:rPr>
      <w:rFonts w:asciiTheme="majorHAnsi" w:eastAsiaTheme="majorEastAsia" w:hAnsiTheme="majorHAnsi" w:cstheme="majorBidi"/>
      <w:spacing w:val="-10"/>
      <w:kern w:val="28"/>
      <w:sz w:val="56"/>
      <w:szCs w:val="56"/>
    </w:rPr>
  </w:style>
  <w:style w:type="paragraph" w:styleId="Beschriftung">
    <w:name w:val="caption"/>
    <w:basedOn w:val="Standard"/>
    <w:next w:val="Standard"/>
    <w:uiPriority w:val="35"/>
    <w:unhideWhenUsed/>
    <w:qFormat/>
    <w:rsid w:val="00B752CB"/>
    <w:pPr>
      <w:spacing w:after="200" w:line="240" w:lineRule="auto"/>
    </w:pPr>
    <w:rPr>
      <w:i/>
      <w:iCs/>
      <w:color w:val="44546A" w:themeColor="text2"/>
      <w:sz w:val="18"/>
      <w:szCs w:val="18"/>
    </w:rPr>
  </w:style>
  <w:style w:type="character" w:styleId="Kommentarzeichen">
    <w:name w:val="annotation reference"/>
    <w:basedOn w:val="Absatz-Standardschriftart"/>
    <w:uiPriority w:val="99"/>
    <w:semiHidden/>
    <w:unhideWhenUsed/>
    <w:rsid w:val="00CD602A"/>
    <w:rPr>
      <w:sz w:val="16"/>
      <w:szCs w:val="16"/>
    </w:rPr>
  </w:style>
  <w:style w:type="table" w:styleId="EinfacheTabelle1">
    <w:name w:val="Plain Table 1"/>
    <w:basedOn w:val="NormaleTabelle"/>
    <w:uiPriority w:val="41"/>
    <w:rsid w:val="00CD602A"/>
    <w:pPr>
      <w:spacing w:after="0" w:line="240" w:lineRule="auto"/>
    </w:pPr>
    <w:rPr>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asterthesis">
    <w:name w:val="Masterthesis"/>
    <w:basedOn w:val="Standard"/>
    <w:qFormat/>
    <w:rsid w:val="00CD602A"/>
    <w:pPr>
      <w:jc w:val="both"/>
    </w:pPr>
    <w:rPr>
      <w:sz w:val="24"/>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sz w:val="20"/>
      <w:szCs w:val="20"/>
    </w:rPr>
  </w:style>
  <w:style w:type="paragraph" w:styleId="Sprechblasentext">
    <w:name w:val="Balloon Text"/>
    <w:basedOn w:val="Standard"/>
    <w:link w:val="SprechblasentextZchn"/>
    <w:uiPriority w:val="99"/>
    <w:semiHidden/>
    <w:unhideWhenUsed/>
    <w:rsid w:val="004E7B7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E7B78"/>
    <w:rPr>
      <w:rFonts w:ascii="Segoe UI" w:hAnsi="Segoe UI" w:cs="Segoe UI"/>
      <w:sz w:val="18"/>
      <w:szCs w:val="18"/>
    </w:rPr>
  </w:style>
  <w:style w:type="table" w:styleId="Tabellenraster">
    <w:name w:val="Table Grid"/>
    <w:basedOn w:val="NormaleTabelle"/>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EinfacheTabelle5">
    <w:name w:val="Plain Table 5"/>
    <w:basedOn w:val="NormaleTabelle"/>
    <w:uiPriority w:val="4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Kopfzeile">
    <w:name w:val="header"/>
    <w:basedOn w:val="Standard"/>
    <w:link w:val="KopfzeileZchn"/>
    <w:uiPriority w:val="99"/>
    <w:unhideWhenUsed/>
    <w:rsid w:val="00595BB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95BBD"/>
  </w:style>
  <w:style w:type="paragraph" w:styleId="Fuzeile">
    <w:name w:val="footer"/>
    <w:basedOn w:val="Standard"/>
    <w:link w:val="FuzeileZchn"/>
    <w:uiPriority w:val="99"/>
    <w:unhideWhenUsed/>
    <w:rsid w:val="00595BB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95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openxmlformats.org/officeDocument/2006/relationships/image" Target="media/image7.tiff"/><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6.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FAD6CC-3E2B-491B-9F9D-5AD27F1C6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7307</Words>
  <Characters>41651</Characters>
  <Application>Microsoft Office Word</Application>
  <DocSecurity>0</DocSecurity>
  <Lines>347</Lines>
  <Paragraphs>97</Paragraphs>
  <ScaleCrop>false</ScaleCrop>
  <Company>Universitätsmedizin Mainz</Company>
  <LinksUpToDate>false</LinksUpToDate>
  <CharactersWithSpaces>48861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Philipp Licht</dc:creator>
  <cp:keywords/>
  <dc:description/>
  <cp:lastModifiedBy>Philipp Licht</cp:lastModifiedBy>
  <cp:revision>122</cp:revision>
  <dcterms:created xsi:type="dcterms:W3CDTF">2022-10-20T11:22:00Z</dcterms:created>
  <dcterms:modified xsi:type="dcterms:W3CDTF">2023-05-25T15:09:00Z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http://www.zotero.org/styles/bmc-microbiology</vt:lpwstr>
  </property>
  <property fmtid="{D5CDD505-2E9C-101B-9397-08002B2CF9AE}" pid="7" name="Mendeley Recent Style Name 2_1">
    <vt:lpwstr>BMC Microbiology</vt:lpwstr>
  </property>
  <property fmtid="{D5CDD505-2E9C-101B-9397-08002B2CF9AE}" pid="8" name="Mendeley Recent Style Id 3_1">
    <vt:lpwstr>http://www.zotero.org/styles/british-journal-of-sports-medicine</vt:lpwstr>
  </property>
  <property fmtid="{D5CDD505-2E9C-101B-9397-08002B2CF9AE}" pid="9" name="Mendeley Recent Style Name 3_1">
    <vt:lpwstr>British Journal of Sports Medicine</vt:lpwstr>
  </property>
  <property fmtid="{D5CDD505-2E9C-101B-9397-08002B2CF9AE}" pid="10" name="Mendeley Recent Style Id 4_1">
    <vt:lpwstr>http://www.zotero.org/styles/cells</vt:lpwstr>
  </property>
  <property fmtid="{D5CDD505-2E9C-101B-9397-08002B2CF9AE}" pid="11" name="Mendeley Recent Style Name 4_1">
    <vt:lpwstr>Cells</vt:lpwstr>
  </property>
  <property fmtid="{D5CDD505-2E9C-101B-9397-08002B2CF9AE}" pid="12" name="Mendeley Recent Style Id 5_1">
    <vt:lpwstr>http://www.zotero.org/styles/microbiome</vt:lpwstr>
  </property>
  <property fmtid="{D5CDD505-2E9C-101B-9397-08002B2CF9AE}" pid="13" name="Mendeley Recent Style Name 5_1">
    <vt:lpwstr>Microbiome</vt:lpwstr>
  </property>
  <property fmtid="{D5CDD505-2E9C-101B-9397-08002B2CF9AE}" pid="14" name="Mendeley Recent Style Id 6_1">
    <vt:lpwstr>http://www.zotero.org/styles/nature-no-et-al</vt:lpwstr>
  </property>
  <property fmtid="{D5CDD505-2E9C-101B-9397-08002B2CF9AE}" pid="15" name="Mendeley Recent Style Name 6_1">
    <vt:lpwstr>Nature (no "et al.")</vt:lpwstr>
  </property>
  <property fmtid="{D5CDD505-2E9C-101B-9397-08002B2CF9AE}" pid="16" name="Mendeley Recent Style Id 7_1">
    <vt:lpwstr>http://www.zotero.org/styles/nature-no-superscript</vt:lpwstr>
  </property>
  <property fmtid="{D5CDD505-2E9C-101B-9397-08002B2CF9AE}" pid="17" name="Mendeley Recent Style Name 7_1">
    <vt:lpwstr>Nature (no superscript)</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http://www.zotero.org/styles/msystems</vt:lpwstr>
  </property>
  <property fmtid="{D5CDD505-2E9C-101B-9397-08002B2CF9AE}" pid="21" name="Mendeley Recent Style Name 9_1">
    <vt:lpwstr>mSystems</vt:lpwstr>
  </property>
  <property fmtid="{D5CDD505-2E9C-101B-9397-08002B2CF9AE}" pid="22" name="Mendeley Document_1">
    <vt:lpwstr>True</vt:lpwstr>
  </property>
  <property fmtid="{D5CDD505-2E9C-101B-9397-08002B2CF9AE}" pid="23" name="Mendeley Unique User Id_1">
    <vt:lpwstr>70d988ce-b996-39f5-80fd-52d77ba973de</vt:lpwstr>
  </property>
  <property fmtid="{D5CDD505-2E9C-101B-9397-08002B2CF9AE}" pid="24" name="Mendeley Citation Style_1">
    <vt:lpwstr>http://www.zotero.org/styles/microbiome</vt:lpwstr>
  </property>
</Properties>
</file>