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6086" w:rsidRDefault="00D229AD">
      <w:pPr>
        <w:rPr>
          <w:b/>
          <w:lang w:val="en-GB"/>
        </w:rPr>
      </w:pPr>
      <w:r>
        <w:rPr>
          <w:b/>
          <w:lang w:val="en-GB"/>
        </w:rPr>
        <w:t xml:space="preserve">Online Supplement: E1 Table </w:t>
      </w:r>
    </w:p>
    <w:p w:rsidR="00D229AD" w:rsidRDefault="00D229AD">
      <w:pPr>
        <w:rPr>
          <w:b/>
          <w:lang w:val="en-GB"/>
        </w:rPr>
      </w:pPr>
      <w:bookmarkStart w:id="0" w:name="_GoBack"/>
      <w:bookmarkEnd w:id="0"/>
    </w:p>
    <w:tbl>
      <w:tblPr>
        <w:tblpPr w:leftFromText="142" w:rightFromText="142" w:vertAnchor="text" w:horzAnchor="margin" w:tblpXSpec="center" w:tblpY="375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9"/>
        <w:gridCol w:w="222"/>
        <w:gridCol w:w="1732"/>
        <w:gridCol w:w="1351"/>
        <w:gridCol w:w="1732"/>
        <w:gridCol w:w="3414"/>
        <w:gridCol w:w="1099"/>
      </w:tblGrid>
      <w:tr w:rsidR="00D229AD" w:rsidRPr="00D229AD" w:rsidTr="00D229AD">
        <w:trPr>
          <w:trHeight w:val="835"/>
        </w:trPr>
        <w:tc>
          <w:tcPr>
            <w:tcW w:w="0" w:type="auto"/>
            <w:tcBorders>
              <w:top w:val="single" w:sz="4" w:space="0" w:color="auto"/>
              <w:left w:val="nil"/>
              <w:bottom w:val="thinThickLargeGap" w:sz="24" w:space="0" w:color="auto"/>
              <w:right w:val="nil"/>
            </w:tcBorders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ascii="Calibri" w:hAnsi="Calibri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cs="Arial"/>
                <w:b/>
                <w:bCs/>
                <w:color w:val="000000"/>
                <w:sz w:val="20"/>
                <w:szCs w:val="20"/>
              </w:rPr>
              <w:t>Weight</w:t>
            </w:r>
            <w:proofErr w:type="spellEnd"/>
            <w:r>
              <w:rPr>
                <w:rFonts w:cs="Arial"/>
                <w:b/>
                <w:bCs/>
                <w:color w:val="000000"/>
                <w:sz w:val="20"/>
                <w:szCs w:val="20"/>
              </w:rPr>
              <w:t xml:space="preserve"> (kg)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thinThickLargeGap" w:sz="24" w:space="0" w:color="auto"/>
              <w:right w:val="nil"/>
            </w:tcBorders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thinThickLargeGap" w:sz="24" w:space="0" w:color="auto"/>
              <w:right w:val="nil"/>
            </w:tcBorders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cs="Arial"/>
                <w:b/>
                <w:bCs/>
                <w:color w:val="000000"/>
                <w:sz w:val="20"/>
                <w:szCs w:val="20"/>
                <w:lang w:val="en-US"/>
              </w:rPr>
              <w:t>Normal fluid recommendations</w:t>
            </w:r>
            <w:r>
              <w:rPr>
                <w:rFonts w:cs="Arial"/>
                <w:b/>
                <w:bCs/>
                <w:color w:val="000000"/>
                <w:sz w:val="20"/>
                <w:szCs w:val="20"/>
                <w:lang w:val="en-US"/>
              </w:rPr>
              <w:br/>
              <w:t>(ml/kg/day)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thinThickLargeGap" w:sz="24" w:space="0" w:color="auto"/>
              <w:right w:val="nil"/>
            </w:tcBorders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cs="Arial"/>
                <w:b/>
                <w:bCs/>
                <w:color w:val="000000"/>
                <w:sz w:val="20"/>
                <w:szCs w:val="20"/>
                <w:lang w:val="en-US"/>
              </w:rPr>
              <w:t>Conservative: 70% fluid restriction</w:t>
            </w:r>
          </w:p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cs="Arial"/>
                <w:b/>
                <w:bCs/>
                <w:color w:val="000000"/>
                <w:sz w:val="20"/>
                <w:szCs w:val="20"/>
                <w:lang w:val="en-US"/>
              </w:rPr>
              <w:t>(ml/kg/day)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thinThickLargeGap" w:sz="24" w:space="0" w:color="auto"/>
              <w:right w:val="nil"/>
            </w:tcBorders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cs="Arial"/>
                <w:b/>
                <w:bCs/>
                <w:color w:val="000000"/>
                <w:sz w:val="20"/>
                <w:szCs w:val="20"/>
                <w:lang w:val="en-US"/>
              </w:rPr>
              <w:t>Standard: &gt;85% of normal recommendations</w:t>
            </w:r>
            <w:r>
              <w:rPr>
                <w:rFonts w:cs="Arial"/>
                <w:b/>
                <w:bCs/>
                <w:color w:val="000000"/>
                <w:sz w:val="20"/>
                <w:szCs w:val="20"/>
                <w:lang w:val="en-US"/>
              </w:rPr>
              <w:br/>
              <w:t xml:space="preserve"> (ml/kg/day)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thinThickLargeGap" w:sz="24" w:space="0" w:color="auto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cs="Arial"/>
                <w:b/>
                <w:bCs/>
                <w:color w:val="000000"/>
                <w:sz w:val="20"/>
                <w:szCs w:val="20"/>
                <w:lang w:val="en-US"/>
              </w:rPr>
              <w:t>Guarantee of kcal intake (kcal/kg/day)</w:t>
            </w:r>
          </w:p>
        </w:tc>
        <w:tc>
          <w:tcPr>
            <w:tcW w:w="1679" w:type="dxa"/>
            <w:tcBorders>
              <w:top w:val="single" w:sz="4" w:space="0" w:color="auto"/>
              <w:left w:val="nil"/>
              <w:bottom w:val="thinThickLargeGap" w:sz="24" w:space="0" w:color="auto"/>
              <w:right w:val="nil"/>
            </w:tcBorders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cs="Arial"/>
                <w:b/>
                <w:bCs/>
                <w:color w:val="000000"/>
                <w:sz w:val="20"/>
                <w:szCs w:val="20"/>
                <w:lang w:val="en-US"/>
              </w:rPr>
              <w:t>Guarantee of protein intake (g/kg/day)</w:t>
            </w:r>
          </w:p>
        </w:tc>
      </w:tr>
      <w:tr w:rsidR="00D229AD" w:rsidTr="00D229AD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0 - 6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tabs>
                <w:tab w:val="center" w:pos="1249"/>
              </w:tabs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&gt;128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bCs/>
                <w:color w:val="000000"/>
                <w:sz w:val="20"/>
                <w:szCs w:val="20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75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bCs/>
                <w:color w:val="000000"/>
                <w:sz w:val="20"/>
                <w:szCs w:val="20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1.5</w:t>
            </w:r>
          </w:p>
        </w:tc>
      </w:tr>
      <w:tr w:rsidR="00D229AD" w:rsidTr="00D229AD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6 - 7.5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tabs>
                <w:tab w:val="center" w:pos="1249"/>
              </w:tabs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&gt;111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bCs/>
                <w:color w:val="000000"/>
                <w:sz w:val="20"/>
                <w:szCs w:val="20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75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bCs/>
                <w:color w:val="000000"/>
                <w:sz w:val="20"/>
                <w:szCs w:val="20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1.5</w:t>
            </w:r>
          </w:p>
        </w:tc>
      </w:tr>
      <w:tr w:rsidR="00D229AD" w:rsidTr="00D229AD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7.5 - 9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tabs>
                <w:tab w:val="center" w:pos="1249"/>
              </w:tabs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&gt;102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bCs/>
                <w:color w:val="000000"/>
                <w:sz w:val="20"/>
                <w:szCs w:val="20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75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bCs/>
                <w:color w:val="000000"/>
                <w:sz w:val="20"/>
                <w:szCs w:val="20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1.5</w:t>
            </w:r>
          </w:p>
        </w:tc>
      </w:tr>
      <w:tr w:rsidR="00D229AD" w:rsidTr="00D229AD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9 - 10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tabs>
                <w:tab w:val="center" w:pos="1249"/>
              </w:tabs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&gt;94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bCs/>
                <w:color w:val="000000"/>
                <w:sz w:val="20"/>
                <w:szCs w:val="20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75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bCs/>
                <w:color w:val="000000"/>
                <w:sz w:val="20"/>
                <w:szCs w:val="20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1.5</w:t>
            </w:r>
          </w:p>
        </w:tc>
      </w:tr>
      <w:tr w:rsidR="00D229AD" w:rsidTr="00D229AD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&gt;81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1.5</w:t>
            </w:r>
          </w:p>
        </w:tc>
      </w:tr>
      <w:tr w:rsidR="00D229AD" w:rsidTr="00D229AD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&gt;78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1.5</w:t>
            </w:r>
          </w:p>
        </w:tc>
      </w:tr>
      <w:tr w:rsidR="00D229AD" w:rsidTr="00D229AD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&gt;75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1.5</w:t>
            </w:r>
          </w:p>
        </w:tc>
      </w:tr>
      <w:tr w:rsidR="00D229AD" w:rsidTr="00D229AD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&gt;73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1.5</w:t>
            </w:r>
          </w:p>
        </w:tc>
      </w:tr>
      <w:tr w:rsidR="00D229AD" w:rsidTr="00D229AD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&gt;71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1.5</w:t>
            </w:r>
          </w:p>
        </w:tc>
      </w:tr>
      <w:tr w:rsidR="00D229AD" w:rsidTr="00D229AD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&gt;69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1.5</w:t>
            </w:r>
          </w:p>
        </w:tc>
      </w:tr>
      <w:tr w:rsidR="00D229AD" w:rsidTr="00D229AD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&gt;67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1.5</w:t>
            </w:r>
          </w:p>
        </w:tc>
      </w:tr>
      <w:tr w:rsidR="00D229AD" w:rsidTr="00D229AD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&gt;66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1.5</w:t>
            </w:r>
          </w:p>
        </w:tc>
      </w:tr>
      <w:tr w:rsidR="00D229AD" w:rsidTr="00D229AD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&gt;65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1.5</w:t>
            </w:r>
          </w:p>
        </w:tc>
      </w:tr>
      <w:tr w:rsidR="00D229AD" w:rsidTr="00D229AD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&gt;64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1.5</w:t>
            </w:r>
          </w:p>
        </w:tc>
      </w:tr>
      <w:tr w:rsidR="00D229AD" w:rsidTr="00D229AD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&gt;61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1.5</w:t>
            </w:r>
          </w:p>
        </w:tc>
      </w:tr>
      <w:tr w:rsidR="00D229AD" w:rsidTr="00D229AD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&gt;60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1.5</w:t>
            </w:r>
          </w:p>
        </w:tc>
      </w:tr>
      <w:tr w:rsidR="00D229AD" w:rsidTr="00D229AD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&gt;58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1.5</w:t>
            </w:r>
          </w:p>
        </w:tc>
      </w:tr>
      <w:tr w:rsidR="00D229AD" w:rsidTr="00D229AD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&gt;56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1.5</w:t>
            </w:r>
          </w:p>
        </w:tc>
      </w:tr>
      <w:tr w:rsidR="00D229AD" w:rsidTr="00D229AD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&gt;54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1.5</w:t>
            </w:r>
          </w:p>
        </w:tc>
      </w:tr>
      <w:tr w:rsidR="00D229AD" w:rsidTr="00D229AD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&gt;53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1.5</w:t>
            </w:r>
          </w:p>
        </w:tc>
      </w:tr>
      <w:tr w:rsidR="00D229AD" w:rsidTr="00D229AD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&gt;52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1.5</w:t>
            </w:r>
          </w:p>
        </w:tc>
      </w:tr>
      <w:tr w:rsidR="00D229AD" w:rsidTr="00D229AD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&gt;50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1.5</w:t>
            </w:r>
          </w:p>
        </w:tc>
      </w:tr>
      <w:tr w:rsidR="00D229AD" w:rsidTr="00D229AD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&gt;49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1.5</w:t>
            </w:r>
          </w:p>
        </w:tc>
      </w:tr>
      <w:tr w:rsidR="00D229AD" w:rsidTr="00D229AD">
        <w:trPr>
          <w:trHeight w:val="29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&gt;48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1.5</w:t>
            </w:r>
          </w:p>
        </w:tc>
      </w:tr>
      <w:tr w:rsidR="00D229AD" w:rsidTr="00D229AD">
        <w:trPr>
          <w:trHeight w:val="294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&gt;30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&gt;43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229AD" w:rsidRDefault="00D229AD" w:rsidP="00D229AD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1.5</w:t>
            </w:r>
          </w:p>
        </w:tc>
      </w:tr>
    </w:tbl>
    <w:p w:rsidR="00D229AD" w:rsidRDefault="00D229AD" w:rsidP="00D229AD">
      <w:pPr>
        <w:spacing w:after="0" w:line="240" w:lineRule="auto"/>
        <w:rPr>
          <w:rFonts w:ascii="Calibri Light" w:hAnsi="Calibri Light"/>
          <w:b/>
          <w:lang w:val="en-GB"/>
        </w:rPr>
      </w:pPr>
      <w:r>
        <w:rPr>
          <w:rFonts w:ascii="Calibri Light" w:hAnsi="Calibri Light"/>
          <w:b/>
          <w:lang w:val="en-GB"/>
        </w:rPr>
        <w:t>Table 1: Fluid strategies per randomization arm per kg bodyweight</w:t>
      </w:r>
    </w:p>
    <w:p w:rsidR="00D229AD" w:rsidRDefault="00D229AD" w:rsidP="00D229AD">
      <w:pPr>
        <w:spacing w:after="0" w:line="240" w:lineRule="auto"/>
        <w:rPr>
          <w:rFonts w:ascii="Calibri Light" w:hAnsi="Calibri Light"/>
          <w:lang w:val="en-GB"/>
        </w:rPr>
      </w:pPr>
      <w:r>
        <w:rPr>
          <w:rFonts w:ascii="Calibri Light" w:hAnsi="Calibri Light"/>
          <w:sz w:val="20"/>
          <w:lang w:val="en-GB"/>
        </w:rPr>
        <w:t xml:space="preserve">Normal fluid recommendations of infants and young children are based on Shaw </w:t>
      </w:r>
      <w:r>
        <w:rPr>
          <w:rFonts w:ascii="Calibri Light" w:hAnsi="Calibri Light"/>
          <w:sz w:val="20"/>
          <w:lang w:val="en-GB"/>
        </w:rPr>
        <w:fldChar w:fldCharType="begin"/>
      </w:r>
      <w:r>
        <w:rPr>
          <w:rFonts w:ascii="Calibri Light" w:hAnsi="Calibri Light"/>
          <w:sz w:val="20"/>
          <w:lang w:val="en-GB"/>
        </w:rPr>
        <w:instrText xml:space="preserve"> ADDIN EN.CITE &lt;EndNote&gt;&lt;Cite&gt;&lt;Author&gt;Shaw&lt;/Author&gt;&lt;Year&gt;2015&lt;/Year&gt;&lt;RecNum&gt;1303&lt;/RecNum&gt;&lt;DisplayText&gt;(18)&lt;/DisplayText&gt;&lt;record&gt;&lt;rec-number&gt;1303&lt;/rec-number&gt;&lt;foreign-keys&gt;&lt;key app="EN" db-id="pattwprsxad2eae9st7vzssmttpxrpf5z9s0" timestamp="1530107555"&gt;1303&lt;/key&gt;&lt;/foreign-keys&gt;&lt;ref-type name="Book"&gt;6&lt;/ref-type&gt;&lt;contributors&gt;&lt;authors&gt;&lt;author&gt;Shaw, V.&lt;/author&gt;&lt;/authors&gt;&lt;/contributors&gt;&lt;titles&gt;&lt;title&gt;Clinical Paediatric Dietetics&lt;/title&gt;&lt;/titles&gt;&lt;edition&gt;4th edition. &lt;/edition&gt;&lt;dates&gt;&lt;year&gt;2015&lt;/year&gt;&lt;/dates&gt;&lt;pub-location&gt;Oxford&lt;/pub-location&gt;&lt;publisher&gt;Wiley Blackwell Science&lt;/publisher&gt;&lt;isbn&gt;978-0-470-65998-4&lt;/isbn&gt;&lt;urls&gt;&lt;/urls&gt;&lt;/record&gt;&lt;/Cite&gt;&lt;/EndNote&gt;</w:instrText>
      </w:r>
      <w:r>
        <w:rPr>
          <w:rFonts w:ascii="Calibri Light" w:hAnsi="Calibri Light"/>
          <w:sz w:val="20"/>
          <w:lang w:val="en-GB"/>
        </w:rPr>
        <w:fldChar w:fldCharType="separate"/>
      </w:r>
      <w:r>
        <w:rPr>
          <w:rFonts w:ascii="Calibri Light" w:hAnsi="Calibri Light"/>
          <w:noProof/>
          <w:sz w:val="20"/>
          <w:lang w:val="en-GB"/>
        </w:rPr>
        <w:t>(18)</w:t>
      </w:r>
      <w:r>
        <w:rPr>
          <w:rFonts w:ascii="Calibri Light" w:hAnsi="Calibri Light"/>
          <w:sz w:val="20"/>
          <w:lang w:val="en-GB"/>
        </w:rPr>
        <w:fldChar w:fldCharType="end"/>
      </w:r>
      <w:r>
        <w:rPr>
          <w:rFonts w:ascii="Calibri Light" w:hAnsi="Calibri Light"/>
          <w:sz w:val="20"/>
          <w:lang w:val="en-GB"/>
        </w:rPr>
        <w:t xml:space="preserve">. </w:t>
      </w:r>
    </w:p>
    <w:p w:rsidR="00D229AD" w:rsidRDefault="00D229AD" w:rsidP="00D229AD">
      <w:pPr>
        <w:spacing w:after="0" w:line="480" w:lineRule="auto"/>
        <w:rPr>
          <w:rFonts w:ascii="Calibri Light" w:hAnsi="Calibri Light"/>
          <w:lang w:val="en-GB"/>
        </w:rPr>
      </w:pPr>
    </w:p>
    <w:p w:rsidR="00D229AD" w:rsidRPr="00D229AD" w:rsidRDefault="00D229AD">
      <w:pPr>
        <w:rPr>
          <w:b/>
          <w:lang w:val="en-GB"/>
        </w:rPr>
      </w:pPr>
    </w:p>
    <w:sectPr w:rsidR="00D229AD" w:rsidRPr="00D229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9AD"/>
    <w:rsid w:val="00406086"/>
    <w:rsid w:val="00D22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6E75C"/>
  <w15:chartTrackingRefBased/>
  <w15:docId w15:val="{D1BC87D2-6D81-4B54-9B7B-53A801383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101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254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AMC</Company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Ingelse, S.A. (Saranke)</dc:creator>
  <cp:keywords/>
  <dc:description/>
  <cp:lastModifiedBy>Ingelse, S.A. (Saranke)</cp:lastModifiedBy>
  <cp:revision>1</cp:revision>
  <dcterms:created xsi:type="dcterms:W3CDTF">2019-03-31T15:40:00Z</dcterms:created>
  <dcterms:modified xsi:type="dcterms:W3CDTF">2019-03-31T15:42:00Z</dcterms:modified>
</cp:coreProperties>
</file>