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outlineLvl w:val="0"/>
        <w:rPr>
          <w:b/>
          <w:bCs/>
        </w:rPr>
      </w:pPr>
      <w:r>
        <w:rPr>
          <w:b/>
          <w:bCs/>
        </w:rPr>
        <w:t>Supplementary Materials</w:t>
      </w:r>
    </w:p>
    <w:p>
      <w:pPr>
        <w:spacing w:line="480" w:lineRule="auto"/>
        <w:outlineLvl w:val="0"/>
        <w:rPr>
          <w:b/>
          <w:bCs/>
        </w:rPr>
      </w:pPr>
      <w:r>
        <w:rPr>
          <w:b/>
          <w:bCs/>
        </w:rPr>
        <w:t>Appendix 1. MRI Parameters</w:t>
      </w:r>
    </w:p>
    <w:p>
      <w:pPr>
        <w:spacing w:line="480" w:lineRule="auto"/>
        <w:jc w:val="both"/>
      </w:pPr>
      <w:r>
        <w:t>Participants underwent conventional and DCE-</w:t>
      </w:r>
      <w:r>
        <w:rPr>
          <w:rFonts w:hint="eastAsia"/>
        </w:rPr>
        <w:t>MRI</w:t>
      </w:r>
      <w:r>
        <w:t xml:space="preserve"> imaging using a 3T MR system (Magnetom Verio, Siemens Medical Solutions, Erlangen, Germany) with a 64-channel head-neck coil. </w:t>
      </w:r>
      <w:bookmarkStart w:id="0" w:name="OLE_LINK5"/>
      <w:r>
        <w:t>The parameters of the conventional MRI were as follows: transversal T2</w:t>
      </w:r>
      <w:bookmarkEnd w:id="0"/>
      <w:r>
        <w:rPr>
          <w:rFonts w:hint="eastAsia"/>
        </w:rPr>
        <w:t>WI</w:t>
      </w:r>
      <w:r>
        <w:t xml:space="preserve"> [repetition time (TR), </w:t>
      </w:r>
      <w:r>
        <w:rPr>
          <w:rFonts w:hint="eastAsia"/>
        </w:rPr>
        <w:t>4200</w:t>
      </w:r>
      <w:r>
        <w:t xml:space="preserve"> ms; echo time (TE), </w:t>
      </w:r>
      <w:r>
        <w:rPr>
          <w:rFonts w:hint="eastAsia"/>
        </w:rPr>
        <w:t>109</w:t>
      </w:r>
      <w:r>
        <w:t xml:space="preserve"> ms; field of view (FOV), </w:t>
      </w:r>
      <w:r>
        <w:rPr>
          <w:rFonts w:hint="eastAsia"/>
        </w:rPr>
        <w:t>243</w:t>
      </w:r>
      <w:r>
        <w:t xml:space="preserve"> mm × </w:t>
      </w:r>
      <w:r>
        <w:rPr>
          <w:rFonts w:hint="eastAsia"/>
        </w:rPr>
        <w:t>194</w:t>
      </w:r>
      <w:r>
        <w:t xml:space="preserve"> mm; slice thickness, </w:t>
      </w:r>
      <w:r>
        <w:rPr>
          <w:rFonts w:hint="eastAsia"/>
        </w:rPr>
        <w:t xml:space="preserve">6 </w:t>
      </w:r>
      <w:r>
        <w:t>mm; voxel resolution, 0.</w:t>
      </w:r>
      <w:r>
        <w:rPr>
          <w:rFonts w:hint="eastAsia"/>
        </w:rPr>
        <w:t>6</w:t>
      </w:r>
      <w:r>
        <w:t xml:space="preserve"> mm × 0.</w:t>
      </w:r>
      <w:r>
        <w:rPr>
          <w:rFonts w:hint="eastAsia"/>
        </w:rPr>
        <w:t>6</w:t>
      </w:r>
      <w:r>
        <w:t xml:space="preserve"> mm× </w:t>
      </w:r>
      <w:r>
        <w:rPr>
          <w:rFonts w:hint="eastAsia"/>
        </w:rPr>
        <w:t>6.0</w:t>
      </w:r>
      <w:r>
        <w:t xml:space="preserve"> mm) and transversal T1</w:t>
      </w:r>
      <w:r>
        <w:rPr>
          <w:rFonts w:hint="eastAsia"/>
        </w:rPr>
        <w:t>WI</w:t>
      </w:r>
      <w:r>
        <w:t xml:space="preserve"> (TR, </w:t>
      </w:r>
      <w:r>
        <w:rPr>
          <w:rFonts w:hint="eastAsia"/>
        </w:rPr>
        <w:t>2000</w:t>
      </w:r>
      <w:r>
        <w:t xml:space="preserve"> ms; TE, </w:t>
      </w:r>
      <w:r>
        <w:rPr>
          <w:rFonts w:hint="eastAsia"/>
        </w:rPr>
        <w:t>17</w:t>
      </w:r>
      <w:r>
        <w:t xml:space="preserve"> ms; FOV, </w:t>
      </w:r>
      <w:r>
        <w:rPr>
          <w:rFonts w:hint="eastAsia"/>
        </w:rPr>
        <w:t>230</w:t>
      </w:r>
      <w:r>
        <w:t xml:space="preserve"> mm × </w:t>
      </w:r>
      <w:r>
        <w:rPr>
          <w:rFonts w:hint="eastAsia"/>
        </w:rPr>
        <w:t>187</w:t>
      </w:r>
      <w:r>
        <w:t xml:space="preserve"> mm; slice thickness, </w:t>
      </w:r>
      <w:r>
        <w:rPr>
          <w:rFonts w:hint="eastAsia"/>
        </w:rPr>
        <w:t>6.0</w:t>
      </w:r>
      <w:r>
        <w:t xml:space="preserve"> mm; voxel resolution, </w:t>
      </w:r>
      <w:r>
        <w:rPr>
          <w:rFonts w:hint="eastAsia"/>
        </w:rPr>
        <w:t>0.7</w:t>
      </w:r>
      <w:r>
        <w:t xml:space="preserve"> mm</w:t>
      </w:r>
      <w:r>
        <w:rPr>
          <w:rFonts w:hint="eastAsia"/>
        </w:rPr>
        <w:t xml:space="preserve"> </w:t>
      </w:r>
      <w:r>
        <w:t>×</w:t>
      </w:r>
      <w:r>
        <w:rPr>
          <w:rFonts w:hint="eastAsia"/>
        </w:rPr>
        <w:t xml:space="preserve"> 0.7</w:t>
      </w:r>
      <w:r>
        <w:t xml:space="preserve"> mm × </w:t>
      </w:r>
      <w:r>
        <w:rPr>
          <w:rFonts w:hint="eastAsia"/>
        </w:rPr>
        <w:t>6.0</w:t>
      </w:r>
      <w:r>
        <w:t xml:space="preserve"> mm) were obtained. For, DCE</w:t>
      </w:r>
      <w:r>
        <w:rPr>
          <w:rFonts w:hint="eastAsia"/>
        </w:rPr>
        <w:t>-</w:t>
      </w:r>
      <w:r>
        <w:t>MRI, T1-VIBE was applied at two different flip angles (2</w:t>
      </w:r>
      <w:r>
        <w:rPr>
          <w:vertAlign w:val="superscript"/>
        </w:rPr>
        <w:t>◦</w:t>
      </w:r>
      <w:r>
        <w:t xml:space="preserve"> and 15</w:t>
      </w:r>
      <w:r>
        <w:rPr>
          <w:vertAlign w:val="superscript"/>
        </w:rPr>
        <w:t>◦</w:t>
      </w:r>
      <w:r>
        <w:t xml:space="preserve">) to calculate the T1 maps, and it had the following parameters: TR, </w:t>
      </w:r>
      <w:r>
        <w:rPr>
          <w:rFonts w:hint="eastAsia"/>
        </w:rPr>
        <w:t>3.83</w:t>
      </w:r>
      <w:r>
        <w:t xml:space="preserve"> ms; TE, </w:t>
      </w:r>
      <w:r>
        <w:rPr>
          <w:rFonts w:hint="eastAsia"/>
        </w:rPr>
        <w:t>1.37</w:t>
      </w:r>
      <w:r>
        <w:t xml:space="preserve"> ms; slice thickness, </w:t>
      </w:r>
      <w:r>
        <w:rPr>
          <w:rFonts w:hint="eastAsia"/>
        </w:rPr>
        <w:t>3</w:t>
      </w:r>
      <w:r>
        <w:t xml:space="preserve">.5 mm; FOV, </w:t>
      </w:r>
      <w:r>
        <w:rPr>
          <w:rFonts w:hint="eastAsia"/>
        </w:rPr>
        <w:t>220</w:t>
      </w:r>
      <w:r>
        <w:t xml:space="preserve"> mm × </w:t>
      </w:r>
      <w:r>
        <w:rPr>
          <w:rFonts w:hint="eastAsia"/>
        </w:rPr>
        <w:t>220</w:t>
      </w:r>
      <w:r>
        <w:t xml:space="preserve"> mm; voxel resolution, </w:t>
      </w:r>
      <w:r>
        <w:rPr>
          <w:rFonts w:hint="eastAsia"/>
        </w:rPr>
        <w:t>1.4</w:t>
      </w:r>
      <w:r>
        <w:t xml:space="preserve"> mm × </w:t>
      </w:r>
      <w:r>
        <w:rPr>
          <w:rFonts w:hint="eastAsia"/>
        </w:rPr>
        <w:t>1</w:t>
      </w:r>
      <w:r>
        <w:t xml:space="preserve">.4 mm × </w:t>
      </w:r>
      <w:r>
        <w:rPr>
          <w:rFonts w:hint="eastAsia"/>
        </w:rPr>
        <w:t>3</w:t>
      </w:r>
      <w:r>
        <w:t xml:space="preserve">.5 mm. DCE-MRI  was acquired with time-resolved angiography using stochastic trajectories (TWIST) sequence; the parameters were the following: TR, </w:t>
      </w:r>
      <w:r>
        <w:rPr>
          <w:rFonts w:hint="eastAsia"/>
        </w:rPr>
        <w:t>4.89</w:t>
      </w:r>
      <w:r>
        <w:t xml:space="preserve"> ms; TE, </w:t>
      </w:r>
      <w:r>
        <w:rPr>
          <w:rFonts w:hint="eastAsia"/>
        </w:rPr>
        <w:t>1.88</w:t>
      </w:r>
      <w:r>
        <w:t xml:space="preserve"> ms; flip angle, 12</w:t>
      </w:r>
      <w:r>
        <w:rPr>
          <w:vertAlign w:val="superscript"/>
        </w:rPr>
        <w:t>◦</w:t>
      </w:r>
      <w:r>
        <w:t xml:space="preserve">; slice thickness, </w:t>
      </w:r>
      <w:r>
        <w:rPr>
          <w:rFonts w:hint="eastAsia"/>
        </w:rPr>
        <w:t>3</w:t>
      </w:r>
      <w:r>
        <w:t xml:space="preserve">.5 mm; for each measurement, </w:t>
      </w:r>
      <w:r>
        <w:rPr>
          <w:rFonts w:hint="eastAsia"/>
        </w:rPr>
        <w:t>4.77</w:t>
      </w:r>
      <w:r>
        <w:t xml:space="preserve"> s; FOV, </w:t>
      </w:r>
      <w:r>
        <w:rPr>
          <w:rFonts w:hint="eastAsia"/>
        </w:rPr>
        <w:t>220</w:t>
      </w:r>
      <w:r>
        <w:t xml:space="preserve"> mm × </w:t>
      </w:r>
      <w:r>
        <w:rPr>
          <w:rFonts w:hint="eastAsia"/>
        </w:rPr>
        <w:t>220</w:t>
      </w:r>
      <w:r>
        <w:t xml:space="preserve"> mm; 75 measurements, total scan time of </w:t>
      </w:r>
      <w:r>
        <w:rPr>
          <w:rFonts w:hint="eastAsia"/>
        </w:rPr>
        <w:t>358</w:t>
      </w:r>
      <w:r>
        <w:t xml:space="preserve"> s; voxel resolution, </w:t>
      </w:r>
      <w:r>
        <w:rPr>
          <w:rFonts w:hint="eastAsia"/>
        </w:rPr>
        <w:t>1</w:t>
      </w:r>
      <w:r>
        <w:t xml:space="preserve">.4 mm × </w:t>
      </w:r>
      <w:r>
        <w:rPr>
          <w:rFonts w:hint="eastAsia"/>
        </w:rPr>
        <w:t>1.4</w:t>
      </w:r>
      <w:r>
        <w:t xml:space="preserve"> mm × </w:t>
      </w:r>
      <w:r>
        <w:rPr>
          <w:rFonts w:hint="eastAsia"/>
        </w:rPr>
        <w:t>3</w:t>
      </w:r>
      <w:r>
        <w:t>.5 mm; contrast media (0.</w:t>
      </w:r>
      <w:r>
        <w:rPr>
          <w:rFonts w:hint="eastAsia"/>
        </w:rPr>
        <w:t>2</w:t>
      </w:r>
      <w:r>
        <w:t xml:space="preserve"> mmol/kg body weight of Gd DTPA, Magnevist, Schering, Berlin, Germany); contrast median injection rate, </w:t>
      </w:r>
      <w:r>
        <w:rPr>
          <w:rFonts w:hint="eastAsia"/>
        </w:rPr>
        <w:t>4</w:t>
      </w:r>
      <w:r>
        <w:t xml:space="preserve"> mL/s, followed by 20 mL of 0.9% saline flush using the same injection speed. The infusion </w:t>
      </w:r>
      <w:r>
        <w:rPr>
          <w:rFonts w:eastAsia="宋体"/>
        </w:rPr>
        <w:t xml:space="preserve">was started from the fifth measurement. Postcontrast 3D </w:t>
      </w:r>
      <w:r>
        <w:rPr>
          <w:rFonts w:hint="eastAsia"/>
        </w:rPr>
        <w:t>T</w:t>
      </w:r>
      <w:r>
        <w:t>1mprage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HYPERLINK "javascript:;" </w:instrText>
      </w:r>
      <w:r>
        <w:fldChar w:fldCharType="separate"/>
      </w:r>
      <w:r>
        <w:t>sagittal</w:t>
      </w:r>
      <w:r>
        <w:fldChar w:fldCharType="end"/>
      </w:r>
      <w:r>
        <w:t xml:space="preserve"> T1-weighted images (TR, </w:t>
      </w:r>
      <w:r>
        <w:rPr>
          <w:rFonts w:hint="eastAsia"/>
        </w:rPr>
        <w:t>2300</w:t>
      </w:r>
      <w:r>
        <w:t xml:space="preserve"> ms; TE, </w:t>
      </w:r>
      <w:r>
        <w:rPr>
          <w:rFonts w:hint="eastAsia"/>
        </w:rPr>
        <w:t>2.43</w:t>
      </w:r>
      <w:r>
        <w:t xml:space="preserve"> ms; section thickness, </w:t>
      </w:r>
      <w:r>
        <w:rPr>
          <w:rFonts w:hint="eastAsia"/>
        </w:rPr>
        <w:t>0.75</w:t>
      </w:r>
      <w:r>
        <w:t xml:space="preserve"> mm; FOV, </w:t>
      </w:r>
      <w:r>
        <w:rPr>
          <w:rFonts w:hint="eastAsia"/>
        </w:rPr>
        <w:t>240</w:t>
      </w:r>
      <w:r>
        <w:t xml:space="preserve"> mm × </w:t>
      </w:r>
      <w:r>
        <w:rPr>
          <w:rFonts w:hint="eastAsia"/>
        </w:rPr>
        <w:t>225</w:t>
      </w:r>
      <w:r>
        <w:t xml:space="preserve"> mm; voxel resolution, 0.</w:t>
      </w:r>
      <w:r>
        <w:rPr>
          <w:rFonts w:hint="eastAsia"/>
        </w:rPr>
        <w:t>8</w:t>
      </w:r>
      <w:r>
        <w:t xml:space="preserve"> mm × 0.</w:t>
      </w:r>
      <w:r>
        <w:rPr>
          <w:rFonts w:hint="eastAsia"/>
        </w:rPr>
        <w:t>8</w:t>
      </w:r>
      <w:r>
        <w:t xml:space="preserve"> mm × 0.</w:t>
      </w:r>
      <w:r>
        <w:rPr>
          <w:rFonts w:hint="eastAsia"/>
        </w:rPr>
        <w:t>8</w:t>
      </w:r>
      <w:r>
        <w:t xml:space="preserve"> mm) were obtained after DCE-MRI. </w:t>
      </w:r>
    </w:p>
    <w:p>
      <w:pPr>
        <w:spacing w:line="480" w:lineRule="auto"/>
        <w:outlineLvl w:val="0"/>
        <w:rPr>
          <w:b/>
          <w:bCs/>
        </w:rPr>
      </w:pPr>
    </w:p>
    <w:p>
      <w:pPr>
        <w:spacing w:line="480" w:lineRule="auto"/>
        <w:outlineLvl w:val="0"/>
        <w:rPr>
          <w:rFonts w:hint="default" w:eastAsia="宋体"/>
          <w:b/>
          <w:bCs/>
          <w:lang w:val="en-US" w:eastAsia="zh-CN"/>
        </w:rPr>
      </w:pPr>
      <w:r>
        <w:rPr>
          <w:b/>
          <w:bCs/>
        </w:rPr>
        <w:t xml:space="preserve">Appendix </w:t>
      </w:r>
      <w:r>
        <w:rPr>
          <w:rFonts w:hint="eastAsia" w:eastAsia="宋体"/>
          <w:b/>
          <w:bCs/>
          <w:lang w:val="en-US" w:eastAsia="zh-CN"/>
        </w:rPr>
        <w:t>2</w:t>
      </w:r>
      <w:r>
        <w:rPr>
          <w:b/>
          <w:bCs/>
        </w:rPr>
        <w:t xml:space="preserve">. </w:t>
      </w:r>
      <w:r>
        <w:rPr>
          <w:rFonts w:hint="eastAsia" w:eastAsia="宋体"/>
          <w:b/>
          <w:bCs/>
          <w:lang w:val="en-US" w:eastAsia="zh-CN"/>
        </w:rPr>
        <w:t>S</w:t>
      </w:r>
      <w:r>
        <w:rPr>
          <w:rFonts w:hint="eastAsia"/>
          <w:b/>
          <w:bCs/>
        </w:rPr>
        <w:t>upplementary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b/>
          <w:bCs/>
        </w:rPr>
        <w:t>Image Processing</w:t>
      </w:r>
      <w:r>
        <w:rPr>
          <w:rFonts w:hint="eastAsia" w:eastAsia="宋体"/>
          <w:b/>
          <w:bCs/>
          <w:lang w:val="en-US" w:eastAsia="zh-CN"/>
        </w:rPr>
        <w:t xml:space="preserve"> Methods</w:t>
      </w:r>
    </w:p>
    <w:p>
      <w:pPr>
        <w:spacing w:line="480" w:lineRule="auto"/>
        <w:jc w:val="both"/>
        <w:outlineLvl w:val="0"/>
        <w:rPr>
          <w:rFonts w:hint="eastAsia" w:eastAsia="宋体"/>
          <w:lang w:val="en-US" w:eastAsia="zh-CN"/>
        </w:rPr>
      </w:pPr>
      <w:r>
        <w:rPr>
          <w:rFonts w:eastAsia="宋体"/>
        </w:rPr>
        <w:t xml:space="preserve">The analysis </w:t>
      </w:r>
      <w:r>
        <w:rPr>
          <w:rFonts w:hint="eastAsia" w:eastAsia="宋体"/>
          <w:lang w:val="en-US" w:eastAsia="zh-CN"/>
        </w:rPr>
        <w:t xml:space="preserve">of </w:t>
      </w:r>
      <w:r>
        <w:t>DCE-MRI data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eastAsia="宋体"/>
        </w:rPr>
        <w:t xml:space="preserve">was </w:t>
      </w:r>
      <w:r>
        <w:t>performed using a commercial software tool (TISSUE 4D; Siemens Healthcare, Erlangen, Germany). The value for the arterial input function was automatically calculated using the software. TISSUE 4D was based on the two-compartment model</w:t>
      </w:r>
      <w:r>
        <w:rPr>
          <w:rFonts w:hint="eastAsia" w:eastAsia="宋体"/>
          <w:lang w:val="en-US" w:eastAsia="zh-CN"/>
        </w:rPr>
        <w:t>.</w:t>
      </w:r>
    </w:p>
    <w:p>
      <w:pPr>
        <w:spacing w:line="480" w:lineRule="auto"/>
        <w:outlineLvl w:val="0"/>
        <w:rPr>
          <w:rFonts w:hint="eastAsia" w:eastAsia="宋体"/>
          <w:lang w:val="en-US" w:eastAsia="zh-CN"/>
        </w:rPr>
      </w:pPr>
    </w:p>
    <w:p>
      <w:pPr>
        <w:spacing w:line="480" w:lineRule="auto"/>
        <w:outlineLvl w:val="0"/>
      </w:pPr>
      <w:r>
        <w:rPr>
          <w:b/>
          <w:bCs/>
        </w:rPr>
        <w:t xml:space="preserve">Appendix </w:t>
      </w:r>
      <w:r>
        <w:rPr>
          <w:rFonts w:hint="eastAsia" w:eastAsia="宋体"/>
          <w:b/>
          <w:bCs/>
          <w:lang w:val="en-US" w:eastAsia="zh-CN"/>
        </w:rPr>
        <w:t>3</w:t>
      </w:r>
      <w:r>
        <w:rPr>
          <w:b/>
          <w:bCs/>
        </w:rPr>
        <w:t xml:space="preserve">. </w:t>
      </w:r>
      <w:r>
        <w:rPr>
          <w:rFonts w:hint="eastAsia"/>
          <w:b/>
          <w:bCs/>
        </w:rPr>
        <w:t>Detailed statistical methods</w:t>
      </w:r>
    </w:p>
    <w:p>
      <w:pPr>
        <w:spacing w:line="480" w:lineRule="auto"/>
        <w:jc w:val="both"/>
        <w:rPr>
          <w:rFonts w:hint="eastAsia" w:eastAsia="宋体"/>
          <w:lang w:val="en-US" w:eastAsia="zh-CN"/>
        </w:rPr>
      </w:pPr>
      <w:r>
        <w:rPr>
          <w:rFonts w:eastAsia="宋体"/>
        </w:rPr>
        <w:t xml:space="preserve">Distribution of data was assessed on histograms and with Shapiro–Wilk tests. </w:t>
      </w:r>
      <w:r>
        <w:t xml:space="preserve">Categorical variables were appropriately compared using Pearson chi-squared tests, chi-squared tests with continuity correction, or Fisher’s exact tests. </w:t>
      </w:r>
      <w:r>
        <w:rPr>
          <w:lang w:bidi="ar"/>
        </w:rPr>
        <w:t xml:space="preserve">Cochran-Armitage tests were used to evaluate </w:t>
      </w:r>
      <w:r>
        <w:rPr>
          <w:rFonts w:eastAsia="宋体"/>
        </w:rPr>
        <w:t>the trends of</w:t>
      </w:r>
      <w:r>
        <w:rPr>
          <w:rFonts w:hint="eastAsia"/>
          <w:lang w:bidi="ar"/>
        </w:rPr>
        <w:t xml:space="preserve"> glioma</w:t>
      </w:r>
      <w:r>
        <w:rPr>
          <w:lang w:bidi="ar"/>
        </w:rPr>
        <w:t xml:space="preserve"> grade</w:t>
      </w:r>
      <w:r>
        <w:rPr>
          <w:rFonts w:hint="eastAsia"/>
          <w:lang w:bidi="ar"/>
        </w:rPr>
        <w:t>s</w:t>
      </w:r>
      <w:r>
        <w:rPr>
          <w:lang w:bidi="ar"/>
        </w:rPr>
        <w:t>.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 xml:space="preserve">Receiver Operating Characteristics (ROC) curves were used to evaluate diagnostic efficacy. For continuous dependent variables, Cohen’s </w:t>
      </w:r>
      <w:r>
        <w:rPr>
          <w:i/>
          <w:iCs/>
          <w:lang w:bidi="ar"/>
        </w:rPr>
        <w:t xml:space="preserve">d </w:t>
      </w:r>
      <w:r>
        <w:rPr>
          <w:lang w:bidi="ar"/>
        </w:rPr>
        <w:t xml:space="preserve">was used as a measure of effect size (small effect=0.2, medium effect=0.5, large effect=0.8). For categorical variables, Phi or Cramer’s V coefficients were used as effect size indicators (small effect=0.1, medium effect=0.3, large effect=0.5). Simple kappa </w:t>
      </w:r>
      <w:r>
        <w:rPr>
          <w:rFonts w:hint="eastAsia"/>
          <w:lang w:bidi="ar"/>
        </w:rPr>
        <w:t xml:space="preserve">was </w:t>
      </w:r>
      <w:r>
        <w:rPr>
          <w:lang w:bidi="ar"/>
        </w:rPr>
        <w:t xml:space="preserve">calculated to assess the consistency of different diagnoses and interobserver agreement. Kappa values were interpreted using the following criteria: &lt;0.20=poor agreement; 0.21–0.40=general agreement; 0.41–0.60=moderate agreement; 0.61–0.80=strong agreement; and 0.81–1.00=excellent agreement. Survival data was analyzed by Kaplan–Meier survival analysis using the R “survival” and </w:t>
      </w:r>
      <w:r>
        <w:t>“survminer” packages, and differences in survival were evaluated with the log-rank tests. Multivariable analyses with the Cox proportional-hazards model were used to estimate the simultaneous effects of prognostic factors on survival using stepwise forward likelihood-ratio testing. Hazard ratios (HR) were estimated according to the Cox proportional hazard method</w:t>
      </w:r>
      <w:r>
        <w:rPr>
          <w:rFonts w:hint="eastAsia" w:eastAsia="宋体"/>
          <w:lang w:val="en-US" w:eastAsia="zh-CN"/>
        </w:rPr>
        <w:t>.</w:t>
      </w:r>
      <w:r>
        <w:t xml:space="preserve"> </w:t>
      </w:r>
      <w:r>
        <w:rPr>
          <w:rFonts w:hint="eastAsia" w:eastAsia="宋体"/>
          <w:lang w:val="en-US" w:eastAsia="zh-CN"/>
        </w:rPr>
        <w:t>F</w:t>
      </w:r>
      <w:r>
        <w:t xml:space="preserve">or multiple comparisons, the </w:t>
      </w:r>
      <w:r>
        <w:rPr>
          <w:i/>
          <w:iCs/>
        </w:rPr>
        <w:t>p</w:t>
      </w:r>
      <w:r>
        <w:t>-value was set at the Bonferroni-corrected significance level</w:t>
      </w:r>
      <w:r>
        <w:rPr>
          <w:rFonts w:hint="eastAsia" w:eastAsia="宋体"/>
          <w:lang w:val="en-US" w:eastAsia="zh-CN"/>
        </w:rPr>
        <w:t>.</w:t>
      </w:r>
    </w:p>
    <w:p>
      <w:pPr>
        <w:spacing w:line="480" w:lineRule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both"/>
        <w:textAlignment w:val="auto"/>
        <w:rPr>
          <w:b/>
          <w:bCs/>
          <w:lang w:bidi="ar"/>
        </w:rPr>
      </w:pPr>
      <w:r>
        <w:rPr>
          <w:b/>
          <w:bCs/>
        </w:rPr>
        <w:t xml:space="preserve">Appendix </w:t>
      </w:r>
      <w:r>
        <w:rPr>
          <w:rFonts w:hint="eastAsia" w:eastAsia="宋体"/>
          <w:b/>
          <w:bCs/>
          <w:lang w:val="en-US" w:eastAsia="zh-CN"/>
        </w:rPr>
        <w:t>4</w:t>
      </w:r>
      <w:r>
        <w:rPr>
          <w:b/>
          <w:bCs/>
        </w:rPr>
        <w:t xml:space="preserve">. </w:t>
      </w:r>
      <w:r>
        <w:rPr>
          <w:rFonts w:hint="eastAsia" w:eastAsia="宋体"/>
          <w:b/>
          <w:bCs/>
          <w:lang w:val="en-US" w:eastAsia="zh-CN"/>
        </w:rPr>
        <w:t xml:space="preserve">Extra detailed </w:t>
      </w:r>
      <w:r>
        <w:rPr>
          <w:b/>
          <w:bCs/>
        </w:rPr>
        <w:t xml:space="preserve">Patients’ Demographic and Clinical </w:t>
      </w:r>
      <w:r>
        <w:rPr>
          <w:b/>
          <w:bCs/>
          <w:lang w:bidi="ar"/>
        </w:rPr>
        <w:t>Findings</w:t>
      </w:r>
      <w:r>
        <w:rPr>
          <w:rFonts w:hint="eastAsia" w:eastAsia="宋体"/>
          <w:b/>
          <w:bCs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both"/>
        <w:textAlignment w:val="auto"/>
        <w:rPr>
          <w:b/>
          <w:bCs/>
          <w:lang w:bidi="ar"/>
        </w:rPr>
      </w:pPr>
    </w:p>
    <w:p>
      <w:pPr>
        <w:spacing w:line="480" w:lineRule="auto"/>
        <w:jc w:val="both"/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>One hunderd and thirteen</w:t>
      </w:r>
      <w:r>
        <w:t xml:space="preserve"> people </w:t>
      </w:r>
      <w:r>
        <w:rPr>
          <w:rFonts w:hint="eastAsia" w:eastAsia="宋体"/>
          <w:lang w:val="en-US" w:eastAsia="zh-CN"/>
        </w:rPr>
        <w:t xml:space="preserve">were finally included </w:t>
      </w:r>
      <w:r>
        <w:t xml:space="preserve">who demonstrated </w:t>
      </w:r>
      <w:r>
        <w:rPr>
          <w:rFonts w:hint="eastAsia" w:eastAsia="宋体"/>
          <w:lang w:val="en-US" w:eastAsia="zh-CN"/>
        </w:rPr>
        <w:t xml:space="preserve">to be with </w:t>
      </w:r>
      <w:r>
        <w:t>both imaging and p</w:t>
      </w:r>
      <w:r>
        <w:rPr>
          <w:rFonts w:hint="eastAsia"/>
        </w:rPr>
        <w:t>atho</w:t>
      </w:r>
      <w:r>
        <w:t>logical necrosis</w:t>
      </w:r>
      <w:r>
        <w:rPr>
          <w:rFonts w:hint="eastAsia"/>
        </w:rPr>
        <w:t xml:space="preserve">. </w:t>
      </w:r>
      <w:r>
        <w:t>Ninety</w:t>
      </w:r>
      <w:r>
        <w:rPr>
          <w:rFonts w:hint="eastAsia"/>
        </w:rPr>
        <w:t xml:space="preserve">-nine </w:t>
      </w:r>
      <w:r>
        <w:t>patients were included in the final survival analysis of groups with or without pathological necrosis</w:t>
      </w:r>
      <w:r>
        <w:rPr>
          <w:rFonts w:hint="eastAsia"/>
          <w:lang w:val="en-US" w:eastAsia="zh-CN"/>
        </w:rPr>
        <w:t xml:space="preserve">. </w:t>
      </w:r>
      <w:r>
        <w:rPr>
          <w:rFonts w:hint="eastAsia"/>
        </w:rPr>
        <w:t>Among the 102</w:t>
      </w:r>
      <w:r>
        <w:rPr>
          <w:rFonts w:hint="eastAsia" w:eastAsia="宋体"/>
          <w:lang w:val="en-US" w:eastAsia="zh-CN"/>
        </w:rPr>
        <w:t xml:space="preserve"> </w:t>
      </w:r>
      <w:r>
        <w:t>(68%)</w:t>
      </w:r>
      <w:r>
        <w:rPr>
          <w:rFonts w:hint="eastAsia"/>
        </w:rPr>
        <w:t xml:space="preserve"> patients who underwent DCE-MRI, there were 24 cases without pathological necrosis, 50 with pathological necrosis, 37 without imaging necrosis, and 65 with imaging necrosis. </w:t>
      </w:r>
      <w:r>
        <w:t>For the follow-up, 20 (13.33%) patients were lost-to-follow-up, 66 (44%) patients had died</w:t>
      </w:r>
      <w:r>
        <w:rPr>
          <w:rFonts w:eastAsia="宋体"/>
        </w:rPr>
        <w:t xml:space="preserve">, and 64 (42.67%) patients were alive. </w:t>
      </w: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rPr>
          <w:rFonts w:eastAsia="Cambria" w:asciiTheme="majorBidi" w:hAnsiTheme="majorBidi" w:cstheme="majorBidi"/>
          <w:b/>
          <w:bCs/>
          <w:sz w:val="24"/>
          <w:szCs w:val="24"/>
          <w:shd w:val="clear" w:color="auto" w:fill="FFFFFF"/>
          <w:lang w:bidi="ar"/>
        </w:rPr>
      </w:pPr>
      <w:r>
        <w:rPr>
          <w:b/>
          <w:bCs/>
        </w:rPr>
        <w:t xml:space="preserve">Appendix </w:t>
      </w:r>
      <w:r>
        <w:rPr>
          <w:rFonts w:hint="eastAsia" w:eastAsia="宋体"/>
          <w:b/>
          <w:bCs/>
          <w:lang w:val="en-US" w:eastAsia="zh-CN"/>
        </w:rPr>
        <w:t>5</w:t>
      </w:r>
      <w:r>
        <w:rPr>
          <w:b/>
          <w:bCs/>
        </w:rPr>
        <w:t xml:space="preserve">. </w:t>
      </w:r>
      <w:r>
        <w:rPr>
          <w:rFonts w:hint="eastAsia" w:eastAsia="宋体"/>
          <w:b/>
          <w:bCs/>
          <w:lang w:val="en-US" w:eastAsia="zh-CN"/>
        </w:rPr>
        <w:t>Tables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eastAsia="宋体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eastAsia="宋体"/>
          <w:b w:val="0"/>
          <w:bCs w:val="0"/>
          <w:sz w:val="24"/>
          <w:u w:val="none"/>
          <w:lang w:val="en-US" w:eastAsia="zh-CN"/>
        </w:rPr>
      </w:pPr>
      <w:r>
        <w:rPr>
          <w:rFonts w:hint="eastAsia" w:eastAsia="宋体"/>
          <w:b/>
          <w:bCs/>
          <w:u w:val="none"/>
          <w:lang w:val="en-US" w:eastAsia="zh-CN"/>
        </w:rPr>
        <w:t>Sup. Table 1.</w:t>
      </w:r>
      <w:r>
        <w:rPr>
          <w:rFonts w:hint="eastAsia" w:eastAsia="宋体"/>
          <w:b w:val="0"/>
          <w:bCs w:val="0"/>
          <w:u w:val="none"/>
          <w:lang w:val="en-US" w:eastAsia="zh-CN"/>
        </w:rPr>
        <w:t xml:space="preserve"> </w:t>
      </w:r>
      <w:r>
        <w:rPr>
          <w:b w:val="0"/>
          <w:bCs w:val="0"/>
          <w:sz w:val="24"/>
          <w:u w:val="none"/>
        </w:rPr>
        <w:t xml:space="preserve">The </w:t>
      </w:r>
      <w:r>
        <w:rPr>
          <w:rFonts w:hint="eastAsia" w:eastAsia="宋体"/>
          <w:b w:val="0"/>
          <w:bCs w:val="0"/>
          <w:sz w:val="24"/>
          <w:u w:val="none"/>
          <w:lang w:val="en-US" w:eastAsia="zh-CN"/>
        </w:rPr>
        <w:t xml:space="preserve">final </w:t>
      </w:r>
      <w:r>
        <w:rPr>
          <w:b w:val="0"/>
          <w:bCs w:val="0"/>
          <w:sz w:val="24"/>
          <w:u w:val="none"/>
        </w:rPr>
        <w:t xml:space="preserve">diagnoses assigned to the </w:t>
      </w:r>
      <w:r>
        <w:rPr>
          <w:rFonts w:hint="eastAsia" w:eastAsia="宋体"/>
          <w:b w:val="0"/>
          <w:bCs w:val="0"/>
          <w:sz w:val="24"/>
          <w:u w:val="none"/>
          <w:lang w:val="en-US" w:eastAsia="zh-CN"/>
        </w:rPr>
        <w:t xml:space="preserve">included </w:t>
      </w:r>
      <w:r>
        <w:rPr>
          <w:b w:val="0"/>
          <w:bCs w:val="0"/>
          <w:sz w:val="24"/>
          <w:u w:val="none"/>
        </w:rPr>
        <w:t>patients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eastAsia="宋体"/>
          <w:b w:val="0"/>
          <w:bCs w:val="0"/>
          <w:sz w:val="24"/>
          <w:u w:val="none"/>
          <w:lang w:val="en-US" w:eastAsia="zh-CN"/>
        </w:rPr>
      </w:pPr>
    </w:p>
    <w:tbl>
      <w:tblPr>
        <w:tblStyle w:val="4"/>
        <w:tblW w:w="90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357"/>
        <w:gridCol w:w="1599"/>
        <w:gridCol w:w="1599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384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Integrated diagnoses</w:t>
            </w:r>
          </w:p>
        </w:tc>
        <w:tc>
          <w:tcPr>
            <w:tcW w:w="5555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WHO grade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sum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384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57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WHO grade 2</w:t>
            </w:r>
          </w:p>
        </w:tc>
        <w:tc>
          <w:tcPr>
            <w:tcW w:w="159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WHO grade 3</w:t>
            </w:r>
          </w:p>
        </w:tc>
        <w:tc>
          <w:tcPr>
            <w:tcW w:w="159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WHO grade 4</w:t>
            </w: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Astrocytomas,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IDH-mutant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Oligodendrogliomas, IDH-mutant and 1p/19q-deleted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Glioblastomas,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IDH-wildtype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IDH-mutation, NOS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IDH-wildtype, NOS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3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not diagnosed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highlight w:val="none"/>
                <w:vertAlign w:val="baseline"/>
                <w:lang w:val="en-US" w:eastAsia="zh-CN"/>
              </w:rPr>
              <w:t>6</w:t>
            </w:r>
          </w:p>
        </w:tc>
      </w:tr>
    </w:tbl>
    <w:p>
      <w:pPr>
        <w:spacing w:line="360" w:lineRule="auto"/>
        <w:jc w:val="both"/>
        <w:rPr>
          <w:b/>
          <w:bCs/>
        </w:rPr>
      </w:pPr>
      <w:r>
        <w:rPr>
          <w:rFonts w:hint="eastAsia" w:eastAsia="宋体"/>
          <w:lang w:val="en-US" w:eastAsia="zh-CN"/>
        </w:rPr>
        <w:t xml:space="preserve">Note. </w:t>
      </w:r>
      <w:r>
        <w:rPr>
          <w:rFonts w:hint="default" w:eastAsia="宋体"/>
          <w:lang w:val="en-US" w:eastAsia="zh-CN"/>
        </w:rPr>
        <w:t>“</w:t>
      </w:r>
      <w:r>
        <w:rPr>
          <w:rFonts w:hint="eastAsia" w:eastAsia="宋体"/>
          <w:lang w:val="en-US" w:eastAsia="zh-CN"/>
        </w:rPr>
        <w:t>-</w:t>
      </w:r>
      <w:r>
        <w:rPr>
          <w:rFonts w:hint="default" w:eastAsia="宋体"/>
          <w:lang w:val="en-US" w:eastAsia="zh-CN"/>
        </w:rPr>
        <w:t>”</w:t>
      </w:r>
      <w:r>
        <w:rPr>
          <w:rFonts w:hint="eastAsia" w:eastAsia="宋体"/>
          <w:lang w:val="en-US" w:eastAsia="zh-CN"/>
        </w:rPr>
        <w:t xml:space="preserve"> respresents the numbers are </w:t>
      </w:r>
      <w:r>
        <w:rPr>
          <w:rFonts w:hint="default" w:eastAsia="宋体"/>
          <w:lang w:val="en-US" w:eastAsia="zh-CN"/>
        </w:rPr>
        <w:t>uncertain.</w:t>
      </w:r>
      <w:r>
        <w:rPr>
          <w:rFonts w:hint="eastAsia" w:eastAsia="宋体"/>
          <w:lang w:val="en-US" w:eastAsia="zh-CN"/>
        </w:rPr>
        <w:t xml:space="preserve">  </w:t>
      </w:r>
      <w:r>
        <w:rPr>
          <w:rFonts w:hint="default" w:eastAsia="宋体"/>
          <w:lang w:val="en-US" w:eastAsia="zh-CN"/>
        </w:rPr>
        <w:t>“</w:t>
      </w:r>
      <w:r>
        <w:rPr>
          <w:rFonts w:hint="eastAsia" w:eastAsia="宋体"/>
          <w:lang w:val="en-US" w:eastAsia="zh-CN"/>
        </w:rPr>
        <w:t>not diagnosed</w:t>
      </w:r>
      <w:r>
        <w:rPr>
          <w:rFonts w:hint="default" w:eastAsia="宋体"/>
          <w:lang w:val="en-US" w:eastAsia="zh-CN"/>
        </w:rPr>
        <w:t>”</w:t>
      </w:r>
      <w:r>
        <w:rPr>
          <w:rFonts w:hint="eastAsia" w:eastAsia="宋体"/>
          <w:lang w:val="en-US" w:eastAsia="zh-CN"/>
        </w:rPr>
        <w:t xml:space="preserve"> means that cases were not reclassified because of unknown IDH status, including 3 ones of WHO grade 4 with 1p19q non-codeletion and pathological necrosis</w:t>
      </w:r>
    </w:p>
    <w:p>
      <w:pPr>
        <w:rPr>
          <w:rFonts w:eastAsia="Cambria" w:asciiTheme="majorBidi" w:hAnsiTheme="majorBidi" w:cstheme="majorBidi"/>
          <w:b/>
          <w:bCs/>
          <w:sz w:val="24"/>
          <w:szCs w:val="24"/>
          <w:shd w:val="clear" w:color="auto" w:fill="FFFFFF"/>
          <w:lang w:bidi="ar"/>
        </w:rPr>
      </w:pPr>
    </w:p>
    <w:p>
      <w:pPr>
        <w:spacing w:line="480" w:lineRule="auto"/>
        <w:rPr>
          <w:rFonts w:hint="eastAsia" w:eastAsia="宋体"/>
          <w:b/>
          <w:bCs/>
          <w:u w:val="none"/>
          <w:lang w:val="en-US" w:eastAsia="zh-CN"/>
        </w:rPr>
      </w:pPr>
    </w:p>
    <w:p>
      <w:pPr>
        <w:spacing w:line="480" w:lineRule="auto"/>
        <w:rPr>
          <w:rFonts w:hint="eastAsia" w:eastAsia="宋体"/>
          <w:b/>
          <w:bCs/>
          <w:u w:val="none"/>
          <w:lang w:val="en-US" w:eastAsia="zh-CN"/>
        </w:rPr>
      </w:pPr>
    </w:p>
    <w:p>
      <w:pPr>
        <w:spacing w:line="480" w:lineRule="auto"/>
        <w:rPr>
          <w:rFonts w:eastAsia="Cambria" w:asciiTheme="majorBidi" w:hAnsiTheme="majorBidi" w:cstheme="majorBidi"/>
          <w:b w:val="0"/>
          <w:bCs w:val="0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eastAsia="宋体"/>
          <w:b/>
          <w:bCs/>
          <w:u w:val="none"/>
          <w:lang w:val="en-US" w:eastAsia="zh-CN"/>
        </w:rPr>
        <w:t>Sup. Table</w:t>
      </w:r>
      <w:r>
        <w:rPr>
          <w:rFonts w:eastAsia="Cambria" w:asciiTheme="majorBidi" w:hAnsiTheme="majorBidi" w:cstheme="majorBidi"/>
          <w:b/>
          <w:bCs/>
          <w:sz w:val="24"/>
          <w:szCs w:val="24"/>
          <w:shd w:val="clear" w:color="auto" w:fill="FFFFFF"/>
          <w:lang w:bidi="ar"/>
        </w:rPr>
        <w:t xml:space="preserve"> </w:t>
      </w:r>
      <w:r>
        <w:rPr>
          <w:rFonts w:hint="eastAsia" w:eastAsia="宋体" w:asciiTheme="majorBidi" w:hAnsiTheme="majorBidi" w:cstheme="majorBidi"/>
          <w:b/>
          <w:bCs/>
          <w:sz w:val="24"/>
          <w:szCs w:val="24"/>
          <w:shd w:val="clear" w:color="auto" w:fill="FFFFFF"/>
          <w:lang w:val="en-US" w:eastAsia="zh-CN" w:bidi="ar"/>
        </w:rPr>
        <w:t>2</w:t>
      </w:r>
      <w:r>
        <w:rPr>
          <w:rFonts w:eastAsia="Cambria" w:asciiTheme="majorBidi" w:hAnsiTheme="majorBidi" w:cstheme="majorBidi"/>
          <w:b/>
          <w:bCs/>
          <w:sz w:val="24"/>
          <w:szCs w:val="24"/>
          <w:shd w:val="clear" w:color="auto" w:fill="FFFFFF"/>
          <w:lang w:bidi="ar"/>
        </w:rPr>
        <w:t>.</w:t>
      </w:r>
      <w:r>
        <w:rPr>
          <w:rFonts w:hint="default" w:eastAsia="Cambria" w:asciiTheme="majorBidi" w:hAnsiTheme="majorBidi" w:cstheme="majorBidi"/>
          <w:b/>
          <w:bCs/>
          <w:sz w:val="24"/>
          <w:szCs w:val="24"/>
          <w:shd w:val="clear" w:color="auto" w:fill="FFFFFF"/>
          <w:lang w:val="en-US" w:eastAsia="zh-CN" w:bidi="ar"/>
        </w:rPr>
        <w:t xml:space="preserve"> </w:t>
      </w:r>
      <w:r>
        <w:rPr>
          <w:rFonts w:eastAsia="Cambria" w:asciiTheme="majorBidi" w:hAnsiTheme="majorBidi" w:cstheme="majorBidi"/>
          <w:b w:val="0"/>
          <w:bCs w:val="0"/>
          <w:kern w:val="0"/>
          <w:sz w:val="24"/>
          <w:szCs w:val="24"/>
          <w:shd w:val="clear" w:color="auto" w:fill="FFFFFF"/>
          <w:lang w:bidi="ar"/>
        </w:rPr>
        <w:t>Chi-square analysis results between imaging and pathological necrosis</w:t>
      </w:r>
    </w:p>
    <w:tbl>
      <w:tblPr>
        <w:tblStyle w:val="4"/>
        <w:tblW w:w="8977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070"/>
        <w:gridCol w:w="1178"/>
        <w:gridCol w:w="1087"/>
        <w:gridCol w:w="978"/>
        <w:gridCol w:w="959"/>
        <w:gridCol w:w="1242"/>
        <w:gridCol w:w="9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60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Parameter</w:t>
            </w:r>
          </w:p>
        </w:tc>
        <w:tc>
          <w:tcPr>
            <w:tcW w:w="1070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type</w:t>
            </w:r>
          </w:p>
        </w:tc>
        <w:tc>
          <w:tcPr>
            <w:tcW w:w="2265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imaging necrosis</w:t>
            </w:r>
          </w:p>
        </w:tc>
        <w:tc>
          <w:tcPr>
            <w:tcW w:w="978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sum</w:t>
            </w:r>
          </w:p>
        </w:tc>
        <w:tc>
          <w:tcPr>
            <w:tcW w:w="959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χ²</w:t>
            </w:r>
          </w:p>
        </w:tc>
        <w:tc>
          <w:tcPr>
            <w:tcW w:w="1242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</w:t>
            </w:r>
          </w:p>
        </w:tc>
        <w:tc>
          <w:tcPr>
            <w:tcW w:w="903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Phi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60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positive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97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AFAF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60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pathological necrosis</w:t>
            </w:r>
          </w:p>
        </w:tc>
        <w:tc>
          <w:tcPr>
            <w:tcW w:w="107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117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(87.50)</w:t>
            </w:r>
          </w:p>
        </w:tc>
        <w:tc>
          <w:tcPr>
            <w:tcW w:w="10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            (8.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7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59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6.718</w:t>
            </w:r>
          </w:p>
        </w:tc>
        <w:tc>
          <w:tcPr>
            <w:tcW w:w="1242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0.000***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  <w:lang w:bidi="ar"/>
              </w:rPr>
              <w:t>b</w:t>
            </w:r>
          </w:p>
        </w:tc>
        <w:tc>
          <w:tcPr>
            <w:tcW w:w="903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positive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(12.50)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  (91.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9.03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30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sum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widowControl/>
        <w:textAlignment w:val="center"/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***</w:t>
      </w:r>
      <w:r>
        <w:rPr>
          <w:rFonts w:ascii="Times New Roman" w:hAnsi="Times New Roman" w:eastAsia="宋体" w:cs="Times New Roman"/>
          <w:i/>
          <w:color w:val="000000"/>
          <w:kern w:val="0"/>
          <w:sz w:val="24"/>
          <w:lang w:bidi="ar"/>
        </w:rPr>
        <w:t xml:space="preserve"> </w:t>
      </w:r>
      <w:r>
        <w:rPr>
          <w:rFonts w:eastAsia="宋体" w:asciiTheme="majorBidi" w:hAnsiTheme="majorBidi" w:cstheme="majorBidi"/>
          <w:sz w:val="24"/>
          <w:szCs w:val="24"/>
          <w:lang w:bidi="ar"/>
        </w:rPr>
        <w:t>represents</w:t>
      </w:r>
      <w:r>
        <w:rPr>
          <w:rFonts w:hint="eastAsia" w:eastAsia="宋体" w:asciiTheme="majorBidi" w:hAnsiTheme="majorBidi" w:cstheme="majorBidi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p&lt;0.001</w:t>
      </w:r>
      <w:r>
        <w:rPr>
          <w:rFonts w:hint="eastAsia" w:eastAsia="宋体" w:cs="Times New Roman"/>
          <w:color w:val="000000"/>
          <w:kern w:val="0"/>
          <w:sz w:val="24"/>
          <w:lang w:val="en-US" w:eastAsia="zh-CN" w:bidi="ar"/>
        </w:rPr>
        <w:t>.</w:t>
      </w:r>
    </w:p>
    <w:p>
      <w:pPr>
        <w:rPr>
          <w:rFonts w:eastAsia="Cambria" w:asciiTheme="majorBidi" w:hAnsiTheme="majorBidi" w:cstheme="majorBidi"/>
          <w:b/>
          <w:bCs/>
          <w:sz w:val="24"/>
          <w:szCs w:val="24"/>
          <w:shd w:val="clear" w:color="auto" w:fill="FFFFFF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Note. Superscripts b represents using the chi-square test with continuity correction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eastAsia="宋体"/>
          <w:b/>
          <w:bCs/>
          <w:lang w:val="en-US" w:eastAsia="zh-CN"/>
        </w:rPr>
      </w:pPr>
      <w:r>
        <w:rPr>
          <w:b/>
          <w:bCs/>
        </w:rPr>
        <w:t xml:space="preserve">Appendix </w:t>
      </w:r>
      <w:r>
        <w:rPr>
          <w:rFonts w:hint="eastAsia" w:eastAsia="宋体"/>
          <w:b/>
          <w:bCs/>
          <w:lang w:val="en-US" w:eastAsia="zh-CN"/>
        </w:rPr>
        <w:t>6. Figures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eastAsia="宋体"/>
          <w:b/>
          <w:bCs/>
          <w:lang w:eastAsia="zh-CN"/>
        </w:rPr>
      </w:pPr>
      <w:r>
        <w:rPr>
          <w:rFonts w:hint="eastAsia" w:eastAsia="宋体"/>
          <w:b/>
          <w:bCs/>
          <w:lang w:eastAsia="zh-CN"/>
        </w:rPr>
        <w:drawing>
          <wp:inline distT="0" distB="0" distL="114300" distR="114300">
            <wp:extent cx="5721350" cy="7131050"/>
            <wp:effectExtent l="0" t="0" r="0" b="0"/>
            <wp:docPr id="4" name="图片 4" descr="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713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eastAsia="宋体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Sup.fig. 1</w:t>
      </w:r>
      <w:r>
        <w:rPr>
          <w:rFonts w:hint="eastAsia" w:eastAsia="宋体"/>
          <w:b/>
          <w:bCs/>
          <w:lang w:eastAsia="zh-CN"/>
        </w:rPr>
        <w:t xml:space="preserve"> </w:t>
      </w:r>
      <w:r>
        <w:t xml:space="preserve">Description of </w:t>
      </w:r>
      <w:r>
        <w:rPr>
          <w:rFonts w:hint="eastAsia" w:eastAsia="宋体"/>
          <w:lang w:eastAsia="zh-CN"/>
        </w:rPr>
        <w:t xml:space="preserve">the </w:t>
      </w:r>
      <w:r>
        <w:t>inclusion and exclusion criteria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eastAsia="宋体"/>
          <w:sz w:val="22"/>
          <w:szCs w:val="22"/>
          <w:lang w:val="en-US" w:eastAsia="zh-CN"/>
        </w:rPr>
        <w:t xml:space="preserve">(T1WI-CE, </w:t>
      </w:r>
      <w:r>
        <w:rPr>
          <w:rFonts w:hint="eastAsia"/>
          <w:sz w:val="22"/>
          <w:szCs w:val="22"/>
        </w:rPr>
        <w:t>contrast-enhanced T1-weighted image</w:t>
      </w:r>
      <w:r>
        <w:rPr>
          <w:rFonts w:hint="eastAsia" w:eastAsia="宋体"/>
          <w:sz w:val="22"/>
          <w:szCs w:val="22"/>
          <w:lang w:val="en-US" w:eastAsia="zh-CN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</w:pPr>
      <w:r>
        <w:rPr>
          <w:rFonts w:hint="eastAsia" w:ascii="Times New Roman" w:hAnsi="Times New Roman" w:cs="Times New Roman"/>
          <w:color w:val="0000FF"/>
          <w:sz w:val="24"/>
          <w:lang w:val="en-US" w:eastAsia="zh-CN" w:bidi="ar"/>
        </w:rPr>
        <w:drawing>
          <wp:inline distT="0" distB="0" distL="114300" distR="114300">
            <wp:extent cx="3882390" cy="8799830"/>
            <wp:effectExtent l="0" t="0" r="3810" b="1270"/>
            <wp:docPr id="7" name="图片 7" descr="Sup.fig.2-20230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.fig.2-202306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2390" cy="879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 xml:space="preserve">Sup.fig. </w:t>
      </w:r>
      <w:r>
        <w:rPr>
          <w:rFonts w:hint="eastAsia" w:cs="Times New Roman"/>
          <w:b/>
          <w:bCs/>
          <w:color w:val="auto"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The respresentative MR images with (A-E) or without (F-H) imaging necrosis. Shown from left to right by the order are T1WI, T2WI, and T1WI-CE. (A) a 40-year-old man with a WHO grade 2 IDH-mutant astrocytoma; (B) a 26-year-old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woman with a WHO grade 3 IDH-mutant astrocytoma; (C) a 51-year-old man with a WHO grade 2 IDH-mutant and 1p/19q-deleted oligodendroglioma; (D) a 36-year-old man with a WHO grade 3 IDH-mutant and 1p/19q-deleted oligodendroglioma; (E)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 63-year-old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woman with a WHO grade 4 IDH-mutant astrocytoma; (F) a 31-year-old woman with a WHO grade 2 IDH-mutant astrocytoma; (G)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 29-year-old woman with a WHO grade 2 IDH-mutant and 1p/19q-deleted oligodendroglioma</w:t>
      </w:r>
      <w:r>
        <w:rPr>
          <w:rFonts w:hint="eastAsia" w:cs="Times New Roman"/>
          <w:color w:val="auto"/>
          <w:sz w:val="24"/>
          <w:lang w:val="en-US" w:eastAsia="zh-CN"/>
        </w:rPr>
        <w:t>.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21985" cy="3581400"/>
            <wp:effectExtent l="0" t="0" r="5715" b="0"/>
            <wp:docPr id="6" name="图片 6" descr="Fig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198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eastAsia" w:eastAsia="宋体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 xml:space="preserve">Sup.fig. </w:t>
      </w:r>
      <w:r>
        <w:rPr>
          <w:rFonts w:hint="eastAsia" w:cs="Times New Roman"/>
          <w:b/>
          <w:bCs/>
          <w:color w:val="auto"/>
          <w:sz w:val="24"/>
          <w:lang w:val="en-US" w:eastAsia="zh-CN"/>
        </w:rPr>
        <w:t>3</w:t>
      </w:r>
      <w:r>
        <w:rPr>
          <w:sz w:val="22"/>
          <w:szCs w:val="22"/>
        </w:rPr>
        <w:t xml:space="preserve"> </w:t>
      </w:r>
      <w:r>
        <w:rPr>
          <w:sz w:val="24"/>
          <w:szCs w:val="24"/>
        </w:rPr>
        <w:t xml:space="preserve">Diagnostic algorithm for the integrated classification of adult-type diffuse glioma according to the latest WHO </w:t>
      </w:r>
      <w:r>
        <w:rPr>
          <w:rFonts w:eastAsia="MS Mincho"/>
          <w:sz w:val="24"/>
          <w:szCs w:val="24"/>
        </w:rPr>
        <w:t xml:space="preserve">classification </w:t>
      </w:r>
      <w:r>
        <w:rPr>
          <w:sz w:val="24"/>
          <w:szCs w:val="24"/>
        </w:rPr>
        <w:t>edition.</w:t>
      </w:r>
      <w:r>
        <w:rPr>
          <w:rFonts w:hint="default"/>
          <w:sz w:val="24"/>
          <w:szCs w:val="24"/>
        </w:rPr>
        <w:t xml:space="preserve"> </w:t>
      </w:r>
      <w:r>
        <w:rPr>
          <w:sz w:val="24"/>
          <w:szCs w:val="24"/>
        </w:rPr>
        <w:t>*: not </w:t>
      </w:r>
      <w:r>
        <w:rPr>
          <w:rFonts w:hint="default"/>
          <w:sz w:val="24"/>
          <w:szCs w:val="24"/>
        </w:rPr>
        <w:t>certain</w:t>
      </w:r>
      <w:r>
        <w:rPr>
          <w:sz w:val="24"/>
          <w:szCs w:val="24"/>
        </w:rPr>
        <w:t> in this study. ‘n’ indicates the final number of cases included in the study</w:t>
      </w:r>
      <w:r>
        <w:rPr>
          <w:rFonts w:hint="eastAsia" w:eastAsia="宋体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96260" cy="8817610"/>
            <wp:effectExtent l="0" t="0" r="2540" b="8890"/>
            <wp:docPr id="2" name="图片 2" descr="suop.fig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op.fig.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 w:bidi="ar"/>
        </w:rPr>
        <w:t>Sup.</w:t>
      </w:r>
      <w:r>
        <w:rPr>
          <w:rFonts w:hint="eastAsia" w:cs="Times New Roman"/>
          <w:b/>
          <w:bCs/>
          <w:color w:val="auto"/>
          <w:sz w:val="24"/>
          <w:lang w:val="en-US" w:eastAsia="zh-CN" w:bidi="ar"/>
        </w:rPr>
        <w:t>f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 w:bidi="ar"/>
        </w:rPr>
        <w:t xml:space="preserve">ig. </w:t>
      </w:r>
      <w:r>
        <w:rPr>
          <w:rFonts w:hint="eastAsia" w:cs="Times New Roman"/>
          <w:b/>
          <w:bCs/>
          <w:color w:val="auto"/>
          <w:sz w:val="24"/>
          <w:lang w:val="en-US" w:eastAsia="zh-CN" w:bidi="ar"/>
        </w:rPr>
        <w:t>4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 Some </w:t>
      </w:r>
      <w:r>
        <w:rPr>
          <w:rFonts w:hint="eastAsia" w:ascii="Times New Roman" w:hAnsi="Times New Roman" w:cs="Times New Roman"/>
          <w:color w:val="auto"/>
          <w:sz w:val="24"/>
          <w:lang w:val="en-US" w:eastAsia="zh-CN" w:bidi="ar"/>
        </w:rPr>
        <w:t xml:space="preserve">resprentative MRI images without imaging necrosis, even if there were </w:t>
      </w:r>
      <w:r>
        <w:rPr>
          <w:rFonts w:ascii="Times New Roman" w:hAnsi="Times New Roman" w:eastAsia="Cambria" w:cs="Times New Roman"/>
          <w:color w:val="auto"/>
          <w:kern w:val="0"/>
          <w:sz w:val="24"/>
          <w:lang w:bidi="ar"/>
        </w:rPr>
        <w:t>spot-like, dotted, long-strip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, long tubular</w:t>
      </w:r>
      <w:r>
        <w:rPr>
          <w:rFonts w:ascii="Times New Roman" w:hAnsi="Times New Roman" w:eastAsia="Cambria" w:cs="Times New Roman"/>
          <w:color w:val="auto"/>
          <w:kern w:val="0"/>
          <w:sz w:val="24"/>
          <w:lang w:bidi="ar"/>
        </w:rPr>
        <w:t xml:space="preserve"> and fissural enhancements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, which </w:t>
      </w:r>
      <w:r>
        <w:rPr>
          <w:rFonts w:hint="eastAsia" w:ascii="Times New Roman" w:hAnsi="Times New Roman" w:cs="Times New Roman"/>
          <w:color w:val="auto"/>
          <w:sz w:val="24"/>
          <w:lang w:val="en-US" w:eastAsia="zh-CN" w:bidi="ar"/>
        </w:rPr>
        <w:t>was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 exactly </w:t>
      </w:r>
      <w:r>
        <w:rPr>
          <w:rFonts w:hint="eastAsia" w:ascii="Times New Roman" w:hAnsi="Times New Roman" w:cs="Times New Roman"/>
          <w:color w:val="auto"/>
          <w:sz w:val="24"/>
          <w:lang w:val="en-US" w:eastAsia="zh-CN" w:bidi="ar"/>
        </w:rPr>
        <w:t>confused in diagnosing imaging necrosis.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Shown from left to right by the order are T1WI, T2WI, and T1WI-CE. (A)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29</w:t>
      </w:r>
      <w:r>
        <w:rPr>
          <w:rFonts w:hint="eastAsia" w:ascii="Times New Roman" w:hAnsi="Times New Roman" w:cs="Times New Roman"/>
          <w:color w:val="auto"/>
          <w:sz w:val="24"/>
        </w:rPr>
        <w:t xml:space="preserve">-year-old 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astrocytoma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(B) </w:t>
      </w:r>
      <w:r>
        <w:rPr>
          <w:rFonts w:hint="eastAsia" w:ascii="Times New Roman" w:hAnsi="Times New Roman" w:cs="Times New Roman"/>
          <w:color w:val="auto"/>
          <w:sz w:val="24"/>
        </w:rPr>
        <w:t>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24</w:t>
      </w:r>
      <w:r>
        <w:rPr>
          <w:rFonts w:hint="eastAsia" w:ascii="Times New Roman" w:hAnsi="Times New Roman" w:cs="Times New Roman"/>
          <w:color w:val="auto"/>
          <w:sz w:val="24"/>
        </w:rPr>
        <w:t>-year-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o</w:t>
      </w:r>
      <w:r>
        <w:rPr>
          <w:rFonts w:hint="eastAsia" w:ascii="Times New Roman" w:hAnsi="Times New Roman" w:cs="Times New Roman"/>
          <w:color w:val="auto"/>
          <w:sz w:val="24"/>
        </w:rPr>
        <w:t>ld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wo</w:t>
      </w:r>
      <w:r>
        <w:rPr>
          <w:rFonts w:hint="eastAsia" w:ascii="Times New Roman" w:hAnsi="Times New Roman" w:cs="Times New Roman"/>
          <w:color w:val="auto"/>
          <w:sz w:val="24"/>
        </w:rPr>
        <w:t xml:space="preserve">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 and 1p/19q-deleted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oligodendroglioma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(C)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32</w:t>
      </w:r>
      <w:r>
        <w:rPr>
          <w:rFonts w:hint="eastAsia" w:ascii="Times New Roman" w:hAnsi="Times New Roman" w:cs="Times New Roman"/>
          <w:color w:val="auto"/>
          <w:sz w:val="24"/>
        </w:rPr>
        <w:t>-year-old 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wo</w:t>
      </w:r>
      <w:r>
        <w:rPr>
          <w:rFonts w:hint="eastAsia" w:ascii="Times New Roman" w:hAnsi="Times New Roman" w:cs="Times New Roman"/>
          <w:color w:val="auto"/>
          <w:sz w:val="24"/>
        </w:rPr>
        <w:t xml:space="preserve">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astrocytoma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(D)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39</w:t>
      </w:r>
      <w:r>
        <w:rPr>
          <w:rFonts w:hint="eastAsia" w:ascii="Times New Roman" w:hAnsi="Times New Roman" w:cs="Times New Roman"/>
          <w:color w:val="auto"/>
          <w:sz w:val="24"/>
        </w:rPr>
        <w:t xml:space="preserve">-year-old 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 and 1p/19q-deleted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oligodendroglioma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(E)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31</w:t>
      </w:r>
      <w:r>
        <w:rPr>
          <w:rFonts w:hint="eastAsia" w:ascii="Times New Roman" w:hAnsi="Times New Roman" w:cs="Times New Roman"/>
          <w:color w:val="auto"/>
          <w:sz w:val="24"/>
        </w:rPr>
        <w:t xml:space="preserve">-year-old 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3 </w:t>
      </w:r>
      <w:r>
        <w:rPr>
          <w:rFonts w:ascii="Times New Roman" w:hAnsi="Times New Roman" w:cs="Times New Roman"/>
          <w:color w:val="auto"/>
          <w:sz w:val="24"/>
        </w:rPr>
        <w:t>IDH-mutant astrocytoma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(F)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55</w:t>
      </w:r>
      <w:r>
        <w:rPr>
          <w:rFonts w:hint="eastAsia" w:ascii="Times New Roman" w:hAnsi="Times New Roman" w:cs="Times New Roman"/>
          <w:color w:val="auto"/>
          <w:sz w:val="24"/>
        </w:rPr>
        <w:t>-year-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o</w:t>
      </w:r>
      <w:r>
        <w:rPr>
          <w:rFonts w:hint="eastAsia" w:ascii="Times New Roman" w:hAnsi="Times New Roman" w:cs="Times New Roman"/>
          <w:color w:val="auto"/>
          <w:sz w:val="24"/>
        </w:rPr>
        <w:t>ld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wo</w:t>
      </w:r>
      <w:r>
        <w:rPr>
          <w:rFonts w:hint="eastAsia" w:ascii="Times New Roman" w:hAnsi="Times New Roman" w:cs="Times New Roman"/>
          <w:color w:val="auto"/>
          <w:sz w:val="24"/>
        </w:rPr>
        <w:t xml:space="preserve">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 and 1p/19q-deleted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oligodendroglioma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(G)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45</w:t>
      </w:r>
      <w:r>
        <w:rPr>
          <w:rFonts w:hint="eastAsia" w:ascii="Times New Roman" w:hAnsi="Times New Roman" w:cs="Times New Roman"/>
          <w:color w:val="auto"/>
          <w:sz w:val="24"/>
        </w:rPr>
        <w:t>-year-old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</w:rPr>
        <w:t xml:space="preserve">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astrocytoma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(H)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38</w:t>
      </w:r>
      <w:r>
        <w:rPr>
          <w:rFonts w:hint="eastAsia" w:ascii="Times New Roman" w:hAnsi="Times New Roman" w:cs="Times New Roman"/>
          <w:color w:val="auto"/>
          <w:sz w:val="24"/>
        </w:rPr>
        <w:t xml:space="preserve">-year-old 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 aastrocytoma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; (H) </w:t>
      </w:r>
      <w:r>
        <w:rPr>
          <w:rFonts w:hint="eastAsia" w:ascii="Times New Roman" w:hAnsi="Times New Roman" w:cs="Times New Roman"/>
          <w:color w:val="auto"/>
          <w:sz w:val="24"/>
        </w:rPr>
        <w:t xml:space="preserve">a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34</w:t>
      </w:r>
      <w:r>
        <w:rPr>
          <w:rFonts w:hint="eastAsia" w:ascii="Times New Roman" w:hAnsi="Times New Roman" w:cs="Times New Roman"/>
          <w:color w:val="auto"/>
          <w:sz w:val="24"/>
        </w:rPr>
        <w:t xml:space="preserve">-year-old 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3 </w:t>
      </w:r>
      <w:r>
        <w:rPr>
          <w:rFonts w:ascii="Times New Roman" w:hAnsi="Times New Roman" w:cs="Times New Roman"/>
          <w:color w:val="auto"/>
          <w:sz w:val="24"/>
        </w:rPr>
        <w:t>IDH-mutant and 1p/19q-deleted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oligodendroglioma</w:t>
      </w:r>
      <w:r>
        <w:rPr>
          <w:rFonts w:hint="eastAsia" w:eastAsia="宋体" w:cs="Times New Roman"/>
          <w:color w:val="auto"/>
          <w:sz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cs="Times New Roman" w:eastAsiaTheme="minorEastAsia"/>
          <w:color w:val="auto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drawing>
          <wp:inline distT="0" distB="0" distL="114300" distR="114300">
            <wp:extent cx="5269865" cy="6264275"/>
            <wp:effectExtent l="0" t="0" r="635" b="9525"/>
            <wp:docPr id="3" name="图片 3" descr="Sup.fig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.fig.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 w:bidi="ar"/>
        </w:rPr>
        <w:t xml:space="preserve">Sup.fig. </w:t>
      </w:r>
      <w:r>
        <w:rPr>
          <w:rFonts w:hint="eastAsia" w:cs="Times New Roman"/>
          <w:b/>
          <w:bCs/>
          <w:color w:val="auto"/>
          <w:sz w:val="24"/>
          <w:lang w:val="en-US" w:eastAsia="zh-CN" w:bidi="ar"/>
        </w:rPr>
        <w:t>5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 This </w:t>
      </w:r>
      <w:r>
        <w:rPr>
          <w:rFonts w:hint="eastAsia" w:eastAsia="宋体" w:cs="Times New Roman"/>
          <w:color w:val="auto"/>
          <w:kern w:val="0"/>
          <w:sz w:val="24"/>
          <w:lang w:val="en-US" w:eastAsia="zh-CN" w:bidi="ar"/>
        </w:rPr>
        <w:t>case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 was </w:t>
      </w:r>
      <w:r>
        <w:rPr>
          <w:rFonts w:hint="eastAsia" w:ascii="Times New Roman" w:hAnsi="Times New Roman" w:cs="Times New Roman"/>
          <w:color w:val="auto"/>
          <w:sz w:val="24"/>
        </w:rPr>
        <w:t>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36</w:t>
      </w:r>
      <w:r>
        <w:rPr>
          <w:rFonts w:hint="eastAsia" w:ascii="Times New Roman" w:hAnsi="Times New Roman" w:cs="Times New Roman"/>
          <w:color w:val="auto"/>
          <w:sz w:val="24"/>
        </w:rPr>
        <w:t>-year-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o</w:t>
      </w:r>
      <w:r>
        <w:rPr>
          <w:rFonts w:hint="eastAsia" w:ascii="Times New Roman" w:hAnsi="Times New Roman" w:cs="Times New Roman"/>
          <w:color w:val="auto"/>
          <w:sz w:val="24"/>
        </w:rPr>
        <w:t>ld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wo</w:t>
      </w:r>
      <w:r>
        <w:rPr>
          <w:rFonts w:hint="eastAsia" w:ascii="Times New Roman" w:hAnsi="Times New Roman" w:cs="Times New Roman"/>
          <w:color w:val="auto"/>
          <w:sz w:val="24"/>
        </w:rPr>
        <w:t xml:space="preserve">man with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a WHO grade 2 </w:t>
      </w:r>
      <w:r>
        <w:rPr>
          <w:rFonts w:ascii="Times New Roman" w:hAnsi="Times New Roman" w:cs="Times New Roman"/>
          <w:color w:val="auto"/>
          <w:sz w:val="24"/>
        </w:rPr>
        <w:t>IDH-mutant and 1p/19q-deleted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oligodendroglioma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. Though on the T1WI-CE image (D), it showed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 xml:space="preserve">multiple long tubular and filiform enhancement and there were some tumor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areas with remarked decrease of reinforcement. But t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hese areas are hyperintens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e, not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hypointense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,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 on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T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-weighted image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. Comparing with CT images,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calcification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on there areas were just observed. So there was no imaging necrosis in this condition.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Waqar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et al. also reported this kind of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reinforcement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as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a “chicken wire” appearance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with the explanation that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oligodendroglioma vasculature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often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was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described as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a network of regular fine branching capillaries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[1, 2]</w:t>
      </w:r>
      <w:r>
        <w:rPr>
          <w:rFonts w:hint="eastAsia" w:cs="Times New Roman"/>
          <w:color w:val="auto"/>
          <w:sz w:val="24"/>
          <w:lang w:val="en-US" w:eastAsia="zh-CN"/>
        </w:rPr>
        <w:t>.</w:t>
      </w:r>
    </w:p>
    <w:p>
      <w:pPr>
        <w:rPr>
          <w:rFonts w:hint="default" w:ascii="Cambria" w:hAnsi="Cambria" w:eastAsia="Cambria" w:cs="Cambria"/>
          <w:i w:val="0"/>
          <w:iCs w:val="0"/>
          <w:caps w:val="0"/>
          <w:color w:val="376FAA"/>
          <w:spacing w:val="0"/>
          <w:sz w:val="15"/>
          <w:szCs w:val="15"/>
          <w:u w:val="single"/>
          <w:shd w:val="clear" w:fill="FFFFFF"/>
          <w:vertAlign w:val="baseli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Waqar M, Lewis D, Agushi E, </w:t>
      </w:r>
      <w:r>
        <w:rPr>
          <w:rFonts w:hint="eastAsia" w:cs="Times New Roman"/>
          <w:color w:val="auto"/>
          <w:sz w:val="24"/>
          <w:lang w:val="en-US" w:eastAsia="zh-CN"/>
        </w:rPr>
        <w:t>Gittins M, Jackson A, Coope D (2021)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 Cerebral and tumoral blood flow in adult gliomas: a systematic review of results from magnetic resonance </w:t>
      </w:r>
      <w:bookmarkStart w:id="1" w:name="_GoBack"/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imaging. Br J Radiol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94(1125):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20201450. doi: 10.1259/bjr.20201450. </w:t>
      </w:r>
    </w:p>
    <w:p>
      <w:pPr>
        <w:spacing w:line="480" w:lineRule="auto"/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Cha S, Tihan T, Crawford F, </w:t>
      </w:r>
      <w:r>
        <w:rPr>
          <w:rFonts w:hint="eastAsia" w:cs="Times New Roman"/>
          <w:color w:val="auto"/>
          <w:sz w:val="24"/>
          <w:lang w:val="en-US" w:eastAsia="zh-CN"/>
        </w:rPr>
        <w:t xml:space="preserve">Fischbein NJ, Chang S, Bollen A,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et al</w:t>
      </w:r>
      <w:r>
        <w:rPr>
          <w:rFonts w:hint="eastAsia" w:cs="Times New Roman"/>
          <w:color w:val="auto"/>
          <w:sz w:val="24"/>
          <w:lang w:val="en-US" w:eastAsia="zh-CN"/>
        </w:rPr>
        <w:t xml:space="preserve"> (2005)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Differentiation of low-grade oligodendrogliomas from low-grade astrocytomas by using quantitative blood-volume measurements derived from dynamic susceptibility contrast-enhanced MR imaging. AJNR Am J Neuroradiol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26: 266–73.</w:t>
      </w:r>
      <w:r>
        <w:rPr>
          <w:rFonts w:hint="eastAsia" w:cs="Times New Roman"/>
          <w:color w:val="auto"/>
          <w:sz w:val="24"/>
          <w:lang w:val="en-US" w:eastAsia="zh-CN"/>
        </w:rPr>
        <w:t xml:space="preserve"> </w:t>
      </w:r>
    </w:p>
    <w:bookmarkEnd w:id="1"/>
    <w:p/>
    <w:sectPr>
      <w:pgSz w:w="11906" w:h="16838"/>
      <w:pgMar w:top="1440" w:right="1440" w:bottom="1440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ger">
    <w:panose1 w:val="02070300020205020404"/>
    <w:charset w:val="00"/>
    <w:family w:val="roman"/>
    <w:pitch w:val="default"/>
    <w:sig w:usb0="A00003AF" w:usb1="100078FF" w:usb2="00000000" w:usb3="00000000" w:csb0="6000019F" w:csb1="DFF70000"/>
  </w:font>
  <w:font w:name="MS Mincho">
    <w:altName w:val="Kozuka Mincho Pro M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0Nzc5MDJkOTRmNDM3NTE4MTI2ZjExMmUwZGM4ZTAifQ=="/>
    <w:docVar w:name="KSO_WPS_MARK_KEY" w:val="6402fb27-3c26-431b-9f59-0d5f73f16fba"/>
  </w:docVars>
  <w:rsids>
    <w:rsidRoot w:val="00BD7A3B"/>
    <w:rsid w:val="0008684A"/>
    <w:rsid w:val="00144C2D"/>
    <w:rsid w:val="006B4F71"/>
    <w:rsid w:val="00AB092F"/>
    <w:rsid w:val="00BD7A3B"/>
    <w:rsid w:val="00DE3FB6"/>
    <w:rsid w:val="00FA6819"/>
    <w:rsid w:val="04CF68C0"/>
    <w:rsid w:val="0FCD125C"/>
    <w:rsid w:val="10234F21"/>
    <w:rsid w:val="144E2788"/>
    <w:rsid w:val="1B7E1BA5"/>
    <w:rsid w:val="1EFB4441"/>
    <w:rsid w:val="2999445B"/>
    <w:rsid w:val="29C235A5"/>
    <w:rsid w:val="2D651FD3"/>
    <w:rsid w:val="3C8F3B2B"/>
    <w:rsid w:val="3D2470D1"/>
    <w:rsid w:val="3FDB3923"/>
    <w:rsid w:val="41711741"/>
    <w:rsid w:val="442A3DC9"/>
    <w:rsid w:val="460A7D78"/>
    <w:rsid w:val="4B913869"/>
    <w:rsid w:val="52914727"/>
    <w:rsid w:val="534A1D91"/>
    <w:rsid w:val="60B91852"/>
    <w:rsid w:val="61C85B77"/>
    <w:rsid w:val="63457346"/>
    <w:rsid w:val="6F7F1160"/>
    <w:rsid w:val="706D4B1E"/>
    <w:rsid w:val="74760B3E"/>
    <w:rsid w:val="7C7750F6"/>
    <w:rsid w:val="7FF8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MS Mincho" w:cs="Times New Roman"/>
      <w:sz w:val="24"/>
      <w:szCs w:val="24"/>
      <w:lang w:val="en-US" w:eastAsia="en-US" w:bidi="he-I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qFormat/>
    <w:uiPriority w:val="0"/>
    <w:rPr>
      <w:sz w:val="22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rFonts w:ascii="Segoe UI" w:hAnsi="Segoe UI" w:cs="Segoe UI"/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9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10">
    <w:name w:val="Comment Text Char"/>
    <w:basedOn w:val="6"/>
    <w:link w:val="2"/>
    <w:qFormat/>
    <w:uiPriority w:val="0"/>
    <w:rPr>
      <w:rFonts w:ascii="Times New Roman" w:hAnsi="Times New Roman" w:eastAsia="MS Mincho" w:cs="Times New Roman"/>
      <w:szCs w:val="20"/>
      <w:lang w:val="en-US" w:bidi="he-IL"/>
    </w:rPr>
  </w:style>
  <w:style w:type="character" w:customStyle="1" w:styleId="11">
    <w:name w:val="Balloon Text Char"/>
    <w:basedOn w:val="6"/>
    <w:link w:val="3"/>
    <w:semiHidden/>
    <w:qFormat/>
    <w:uiPriority w:val="99"/>
    <w:rPr>
      <w:rFonts w:ascii="Segoe UI" w:hAnsi="Segoe UI" w:eastAsia="MS Mincho" w:cs="Segoe UI"/>
      <w:sz w:val="18"/>
      <w:szCs w:val="18"/>
      <w:lang w:val="en-US" w:bidi="he-IL"/>
    </w:rPr>
  </w:style>
  <w:style w:type="character" w:customStyle="1" w:styleId="12">
    <w:name w:val="吹き出し (文字)"/>
    <w:semiHidden/>
    <w:qFormat/>
    <w:uiPriority w:val="0"/>
    <w:rPr>
      <w:rFonts w:ascii="Tahoma" w:hAnsi="Tahoma" w:cs="Tahoma"/>
      <w:sz w:val="16"/>
      <w:szCs w:val="16"/>
      <w:lang w:bidi="he-IL"/>
    </w:rPr>
  </w:style>
  <w:style w:type="character" w:customStyle="1" w:styleId="13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4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15">
    <w:name w:val="コメント内容 (文字)"/>
    <w:semiHidden/>
    <w:qFormat/>
    <w:uiPriority w:val="0"/>
    <w:rPr>
      <w:b/>
      <w:bCs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1278</Words>
  <Characters>7193</Characters>
  <Lines>12</Lines>
  <Paragraphs>3</Paragraphs>
  <TotalTime>2</TotalTime>
  <ScaleCrop>false</ScaleCrop>
  <LinksUpToDate>false</LinksUpToDate>
  <CharactersWithSpaces>8399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2023-02-21T01:28:00Z</dcterms:created>
  <dc:creator>Author</dc:creator>
  <cp:lastModifiedBy>Hui Ma</cp:lastModifiedBy>
  <dcterms:modified xsi:type="dcterms:W3CDTF">2023-06-23T10:07:47Z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2D6F792DA0964D1196F034A1AB55579B_13</vt:lpwstr>
  </property>
</Properties>
</file>