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E897A" w14:textId="77777777" w:rsidR="00ED2E34" w:rsidRPr="002F6842" w:rsidRDefault="00ED2E34" w:rsidP="00ED2E34">
      <w:pPr>
        <w:tabs>
          <w:tab w:val="left" w:pos="2762"/>
        </w:tabs>
        <w:jc w:val="center"/>
        <w:rPr>
          <w:rFonts w:ascii="Arial" w:eastAsia="Arial" w:hAnsi="Arial" w:cs="Arial"/>
          <w:b/>
          <w:color w:val="000000"/>
          <w:lang w:val="en-GB"/>
        </w:rPr>
      </w:pPr>
      <w:bookmarkStart w:id="0" w:name="_Hlk112491013"/>
      <w:r w:rsidRPr="002F6842">
        <w:rPr>
          <w:rFonts w:ascii="Arial" w:eastAsia="Arial" w:hAnsi="Arial" w:cs="Arial"/>
          <w:b/>
          <w:color w:val="000000"/>
          <w:lang w:val="en-GB"/>
        </w:rPr>
        <w:t>Supplementary method</w:t>
      </w:r>
    </w:p>
    <w:p w14:paraId="506CED61" w14:textId="77777777" w:rsidR="00ED2E34" w:rsidRDefault="00ED2E34" w:rsidP="00ED2E34">
      <w:pPr>
        <w:tabs>
          <w:tab w:val="left" w:pos="2762"/>
        </w:tabs>
        <w:rPr>
          <w:rFonts w:ascii="Arial" w:eastAsia="Arial" w:hAnsi="Arial" w:cs="Arial"/>
          <w:b/>
          <w:color w:val="000000"/>
          <w:sz w:val="20"/>
          <w:szCs w:val="20"/>
          <w:u w:val="single"/>
          <w:lang w:val="en-GB"/>
        </w:rPr>
      </w:pPr>
    </w:p>
    <w:p w14:paraId="7DDB76D4" w14:textId="77777777" w:rsidR="00ED2E34" w:rsidRPr="00E52D59" w:rsidRDefault="00ED2E34" w:rsidP="00ED2E34">
      <w:pPr>
        <w:tabs>
          <w:tab w:val="left" w:pos="2762"/>
        </w:tabs>
        <w:rPr>
          <w:rFonts w:ascii="Arial" w:eastAsia="Arial" w:hAnsi="Arial" w:cs="Arial"/>
          <w:b/>
          <w:color w:val="000000"/>
          <w:sz w:val="20"/>
          <w:szCs w:val="20"/>
          <w:u w:val="single"/>
          <w:lang w:val="en-GB"/>
        </w:rPr>
      </w:pPr>
      <w:r w:rsidRPr="00E52D59">
        <w:rPr>
          <w:rFonts w:ascii="Arial" w:eastAsia="Arial" w:hAnsi="Arial" w:cs="Arial"/>
          <w:b/>
          <w:color w:val="000000"/>
          <w:sz w:val="20"/>
          <w:szCs w:val="20"/>
          <w:u w:val="single"/>
          <w:lang w:val="en-GB"/>
        </w:rPr>
        <w:t>Upgradation of the IntelliPlex</w:t>
      </w:r>
      <w:r w:rsidRPr="00E52D59">
        <w:rPr>
          <w:rFonts w:ascii="Arial" w:eastAsia="Arial" w:hAnsi="Arial" w:cs="Arial"/>
          <w:b/>
          <w:color w:val="000000"/>
          <w:sz w:val="20"/>
          <w:szCs w:val="20"/>
          <w:u w:val="single"/>
          <w:vertAlign w:val="superscript"/>
          <w:lang w:val="en-GB"/>
        </w:rPr>
        <w:t xml:space="preserve"> </w:t>
      </w:r>
      <w:r w:rsidRPr="00E52D59">
        <w:rPr>
          <w:rFonts w:ascii="Arial" w:eastAsia="Arial" w:hAnsi="Arial" w:cs="Arial"/>
          <w:b/>
          <w:color w:val="000000"/>
          <w:sz w:val="20"/>
          <w:szCs w:val="20"/>
          <w:u w:val="single"/>
          <w:lang w:val="en-GB"/>
        </w:rPr>
        <w:t>πCode assay</w:t>
      </w:r>
    </w:p>
    <w:p w14:paraId="676AA5FD" w14:textId="77777777" w:rsidR="00ED2E34" w:rsidRDefault="00ED2E34" w:rsidP="00ED2E34">
      <w:pPr>
        <w:tabs>
          <w:tab w:val="left" w:pos="2762"/>
        </w:tabs>
        <w:rPr>
          <w:rFonts w:ascii="Arial" w:eastAsia="Arial" w:hAnsi="Arial" w:cs="Arial"/>
          <w:b/>
          <w:color w:val="000000"/>
          <w:sz w:val="20"/>
          <w:szCs w:val="20"/>
          <w:lang w:val="en-GB"/>
        </w:rPr>
      </w:pPr>
    </w:p>
    <w:p w14:paraId="016EC83C" w14:textId="77777777" w:rsidR="00ED2E34" w:rsidRPr="00AF4679" w:rsidRDefault="00ED2E34" w:rsidP="00ED2E34">
      <w:pPr>
        <w:tabs>
          <w:tab w:val="left" w:pos="2762"/>
        </w:tabs>
        <w:rPr>
          <w:rFonts w:ascii="Arial" w:eastAsia="Arial" w:hAnsi="Arial" w:cs="Arial"/>
          <w:b/>
          <w:color w:val="000000"/>
          <w:sz w:val="20"/>
          <w:szCs w:val="20"/>
          <w:lang w:val="en-GB"/>
        </w:rPr>
      </w:pPr>
      <w:r w:rsidRPr="00AF4679">
        <w:rPr>
          <w:rFonts w:ascii="Arial" w:eastAsia="Arial" w:hAnsi="Arial" w:cs="Arial"/>
          <w:b/>
          <w:color w:val="000000"/>
          <w:sz w:val="20"/>
          <w:szCs w:val="20"/>
          <w:lang w:val="en-GB"/>
        </w:rPr>
        <w:t>RT-qPCR for the selection of new primers to co-evolve the assay with virus evolution</w:t>
      </w:r>
    </w:p>
    <w:p w14:paraId="120459CD" w14:textId="77777777" w:rsidR="00ED2E34" w:rsidRPr="00AF4679" w:rsidRDefault="00ED2E34" w:rsidP="00ED2E34">
      <w:pPr>
        <w:tabs>
          <w:tab w:val="left" w:pos="2762"/>
        </w:tabs>
        <w:rPr>
          <w:rFonts w:ascii="Arial" w:eastAsia="Arial" w:hAnsi="Arial" w:cs="Arial"/>
          <w:color w:val="000000"/>
          <w:sz w:val="20"/>
          <w:szCs w:val="20"/>
          <w:lang w:val="en-GB"/>
        </w:rPr>
      </w:pPr>
      <w:r w:rsidRPr="00AF4679">
        <w:rPr>
          <w:rFonts w:ascii="Arial" w:eastAsia="Arial" w:hAnsi="Arial" w:cs="Arial"/>
          <w:color w:val="000000"/>
          <w:sz w:val="20"/>
          <w:szCs w:val="20"/>
          <w:lang w:val="en-GB"/>
        </w:rPr>
        <w:t xml:space="preserve">Among the novel Omicron variants, as mutations arose in the primer positions of certain target regions, PCR efficiency for the specific target was checked via RT-qPCR using the original primers as well as several new primer candidates. Primer concentration and PCR conditions were set to the same values as those used in the IntelliPlex assay. </w:t>
      </w:r>
    </w:p>
    <w:p w14:paraId="4BF5C332" w14:textId="77777777" w:rsidR="00ED2E34" w:rsidRPr="00AF4679" w:rsidRDefault="00ED2E34" w:rsidP="00ED2E34">
      <w:pPr>
        <w:tabs>
          <w:tab w:val="left" w:pos="2762"/>
        </w:tabs>
        <w:rPr>
          <w:rFonts w:ascii="Arial" w:eastAsia="Arial" w:hAnsi="Arial" w:cs="Arial"/>
          <w:color w:val="000000" w:themeColor="text1"/>
          <w:sz w:val="20"/>
          <w:szCs w:val="20"/>
          <w:lang w:val="en-GB"/>
        </w:rPr>
      </w:pPr>
    </w:p>
    <w:p w14:paraId="2E4E4393" w14:textId="77777777" w:rsidR="00ED2E34" w:rsidRPr="00AF4679" w:rsidRDefault="00ED2E34" w:rsidP="00ED2E34">
      <w:pPr>
        <w:tabs>
          <w:tab w:val="left" w:pos="2762"/>
        </w:tabs>
        <w:rPr>
          <w:rFonts w:ascii="Arial" w:eastAsia="Arial" w:hAnsi="Arial" w:cs="Arial"/>
          <w:b/>
          <w:bCs/>
          <w:color w:val="000000" w:themeColor="text1"/>
          <w:sz w:val="20"/>
          <w:szCs w:val="20"/>
          <w:lang w:val="en-GB"/>
        </w:rPr>
      </w:pPr>
      <w:r w:rsidRPr="00AF4679">
        <w:rPr>
          <w:rFonts w:ascii="Arial" w:eastAsia="Arial" w:hAnsi="Arial" w:cs="Arial"/>
          <w:b/>
          <w:bCs/>
          <w:color w:val="000000" w:themeColor="text1"/>
          <w:sz w:val="20"/>
          <w:szCs w:val="20"/>
          <w:lang w:val="en-GB"/>
        </w:rPr>
        <w:t xml:space="preserve">Designing probes to capture the novel mutations </w:t>
      </w:r>
    </w:p>
    <w:p w14:paraId="0B831780" w14:textId="77777777" w:rsidR="00ED2E34" w:rsidRPr="00AF4679" w:rsidRDefault="00ED2E34" w:rsidP="00ED2E34">
      <w:pPr>
        <w:tabs>
          <w:tab w:val="left" w:pos="2762"/>
        </w:tabs>
        <w:rPr>
          <w:rFonts w:ascii="Arial" w:eastAsia="Arial" w:hAnsi="Arial" w:cs="Arial"/>
          <w:color w:val="000000"/>
          <w:sz w:val="20"/>
          <w:szCs w:val="20"/>
          <w:lang w:val="en-GB"/>
        </w:rPr>
      </w:pPr>
      <w:r w:rsidRPr="00AF4679">
        <w:rPr>
          <w:rFonts w:ascii="Arial" w:eastAsia="Arial" w:hAnsi="Arial" w:cs="Arial"/>
          <w:color w:val="000000" w:themeColor="text1"/>
          <w:sz w:val="20"/>
          <w:szCs w:val="20"/>
          <w:lang w:val="en-GB"/>
        </w:rPr>
        <w:t>To design a new probe, several points need to be considered. For a certain target, several probe candidates were designed with a Tm value ranging between 37 to 40 °C. The Tm value was calculated using the net primer (</w:t>
      </w:r>
      <w:hyperlink r:id="rId8" w:history="1">
        <w:r w:rsidRPr="00AF4679">
          <w:rPr>
            <w:rStyle w:val="Hyperlink"/>
            <w:rFonts w:ascii="Arial" w:eastAsia="Arial" w:hAnsi="Arial" w:cs="Arial"/>
            <w:color w:val="000000" w:themeColor="text1"/>
            <w:sz w:val="20"/>
            <w:szCs w:val="20"/>
            <w:lang w:val="en-GB"/>
          </w:rPr>
          <w:t>http://www.premierbiosoft.com/netprimer/index.html</w:t>
        </w:r>
      </w:hyperlink>
      <w:r w:rsidRPr="00AF4679">
        <w:rPr>
          <w:rFonts w:ascii="Arial" w:eastAsia="Arial" w:hAnsi="Arial" w:cs="Arial"/>
          <w:color w:val="000000" w:themeColor="text1"/>
          <w:sz w:val="20"/>
          <w:szCs w:val="20"/>
          <w:lang w:val="en-GB"/>
        </w:rPr>
        <w:t>) with default settings. Usually, a probe sequence between 12 to 18 nucleotides in length has a Tm value of 37 to 40 °C, but the overall length of a probe used in the IntelliPlex assay should be approximately 25 nucleotides to obtain a better resolution, according to the IntelliPlex guideline. To achieve this, the addition of a poly-T sequence at the 5′ end of the original probe sequence, up to 25 nucleotides, is recommended. To avoid non-specificity associated with this random poly-T sequence at the 5</w:t>
      </w:r>
      <w:r w:rsidRPr="00AF4679">
        <w:rPr>
          <w:rFonts w:ascii="Arial" w:eastAsia="Arial" w:hAnsi="Arial" w:cs="Arial"/>
          <w:color w:val="000000"/>
          <w:sz w:val="20"/>
          <w:szCs w:val="20"/>
          <w:lang w:val="en-GB"/>
        </w:rPr>
        <w:t>′</w:t>
      </w:r>
      <w:r w:rsidRPr="00AF4679">
        <w:rPr>
          <w:rFonts w:ascii="Arial" w:eastAsia="Arial" w:hAnsi="Arial" w:cs="Arial"/>
          <w:color w:val="000000" w:themeColor="text1"/>
          <w:sz w:val="20"/>
          <w:szCs w:val="20"/>
          <w:lang w:val="en-GB"/>
        </w:rPr>
        <w:t xml:space="preserve"> end of the probe, it is also recommended to replace all Ts with As when there is a T in the </w:t>
      </w:r>
      <w:r>
        <w:rPr>
          <w:rFonts w:ascii="Arial" w:eastAsia="Arial" w:hAnsi="Arial" w:cs="Arial"/>
          <w:color w:val="000000" w:themeColor="text1"/>
          <w:sz w:val="20"/>
          <w:szCs w:val="20"/>
          <w:lang w:val="en-GB"/>
        </w:rPr>
        <w:t xml:space="preserve">original </w:t>
      </w:r>
      <w:r w:rsidRPr="00AF4679">
        <w:rPr>
          <w:rFonts w:ascii="Arial" w:eastAsia="Arial" w:hAnsi="Arial" w:cs="Arial"/>
          <w:color w:val="000000" w:themeColor="text1"/>
          <w:sz w:val="20"/>
          <w:szCs w:val="20"/>
          <w:lang w:val="en-GB"/>
        </w:rPr>
        <w:t>template sequence. Following these guidelines, we designed new probes with a length of 25 nucleotides, and all the probes were C6 amine modified at the 5</w:t>
      </w:r>
      <w:r w:rsidRPr="00AF4679">
        <w:rPr>
          <w:rFonts w:ascii="Arial" w:eastAsia="Arial" w:hAnsi="Arial" w:cs="Arial"/>
          <w:color w:val="000000"/>
          <w:sz w:val="20"/>
          <w:szCs w:val="20"/>
          <w:lang w:val="en-GB"/>
        </w:rPr>
        <w:t>′</w:t>
      </w:r>
      <w:r w:rsidRPr="00AF4679">
        <w:rPr>
          <w:rFonts w:ascii="Arial" w:eastAsia="Arial" w:hAnsi="Arial" w:cs="Arial"/>
          <w:color w:val="000000" w:themeColor="text1"/>
          <w:sz w:val="20"/>
          <w:szCs w:val="20"/>
          <w:lang w:val="en-GB"/>
        </w:rPr>
        <w:t xml:space="preserve"> end to facilitate coupling of the probes with the πCode microdisc. In addition, the hairpin and self-dimer formation were avoided as well as the primer-binding sites of each target region were avoided while designing the probes for a certain target.</w:t>
      </w:r>
    </w:p>
    <w:p w14:paraId="3F294CB6" w14:textId="77777777" w:rsidR="00ED2E34" w:rsidRPr="00AF4679" w:rsidRDefault="00ED2E34" w:rsidP="00ED2E34">
      <w:pPr>
        <w:tabs>
          <w:tab w:val="left" w:pos="2762"/>
        </w:tabs>
        <w:rPr>
          <w:rFonts w:ascii="Arial" w:eastAsia="Arial" w:hAnsi="Arial" w:cs="Arial"/>
          <w:color w:val="000000"/>
          <w:sz w:val="20"/>
          <w:szCs w:val="20"/>
          <w:lang w:val="en-GB"/>
        </w:rPr>
      </w:pPr>
    </w:p>
    <w:p w14:paraId="2E70B956" w14:textId="77777777" w:rsidR="00ED2E34" w:rsidRPr="00AF4679" w:rsidRDefault="00ED2E34" w:rsidP="00ED2E34">
      <w:pPr>
        <w:tabs>
          <w:tab w:val="left" w:pos="2762"/>
        </w:tabs>
        <w:rPr>
          <w:rFonts w:ascii="Arial" w:eastAsia="Arial" w:hAnsi="Arial" w:cs="Arial"/>
          <w:b/>
          <w:color w:val="000000"/>
          <w:sz w:val="20"/>
          <w:szCs w:val="20"/>
          <w:lang w:val="en-GB"/>
        </w:rPr>
      </w:pPr>
      <w:r w:rsidRPr="00AF4679">
        <w:rPr>
          <w:rFonts w:ascii="Arial" w:eastAsia="Arial" w:hAnsi="Arial" w:cs="Arial"/>
          <w:b/>
          <w:color w:val="000000"/>
          <w:sz w:val="20"/>
          <w:szCs w:val="20"/>
          <w:lang w:val="en-GB"/>
        </w:rPr>
        <w:t xml:space="preserve">Coupling of the probe and πCode microdisc </w:t>
      </w:r>
    </w:p>
    <w:p w14:paraId="3582DC34" w14:textId="77777777" w:rsidR="00ED2E34" w:rsidRPr="00AF4679" w:rsidRDefault="00ED2E34" w:rsidP="00ED2E34">
      <w:pPr>
        <w:tabs>
          <w:tab w:val="left" w:pos="2762"/>
        </w:tabs>
        <w:rPr>
          <w:rFonts w:ascii="Arial" w:eastAsia="Arial" w:hAnsi="Arial" w:cs="Arial"/>
          <w:color w:val="000000"/>
          <w:sz w:val="20"/>
          <w:szCs w:val="20"/>
          <w:lang w:val="en-GB"/>
        </w:rPr>
      </w:pPr>
      <w:r w:rsidRPr="00AF4679">
        <w:rPr>
          <w:rFonts w:ascii="Arial" w:eastAsia="Arial" w:hAnsi="Arial" w:cs="Arial"/>
          <w:color w:val="000000"/>
          <w:sz w:val="20"/>
          <w:szCs w:val="20"/>
          <w:lang w:val="en-GB"/>
        </w:rPr>
        <w:t>New probes were designed to update the SARS-CoV-2 probe panel and they were coupled to the πCode microdisc following the provided user manual. The probes were amine modified at the 5′ end and for each of the new probes, a unique πCode (Identification pattern) microdisc was assigned that differed from each other and from the already existing panel of probe-microdiscs conjugates. Briefly, for bulk coupling, 200 μL of 3 μM probe solution was added into preactivated πCode microdisc (10 K), and for small-scale coupling, 100 μL of 3 μM probe solution was added into 10 μL of methanol resuspended preactivated πCode microdisc. The probe and preactivated πCode microdisc were mixed using an Intelli mixer for 2 h at 37 °C setting program at “MODE-U2 and RPM-99” for bulk coupling and “MODE-uu and RPM-99” for small-scale coupling. After consecutive washes with rinse, blocking, and wash buffer, the probe-coupled microdisc was eluted in storage buffer at a concentration of 100 microdiscs/μL and stored at 4 °C. The πCode ID for the microdisc coupled to different probes is provided in Supplementary Dataset 5.</w:t>
      </w:r>
    </w:p>
    <w:p w14:paraId="78468710" w14:textId="77777777" w:rsidR="00ED2E34" w:rsidRDefault="00ED2E34" w:rsidP="00ED2E34">
      <w:pPr>
        <w:tabs>
          <w:tab w:val="left" w:pos="2762"/>
        </w:tabs>
        <w:rPr>
          <w:rFonts w:ascii="Arial" w:eastAsia="Arial" w:hAnsi="Arial" w:cs="Arial"/>
          <w:b/>
          <w:color w:val="000000"/>
          <w:sz w:val="20"/>
          <w:szCs w:val="20"/>
          <w:lang w:val="en-GB"/>
        </w:rPr>
      </w:pPr>
    </w:p>
    <w:p w14:paraId="44B8584A" w14:textId="77777777" w:rsidR="00ED2E34" w:rsidRPr="00AF4679" w:rsidRDefault="00ED2E34" w:rsidP="00ED2E34">
      <w:pPr>
        <w:tabs>
          <w:tab w:val="left" w:pos="2762"/>
        </w:tabs>
        <w:rPr>
          <w:rFonts w:ascii="Arial" w:eastAsia="Arial" w:hAnsi="Arial" w:cs="Arial"/>
          <w:b/>
          <w:color w:val="000000"/>
          <w:sz w:val="20"/>
          <w:szCs w:val="20"/>
          <w:lang w:val="en-GB"/>
        </w:rPr>
      </w:pPr>
      <w:r w:rsidRPr="00AF4679">
        <w:rPr>
          <w:rFonts w:ascii="Arial" w:eastAsia="Arial" w:hAnsi="Arial" w:cs="Arial"/>
          <w:b/>
          <w:color w:val="000000"/>
          <w:sz w:val="20"/>
          <w:szCs w:val="20"/>
          <w:lang w:val="en-GB"/>
        </w:rPr>
        <w:t xml:space="preserve">Checking the coupling efficiency of a probe- πCode microdisc </w:t>
      </w:r>
    </w:p>
    <w:p w14:paraId="6F1FE2E0" w14:textId="77777777" w:rsidR="00ED2E34" w:rsidRPr="00AF4679" w:rsidRDefault="00ED2E34" w:rsidP="00ED2E34">
      <w:pPr>
        <w:tabs>
          <w:tab w:val="left" w:pos="2762"/>
        </w:tabs>
        <w:rPr>
          <w:rFonts w:ascii="Arial" w:eastAsia="Arial" w:hAnsi="Arial" w:cs="Arial"/>
          <w:color w:val="000000"/>
          <w:sz w:val="20"/>
          <w:szCs w:val="20"/>
          <w:lang w:val="en-GB"/>
        </w:rPr>
      </w:pPr>
      <w:r w:rsidRPr="00AF4679">
        <w:rPr>
          <w:rFonts w:ascii="Arial" w:eastAsia="Arial" w:hAnsi="Arial" w:cs="Arial"/>
          <w:color w:val="000000"/>
          <w:sz w:val="20"/>
          <w:szCs w:val="20"/>
          <w:lang w:val="en-GB"/>
        </w:rPr>
        <w:t>The performance of each of the nucleic acid probes was validated individually before proceeding to the multiplex assay. To confirm the coupling of a nucleic acid probe to πCode microdisc and its fluorescence specificity, RNA samples of a SARS-CoV-2 variant/recombinant virus/complementary oligo having probe-specific target sequence (positive control), and other variants having non-specific sequences at the probe binding position (negative control) were RT-PCR amplified using a potential primer set (reverse primer 5′ biotinylated). After RT-PCR amplification, the amplicon is denatured at 98 °C for 7 min and followed by incubation for 5 min at 4 °C. A working solution of probe-microdisc conjugates was prepared by diluting the coupled πCode microdisc stocks to a final concentration of 5 discs/μL in a storage buffer. The coupled πCode microdisc solution, hybrid</w:t>
      </w:r>
      <w:r>
        <w:rPr>
          <w:rFonts w:ascii="Arial" w:eastAsia="Arial" w:hAnsi="Arial" w:cs="Arial"/>
          <w:color w:val="000000"/>
          <w:sz w:val="20"/>
          <w:szCs w:val="20"/>
          <w:lang w:val="en-GB"/>
        </w:rPr>
        <w:t>is</w:t>
      </w:r>
      <w:r w:rsidRPr="00AF4679">
        <w:rPr>
          <w:rFonts w:ascii="Arial" w:eastAsia="Arial" w:hAnsi="Arial" w:cs="Arial"/>
          <w:color w:val="000000"/>
          <w:sz w:val="20"/>
          <w:szCs w:val="20"/>
          <w:lang w:val="en-GB"/>
        </w:rPr>
        <w:t>ation buffer, and denatured PCR product were added to the well of a 96-well plate at a volume of 20 μL, 100 μL, and 10 μL, respectively. The IntelliPlex</w:t>
      </w:r>
      <w:r w:rsidRPr="00AF4679">
        <w:rPr>
          <w:rFonts w:ascii="Arial" w:eastAsia="Arial" w:hAnsi="Arial" w:cs="Arial"/>
          <w:color w:val="000000"/>
          <w:sz w:val="20"/>
          <w:szCs w:val="20"/>
          <w:vertAlign w:val="superscript"/>
          <w:lang w:val="en-GB"/>
        </w:rPr>
        <w:t xml:space="preserve"> </w:t>
      </w:r>
      <w:r w:rsidRPr="00AF4679">
        <w:rPr>
          <w:rFonts w:ascii="Arial" w:eastAsia="Arial" w:hAnsi="Arial" w:cs="Arial"/>
          <w:color w:val="000000"/>
          <w:sz w:val="20"/>
          <w:szCs w:val="20"/>
          <w:lang w:val="en-GB"/>
        </w:rPr>
        <w:t>1000 πCode processor was used for the automated hybrid</w:t>
      </w:r>
      <w:r>
        <w:rPr>
          <w:rFonts w:ascii="Arial" w:eastAsia="Arial" w:hAnsi="Arial" w:cs="Arial"/>
          <w:color w:val="000000"/>
          <w:sz w:val="20"/>
          <w:szCs w:val="20"/>
          <w:lang w:val="en-GB"/>
        </w:rPr>
        <w:t>is</w:t>
      </w:r>
      <w:r w:rsidRPr="00AF4679">
        <w:rPr>
          <w:rFonts w:ascii="Arial" w:eastAsia="Arial" w:hAnsi="Arial" w:cs="Arial"/>
          <w:color w:val="000000"/>
          <w:sz w:val="20"/>
          <w:szCs w:val="20"/>
          <w:lang w:val="en-GB"/>
        </w:rPr>
        <w:t xml:space="preserve">ation, washing, and SAPE labelling of the captured target probes. The custom assay of the PlexBio 100 fluorescent </w:t>
      </w:r>
      <w:r>
        <w:rPr>
          <w:rFonts w:ascii="Arial" w:eastAsia="Arial" w:hAnsi="Arial" w:cs="Arial"/>
          <w:color w:val="000000"/>
          <w:sz w:val="20"/>
          <w:szCs w:val="20"/>
          <w:lang w:val="en-GB"/>
        </w:rPr>
        <w:t>analyse</w:t>
      </w:r>
      <w:r w:rsidRPr="00AF4679">
        <w:rPr>
          <w:rFonts w:ascii="Arial" w:eastAsia="Arial" w:hAnsi="Arial" w:cs="Arial"/>
          <w:color w:val="000000"/>
          <w:sz w:val="20"/>
          <w:szCs w:val="20"/>
          <w:lang w:val="en-GB"/>
        </w:rPr>
        <w:t>r was used to quantify the MFI for the target-probe conjugates. The output excel file contains the MFI and the number of the πCode microdisc.</w:t>
      </w:r>
    </w:p>
    <w:p w14:paraId="354F9CF8" w14:textId="77777777" w:rsidR="00ED2E34" w:rsidRPr="00AF4679" w:rsidRDefault="00ED2E34" w:rsidP="00ED2E34">
      <w:pPr>
        <w:tabs>
          <w:tab w:val="left" w:pos="2762"/>
        </w:tabs>
        <w:rPr>
          <w:rFonts w:ascii="Arial" w:eastAsia="Arial" w:hAnsi="Arial" w:cs="Arial"/>
          <w:color w:val="000000"/>
          <w:sz w:val="20"/>
          <w:szCs w:val="20"/>
          <w:lang w:val="en-GB"/>
        </w:rPr>
      </w:pPr>
    </w:p>
    <w:p w14:paraId="4A4597A8" w14:textId="77777777" w:rsidR="00ED2E34" w:rsidRPr="00AF4679" w:rsidRDefault="00ED2E34" w:rsidP="00ED2E34">
      <w:pPr>
        <w:tabs>
          <w:tab w:val="left" w:pos="2762"/>
        </w:tabs>
        <w:rPr>
          <w:rFonts w:ascii="Arial" w:eastAsia="Arial" w:hAnsi="Arial" w:cs="Arial"/>
          <w:b/>
          <w:color w:val="000000"/>
          <w:sz w:val="20"/>
          <w:szCs w:val="20"/>
          <w:lang w:val="en-GB"/>
        </w:rPr>
      </w:pPr>
      <w:r w:rsidRPr="00AF4679">
        <w:rPr>
          <w:rFonts w:ascii="Arial" w:eastAsia="Arial" w:hAnsi="Arial" w:cs="Arial"/>
          <w:b/>
          <w:color w:val="000000"/>
          <w:sz w:val="20"/>
          <w:szCs w:val="20"/>
          <w:lang w:val="en-GB"/>
        </w:rPr>
        <w:t>Custom assay using updated primer and probes</w:t>
      </w:r>
    </w:p>
    <w:p w14:paraId="6AD7DF65" w14:textId="77777777" w:rsidR="00ED2E34" w:rsidRPr="00AF4679" w:rsidRDefault="00ED2E34" w:rsidP="00ED2E34">
      <w:pPr>
        <w:tabs>
          <w:tab w:val="left" w:pos="2762"/>
        </w:tabs>
        <w:rPr>
          <w:rFonts w:ascii="Arial" w:eastAsia="Arial" w:hAnsi="Arial" w:cs="Arial"/>
          <w:color w:val="000000"/>
          <w:sz w:val="20"/>
          <w:szCs w:val="20"/>
          <w:lang w:val="en-GB"/>
        </w:rPr>
      </w:pPr>
      <w:r w:rsidRPr="00AF4679">
        <w:rPr>
          <w:rFonts w:ascii="Arial" w:eastAsia="Arial" w:hAnsi="Arial" w:cs="Arial"/>
          <w:color w:val="000000"/>
          <w:sz w:val="20"/>
          <w:szCs w:val="20"/>
          <w:lang w:val="en-GB"/>
        </w:rPr>
        <w:t xml:space="preserve">In a similar manner to test the coupling efficiency, the multiplex assay using updated primers and probes was performed. First, 5 μL of sample RNA was RT-PCR amplified using a primer mix for different target regions. The forward primer for amplicon D was replaced by a potential primer candidate for all SARS-CoV-2 variants, and the working concentration for each of the primer sets </w:t>
      </w:r>
      <w:r w:rsidRPr="00AF4679">
        <w:rPr>
          <w:rFonts w:ascii="Arial" w:eastAsia="Arial" w:hAnsi="Arial" w:cs="Arial"/>
          <w:color w:val="000000"/>
          <w:sz w:val="20"/>
          <w:szCs w:val="20"/>
          <w:lang w:val="en-GB"/>
        </w:rPr>
        <w:lastRenderedPageBreak/>
        <w:t>remained the same as in the previous assay, except for amplicon D. The working concentration for primers of amplicon D was increased by 2.5× considering the RT-qPCR analysis and the number of targets to be captured in amplicon D (Supplementary dataset 4). Second, for the hybrid</w:t>
      </w:r>
      <w:r>
        <w:rPr>
          <w:rFonts w:ascii="Arial" w:eastAsia="Arial" w:hAnsi="Arial" w:cs="Arial"/>
          <w:color w:val="000000"/>
          <w:sz w:val="20"/>
          <w:szCs w:val="20"/>
          <w:lang w:val="en-GB"/>
        </w:rPr>
        <w:t>is</w:t>
      </w:r>
      <w:r w:rsidRPr="00AF4679">
        <w:rPr>
          <w:rFonts w:ascii="Arial" w:eastAsia="Arial" w:hAnsi="Arial" w:cs="Arial"/>
          <w:color w:val="000000"/>
          <w:sz w:val="20"/>
          <w:szCs w:val="20"/>
          <w:lang w:val="en-GB"/>
        </w:rPr>
        <w:t>ation reaction, new custom microdisc-conjugated probes were mixed with the existing probe panel of the IntelliPlex assay. The working concentration of the custom microdisc-conjugated probe was set to 100 microdiscs/μL. For the hybrid</w:t>
      </w:r>
      <w:r>
        <w:rPr>
          <w:rFonts w:ascii="Arial" w:eastAsia="Arial" w:hAnsi="Arial" w:cs="Arial"/>
          <w:color w:val="000000"/>
          <w:sz w:val="20"/>
          <w:szCs w:val="20"/>
          <w:lang w:val="en-GB"/>
        </w:rPr>
        <w:t>is</w:t>
      </w:r>
      <w:r w:rsidRPr="00AF4679">
        <w:rPr>
          <w:rFonts w:ascii="Arial" w:eastAsia="Arial" w:hAnsi="Arial" w:cs="Arial"/>
          <w:color w:val="000000"/>
          <w:sz w:val="20"/>
          <w:szCs w:val="20"/>
          <w:lang w:val="en-GB"/>
        </w:rPr>
        <w:t>ation assay, 0.5 μL each of the new probes was mixed with 20 μL of IntelliPlex default probe panel and then were added to a 96-well plate along with 100 μL of hybrid</w:t>
      </w:r>
      <w:r>
        <w:rPr>
          <w:rFonts w:ascii="Arial" w:eastAsia="Arial" w:hAnsi="Arial" w:cs="Arial"/>
          <w:color w:val="000000"/>
          <w:sz w:val="20"/>
          <w:szCs w:val="20"/>
          <w:lang w:val="en-GB"/>
        </w:rPr>
        <w:t>is</w:t>
      </w:r>
      <w:r w:rsidRPr="00AF4679">
        <w:rPr>
          <w:rFonts w:ascii="Arial" w:eastAsia="Arial" w:hAnsi="Arial" w:cs="Arial"/>
          <w:color w:val="000000"/>
          <w:sz w:val="20"/>
          <w:szCs w:val="20"/>
          <w:lang w:val="en-GB"/>
        </w:rPr>
        <w:t>ation buffer, and 10 μL of denatured PCR product. The IntelliPlex</w:t>
      </w:r>
      <w:r w:rsidRPr="00AF4679">
        <w:rPr>
          <w:rFonts w:ascii="Arial" w:eastAsia="Arial" w:hAnsi="Arial" w:cs="Arial"/>
          <w:color w:val="000000"/>
          <w:sz w:val="20"/>
          <w:szCs w:val="20"/>
          <w:vertAlign w:val="superscript"/>
          <w:lang w:val="en-GB"/>
        </w:rPr>
        <w:t xml:space="preserve"> </w:t>
      </w:r>
      <w:r w:rsidRPr="00AF4679">
        <w:rPr>
          <w:rFonts w:ascii="Arial" w:eastAsia="Arial" w:hAnsi="Arial" w:cs="Arial"/>
          <w:color w:val="000000"/>
          <w:sz w:val="20"/>
          <w:szCs w:val="20"/>
          <w:lang w:val="en-GB"/>
        </w:rPr>
        <w:t>1000 πCode processor was used for the automated hybrid</w:t>
      </w:r>
      <w:r>
        <w:rPr>
          <w:rFonts w:ascii="Arial" w:eastAsia="Arial" w:hAnsi="Arial" w:cs="Arial"/>
          <w:color w:val="000000"/>
          <w:sz w:val="20"/>
          <w:szCs w:val="20"/>
          <w:lang w:val="en-GB"/>
        </w:rPr>
        <w:t>is</w:t>
      </w:r>
      <w:r w:rsidRPr="00AF4679">
        <w:rPr>
          <w:rFonts w:ascii="Arial" w:eastAsia="Arial" w:hAnsi="Arial" w:cs="Arial"/>
          <w:color w:val="000000"/>
          <w:sz w:val="20"/>
          <w:szCs w:val="20"/>
          <w:lang w:val="en-GB"/>
        </w:rPr>
        <w:t xml:space="preserve">ation, washing, and SAPE labelling of the captured target probes. After fluorescent detection using the custom assay of PlexBio 100 fluorescent </w:t>
      </w:r>
      <w:r>
        <w:rPr>
          <w:rFonts w:ascii="Arial" w:eastAsia="Arial" w:hAnsi="Arial" w:cs="Arial"/>
          <w:color w:val="000000"/>
          <w:sz w:val="20"/>
          <w:szCs w:val="20"/>
          <w:lang w:val="en-GB"/>
        </w:rPr>
        <w:t>analyse</w:t>
      </w:r>
      <w:r w:rsidRPr="00AF4679">
        <w:rPr>
          <w:rFonts w:ascii="Arial" w:eastAsia="Arial" w:hAnsi="Arial" w:cs="Arial"/>
          <w:color w:val="000000"/>
          <w:sz w:val="20"/>
          <w:szCs w:val="20"/>
          <w:lang w:val="en-GB"/>
        </w:rPr>
        <w:t>r, data were retrieved against each of the unique ID πCode microdiscs.</w:t>
      </w:r>
    </w:p>
    <w:p w14:paraId="76A21DF3" w14:textId="77777777" w:rsidR="00ED2E34" w:rsidRPr="00D17625" w:rsidRDefault="00ED2E34" w:rsidP="00ED2E34">
      <w:pPr>
        <w:rPr>
          <w:lang w:val="en-GB"/>
        </w:rPr>
      </w:pPr>
    </w:p>
    <w:bookmarkEnd w:id="0"/>
    <w:p w14:paraId="1298543C" w14:textId="6FDE9188" w:rsidR="009B1687" w:rsidRPr="00AF4679" w:rsidRDefault="009B1687">
      <w:pPr>
        <w:rPr>
          <w:szCs w:val="20"/>
          <w:lang w:val="en-GB"/>
        </w:rPr>
      </w:pPr>
    </w:p>
    <w:sectPr w:rsidR="009B1687" w:rsidRPr="00AF4679" w:rsidSect="009F4C74">
      <w:footerReference w:type="default" r:id="rId9"/>
      <w:type w:val="continuous"/>
      <w:pgSz w:w="11900" w:h="16820"/>
      <w:pgMar w:top="1440" w:right="1440" w:bottom="1440" w:left="1440" w:header="720" w:footer="720" w:gutter="0"/>
      <w:lnNumType w:countBy="1" w:restart="continuous"/>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98B23" w14:textId="77777777" w:rsidR="002856FD" w:rsidRDefault="002856FD">
      <w:r>
        <w:separator/>
      </w:r>
    </w:p>
  </w:endnote>
  <w:endnote w:type="continuationSeparator" w:id="0">
    <w:p w14:paraId="50314C5E" w14:textId="77777777" w:rsidR="002856FD" w:rsidRDefault="00285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25813" w14:textId="77777777" w:rsidR="00D34E84"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2A883" w14:textId="77777777" w:rsidR="002856FD" w:rsidRDefault="002856FD">
      <w:r>
        <w:separator/>
      </w:r>
    </w:p>
  </w:footnote>
  <w:footnote w:type="continuationSeparator" w:id="0">
    <w:p w14:paraId="265F4D6E" w14:textId="77777777" w:rsidR="002856FD" w:rsidRDefault="002856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F21A3"/>
    <w:multiLevelType w:val="hybridMultilevel"/>
    <w:tmpl w:val="34202ACA"/>
    <w:lvl w:ilvl="0" w:tplc="F1A4EAA2">
      <w:numFmt w:val="bullet"/>
      <w:lvlText w:val="-"/>
      <w:lvlJc w:val="left"/>
      <w:pPr>
        <w:ind w:left="465" w:hanging="360"/>
      </w:pPr>
      <w:rPr>
        <w:rFonts w:ascii="Calibri" w:eastAsia="Calibri" w:hAnsi="Calibri" w:cs="Calibri" w:hint="default"/>
      </w:rPr>
    </w:lvl>
    <w:lvl w:ilvl="1" w:tplc="F3F45720" w:tentative="1">
      <w:start w:val="1"/>
      <w:numFmt w:val="bullet"/>
      <w:lvlText w:val="o"/>
      <w:lvlJc w:val="left"/>
      <w:pPr>
        <w:ind w:left="1185" w:hanging="360"/>
      </w:pPr>
      <w:rPr>
        <w:rFonts w:ascii="Courier New" w:hAnsi="Courier New" w:cs="Courier New" w:hint="default"/>
      </w:rPr>
    </w:lvl>
    <w:lvl w:ilvl="2" w:tplc="BFBE62C8" w:tentative="1">
      <w:start w:val="1"/>
      <w:numFmt w:val="bullet"/>
      <w:lvlText w:val=""/>
      <w:lvlJc w:val="left"/>
      <w:pPr>
        <w:ind w:left="1905" w:hanging="360"/>
      </w:pPr>
      <w:rPr>
        <w:rFonts w:ascii="Wingdings" w:hAnsi="Wingdings" w:hint="default"/>
      </w:rPr>
    </w:lvl>
    <w:lvl w:ilvl="3" w:tplc="0CD6CC8E" w:tentative="1">
      <w:start w:val="1"/>
      <w:numFmt w:val="bullet"/>
      <w:lvlText w:val=""/>
      <w:lvlJc w:val="left"/>
      <w:pPr>
        <w:ind w:left="2625" w:hanging="360"/>
      </w:pPr>
      <w:rPr>
        <w:rFonts w:ascii="Symbol" w:hAnsi="Symbol" w:hint="default"/>
      </w:rPr>
    </w:lvl>
    <w:lvl w:ilvl="4" w:tplc="EFE4C4B0" w:tentative="1">
      <w:start w:val="1"/>
      <w:numFmt w:val="bullet"/>
      <w:lvlText w:val="o"/>
      <w:lvlJc w:val="left"/>
      <w:pPr>
        <w:ind w:left="3345" w:hanging="360"/>
      </w:pPr>
      <w:rPr>
        <w:rFonts w:ascii="Courier New" w:hAnsi="Courier New" w:cs="Courier New" w:hint="default"/>
      </w:rPr>
    </w:lvl>
    <w:lvl w:ilvl="5" w:tplc="27F2D78C" w:tentative="1">
      <w:start w:val="1"/>
      <w:numFmt w:val="bullet"/>
      <w:lvlText w:val=""/>
      <w:lvlJc w:val="left"/>
      <w:pPr>
        <w:ind w:left="4065" w:hanging="360"/>
      </w:pPr>
      <w:rPr>
        <w:rFonts w:ascii="Wingdings" w:hAnsi="Wingdings" w:hint="default"/>
      </w:rPr>
    </w:lvl>
    <w:lvl w:ilvl="6" w:tplc="99A0FEFC" w:tentative="1">
      <w:start w:val="1"/>
      <w:numFmt w:val="bullet"/>
      <w:lvlText w:val=""/>
      <w:lvlJc w:val="left"/>
      <w:pPr>
        <w:ind w:left="4785" w:hanging="360"/>
      </w:pPr>
      <w:rPr>
        <w:rFonts w:ascii="Symbol" w:hAnsi="Symbol" w:hint="default"/>
      </w:rPr>
    </w:lvl>
    <w:lvl w:ilvl="7" w:tplc="D4CE76D8" w:tentative="1">
      <w:start w:val="1"/>
      <w:numFmt w:val="bullet"/>
      <w:lvlText w:val="o"/>
      <w:lvlJc w:val="left"/>
      <w:pPr>
        <w:ind w:left="5505" w:hanging="360"/>
      </w:pPr>
      <w:rPr>
        <w:rFonts w:ascii="Courier New" w:hAnsi="Courier New" w:cs="Courier New" w:hint="default"/>
      </w:rPr>
    </w:lvl>
    <w:lvl w:ilvl="8" w:tplc="A62EB49C" w:tentative="1">
      <w:start w:val="1"/>
      <w:numFmt w:val="bullet"/>
      <w:lvlText w:val=""/>
      <w:lvlJc w:val="left"/>
      <w:pPr>
        <w:ind w:left="6225" w:hanging="360"/>
      </w:pPr>
      <w:rPr>
        <w:rFonts w:ascii="Wingdings" w:hAnsi="Wingdings" w:hint="default"/>
      </w:rPr>
    </w:lvl>
  </w:abstractNum>
  <w:abstractNum w:abstractNumId="1" w15:restartNumberingAfterBreak="0">
    <w:nsid w:val="117F6C6F"/>
    <w:multiLevelType w:val="hybridMultilevel"/>
    <w:tmpl w:val="0C5C9882"/>
    <w:lvl w:ilvl="0" w:tplc="401AB6CA">
      <w:numFmt w:val="bullet"/>
      <w:lvlText w:val=""/>
      <w:lvlJc w:val="left"/>
      <w:pPr>
        <w:ind w:left="720" w:hanging="360"/>
      </w:pPr>
      <w:rPr>
        <w:rFonts w:ascii="Wingdings" w:eastAsia="Calibri" w:hAnsi="Wingdings" w:cs="Calibri" w:hint="default"/>
      </w:rPr>
    </w:lvl>
    <w:lvl w:ilvl="1" w:tplc="D7707F0A" w:tentative="1">
      <w:start w:val="1"/>
      <w:numFmt w:val="bullet"/>
      <w:lvlText w:val="o"/>
      <w:lvlJc w:val="left"/>
      <w:pPr>
        <w:ind w:left="1440" w:hanging="360"/>
      </w:pPr>
      <w:rPr>
        <w:rFonts w:ascii="Courier New" w:hAnsi="Courier New" w:cs="Courier New" w:hint="default"/>
      </w:rPr>
    </w:lvl>
    <w:lvl w:ilvl="2" w:tplc="176E5DE0" w:tentative="1">
      <w:start w:val="1"/>
      <w:numFmt w:val="bullet"/>
      <w:lvlText w:val=""/>
      <w:lvlJc w:val="left"/>
      <w:pPr>
        <w:ind w:left="2160" w:hanging="360"/>
      </w:pPr>
      <w:rPr>
        <w:rFonts w:ascii="Wingdings" w:hAnsi="Wingdings" w:hint="default"/>
      </w:rPr>
    </w:lvl>
    <w:lvl w:ilvl="3" w:tplc="D8025598" w:tentative="1">
      <w:start w:val="1"/>
      <w:numFmt w:val="bullet"/>
      <w:lvlText w:val=""/>
      <w:lvlJc w:val="left"/>
      <w:pPr>
        <w:ind w:left="2880" w:hanging="360"/>
      </w:pPr>
      <w:rPr>
        <w:rFonts w:ascii="Symbol" w:hAnsi="Symbol" w:hint="default"/>
      </w:rPr>
    </w:lvl>
    <w:lvl w:ilvl="4" w:tplc="F9C6A44C" w:tentative="1">
      <w:start w:val="1"/>
      <w:numFmt w:val="bullet"/>
      <w:lvlText w:val="o"/>
      <w:lvlJc w:val="left"/>
      <w:pPr>
        <w:ind w:left="3600" w:hanging="360"/>
      </w:pPr>
      <w:rPr>
        <w:rFonts w:ascii="Courier New" w:hAnsi="Courier New" w:cs="Courier New" w:hint="default"/>
      </w:rPr>
    </w:lvl>
    <w:lvl w:ilvl="5" w:tplc="8BD888B8" w:tentative="1">
      <w:start w:val="1"/>
      <w:numFmt w:val="bullet"/>
      <w:lvlText w:val=""/>
      <w:lvlJc w:val="left"/>
      <w:pPr>
        <w:ind w:left="4320" w:hanging="360"/>
      </w:pPr>
      <w:rPr>
        <w:rFonts w:ascii="Wingdings" w:hAnsi="Wingdings" w:hint="default"/>
      </w:rPr>
    </w:lvl>
    <w:lvl w:ilvl="6" w:tplc="A0F0BA20" w:tentative="1">
      <w:start w:val="1"/>
      <w:numFmt w:val="bullet"/>
      <w:lvlText w:val=""/>
      <w:lvlJc w:val="left"/>
      <w:pPr>
        <w:ind w:left="5040" w:hanging="360"/>
      </w:pPr>
      <w:rPr>
        <w:rFonts w:ascii="Symbol" w:hAnsi="Symbol" w:hint="default"/>
      </w:rPr>
    </w:lvl>
    <w:lvl w:ilvl="7" w:tplc="CEECA864" w:tentative="1">
      <w:start w:val="1"/>
      <w:numFmt w:val="bullet"/>
      <w:lvlText w:val="o"/>
      <w:lvlJc w:val="left"/>
      <w:pPr>
        <w:ind w:left="5760" w:hanging="360"/>
      </w:pPr>
      <w:rPr>
        <w:rFonts w:ascii="Courier New" w:hAnsi="Courier New" w:cs="Courier New" w:hint="default"/>
      </w:rPr>
    </w:lvl>
    <w:lvl w:ilvl="8" w:tplc="7ACC79BE" w:tentative="1">
      <w:start w:val="1"/>
      <w:numFmt w:val="bullet"/>
      <w:lvlText w:val=""/>
      <w:lvlJc w:val="left"/>
      <w:pPr>
        <w:ind w:left="6480" w:hanging="360"/>
      </w:pPr>
      <w:rPr>
        <w:rFonts w:ascii="Wingdings" w:hAnsi="Wingdings" w:hint="default"/>
      </w:rPr>
    </w:lvl>
  </w:abstractNum>
  <w:abstractNum w:abstractNumId="2" w15:restartNumberingAfterBreak="0">
    <w:nsid w:val="1B0E2E16"/>
    <w:multiLevelType w:val="multilevel"/>
    <w:tmpl w:val="9AF4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9E3B05"/>
    <w:multiLevelType w:val="multilevel"/>
    <w:tmpl w:val="EB1C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E27A29"/>
    <w:multiLevelType w:val="multilevel"/>
    <w:tmpl w:val="6E2C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D351F8"/>
    <w:multiLevelType w:val="multilevel"/>
    <w:tmpl w:val="A48E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79F349A"/>
    <w:multiLevelType w:val="multilevel"/>
    <w:tmpl w:val="63BA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13625E"/>
    <w:multiLevelType w:val="multilevel"/>
    <w:tmpl w:val="0F5A6342"/>
    <w:lvl w:ilvl="0">
      <w:start w:val="1"/>
      <w:numFmt w:val="decimal"/>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1763120">
    <w:abstractNumId w:val="7"/>
  </w:num>
  <w:num w:numId="2" w16cid:durableId="926234057">
    <w:abstractNumId w:val="4"/>
  </w:num>
  <w:num w:numId="3" w16cid:durableId="841049925">
    <w:abstractNumId w:val="1"/>
  </w:num>
  <w:num w:numId="4" w16cid:durableId="861162154">
    <w:abstractNumId w:val="0"/>
  </w:num>
  <w:num w:numId="5" w16cid:durableId="1925458281">
    <w:abstractNumId w:val="3"/>
  </w:num>
  <w:num w:numId="6" w16cid:durableId="1707027725">
    <w:abstractNumId w:val="2"/>
  </w:num>
  <w:num w:numId="7" w16cid:durableId="1121991934">
    <w:abstractNumId w:val="5"/>
  </w:num>
  <w:num w:numId="8" w16cid:durableId="1506092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bordersDoNotSurroundHeader/>
  <w:bordersDoNotSurroundFooter/>
  <w:trackRevisions/>
  <w:doNotTrackMoves/>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ce Advances&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evdrat5uxzethessrsvvxzbf92s0zs5vwrw&quot;&gt;IntelliPlex&lt;record-ids&gt;&lt;item&gt;3&lt;/item&gt;&lt;item&gt;4&lt;/item&gt;&lt;item&gt;5&lt;/item&gt;&lt;item&gt;6&lt;/item&gt;&lt;item&gt;7&lt;/item&gt;&lt;item&gt;9&lt;/item&gt;&lt;item&gt;10&lt;/item&gt;&lt;item&gt;11&lt;/item&gt;&lt;item&gt;12&lt;/item&gt;&lt;item&gt;13&lt;/item&gt;&lt;item&gt;14&lt;/item&gt;&lt;item&gt;15&lt;/item&gt;&lt;item&gt;16&lt;/item&gt;&lt;item&gt;18&lt;/item&gt;&lt;item&gt;19&lt;/item&gt;&lt;item&gt;20&lt;/item&gt;&lt;item&gt;21&lt;/item&gt;&lt;item&gt;48&lt;/item&gt;&lt;item&gt;49&lt;/item&gt;&lt;item&gt;50&lt;/item&gt;&lt;item&gt;51&lt;/item&gt;&lt;item&gt;52&lt;/item&gt;&lt;item&gt;53&lt;/item&gt;&lt;item&gt;57&lt;/item&gt;&lt;item&gt;58&lt;/item&gt;&lt;item&gt;59&lt;/item&gt;&lt;item&gt;60&lt;/item&gt;&lt;item&gt;62&lt;/item&gt;&lt;item&gt;64&lt;/item&gt;&lt;item&gt;65&lt;/item&gt;&lt;item&gt;67&lt;/item&gt;&lt;item&gt;68&lt;/item&gt;&lt;item&gt;171&lt;/item&gt;&lt;item&gt;177&lt;/item&gt;&lt;item&gt;178&lt;/item&gt;&lt;/record-ids&gt;&lt;/item&gt;&lt;/Libraries&gt;"/>
  </w:docVars>
  <w:rsids>
    <w:rsidRoot w:val="002A046A"/>
    <w:rsid w:val="000041E0"/>
    <w:rsid w:val="000111E8"/>
    <w:rsid w:val="0001492C"/>
    <w:rsid w:val="00020EF5"/>
    <w:rsid w:val="00021B9E"/>
    <w:rsid w:val="00024E9A"/>
    <w:rsid w:val="00027645"/>
    <w:rsid w:val="000276DE"/>
    <w:rsid w:val="000303A4"/>
    <w:rsid w:val="00030D03"/>
    <w:rsid w:val="00032389"/>
    <w:rsid w:val="00033B02"/>
    <w:rsid w:val="00036A86"/>
    <w:rsid w:val="00037B14"/>
    <w:rsid w:val="00044D92"/>
    <w:rsid w:val="000515F1"/>
    <w:rsid w:val="0006366C"/>
    <w:rsid w:val="00064047"/>
    <w:rsid w:val="00067372"/>
    <w:rsid w:val="0007764D"/>
    <w:rsid w:val="000810CF"/>
    <w:rsid w:val="0008183A"/>
    <w:rsid w:val="0008389B"/>
    <w:rsid w:val="00084CAB"/>
    <w:rsid w:val="00084E61"/>
    <w:rsid w:val="00093AF6"/>
    <w:rsid w:val="000958E6"/>
    <w:rsid w:val="0009736A"/>
    <w:rsid w:val="000A124C"/>
    <w:rsid w:val="000A238B"/>
    <w:rsid w:val="000A2E80"/>
    <w:rsid w:val="000A3A3F"/>
    <w:rsid w:val="000A690A"/>
    <w:rsid w:val="000B0144"/>
    <w:rsid w:val="000B2201"/>
    <w:rsid w:val="000C428E"/>
    <w:rsid w:val="000C50D1"/>
    <w:rsid w:val="000C5785"/>
    <w:rsid w:val="000D227E"/>
    <w:rsid w:val="000D2F8F"/>
    <w:rsid w:val="000D309D"/>
    <w:rsid w:val="000D35AB"/>
    <w:rsid w:val="000D3BEE"/>
    <w:rsid w:val="000D428B"/>
    <w:rsid w:val="000D75DB"/>
    <w:rsid w:val="000D79F0"/>
    <w:rsid w:val="000E13E3"/>
    <w:rsid w:val="000E261C"/>
    <w:rsid w:val="000E551B"/>
    <w:rsid w:val="000F1DB7"/>
    <w:rsid w:val="000F44AF"/>
    <w:rsid w:val="000F4576"/>
    <w:rsid w:val="000F53CB"/>
    <w:rsid w:val="000F7420"/>
    <w:rsid w:val="0010003D"/>
    <w:rsid w:val="001003D3"/>
    <w:rsid w:val="001003F6"/>
    <w:rsid w:val="00100F13"/>
    <w:rsid w:val="00101CAD"/>
    <w:rsid w:val="001023DE"/>
    <w:rsid w:val="0010249B"/>
    <w:rsid w:val="001044BD"/>
    <w:rsid w:val="00110609"/>
    <w:rsid w:val="00113AAD"/>
    <w:rsid w:val="00115154"/>
    <w:rsid w:val="00120CFD"/>
    <w:rsid w:val="00126946"/>
    <w:rsid w:val="00127C4D"/>
    <w:rsid w:val="00132C6C"/>
    <w:rsid w:val="00133B15"/>
    <w:rsid w:val="001346F8"/>
    <w:rsid w:val="00134D25"/>
    <w:rsid w:val="001413BF"/>
    <w:rsid w:val="00142EE6"/>
    <w:rsid w:val="00145E81"/>
    <w:rsid w:val="00146127"/>
    <w:rsid w:val="0014722D"/>
    <w:rsid w:val="00153EEF"/>
    <w:rsid w:val="001558DD"/>
    <w:rsid w:val="0015672D"/>
    <w:rsid w:val="00161C12"/>
    <w:rsid w:val="00162CB3"/>
    <w:rsid w:val="0016442E"/>
    <w:rsid w:val="0016513B"/>
    <w:rsid w:val="001662C2"/>
    <w:rsid w:val="00166D03"/>
    <w:rsid w:val="00174040"/>
    <w:rsid w:val="001833A8"/>
    <w:rsid w:val="001845C7"/>
    <w:rsid w:val="00191A80"/>
    <w:rsid w:val="00193C19"/>
    <w:rsid w:val="001943F0"/>
    <w:rsid w:val="0019705A"/>
    <w:rsid w:val="001A08C7"/>
    <w:rsid w:val="001A13D1"/>
    <w:rsid w:val="001A2A7A"/>
    <w:rsid w:val="001A6954"/>
    <w:rsid w:val="001B3294"/>
    <w:rsid w:val="001B6295"/>
    <w:rsid w:val="001B6B18"/>
    <w:rsid w:val="001C0097"/>
    <w:rsid w:val="001C1A26"/>
    <w:rsid w:val="001C1DCD"/>
    <w:rsid w:val="001C64FB"/>
    <w:rsid w:val="001D39F0"/>
    <w:rsid w:val="001D7AB0"/>
    <w:rsid w:val="001D7B51"/>
    <w:rsid w:val="001E1414"/>
    <w:rsid w:val="001E2155"/>
    <w:rsid w:val="001E506E"/>
    <w:rsid w:val="001E5C4C"/>
    <w:rsid w:val="001E74DB"/>
    <w:rsid w:val="001F67BF"/>
    <w:rsid w:val="001F6ABD"/>
    <w:rsid w:val="001F79AD"/>
    <w:rsid w:val="00201171"/>
    <w:rsid w:val="002028F4"/>
    <w:rsid w:val="002036B1"/>
    <w:rsid w:val="0020741B"/>
    <w:rsid w:val="002204D2"/>
    <w:rsid w:val="00220F02"/>
    <w:rsid w:val="002228F5"/>
    <w:rsid w:val="00223AD0"/>
    <w:rsid w:val="00224316"/>
    <w:rsid w:val="00227261"/>
    <w:rsid w:val="00230857"/>
    <w:rsid w:val="00232ED7"/>
    <w:rsid w:val="00234522"/>
    <w:rsid w:val="00235558"/>
    <w:rsid w:val="00242718"/>
    <w:rsid w:val="00247189"/>
    <w:rsid w:val="00247692"/>
    <w:rsid w:val="00247895"/>
    <w:rsid w:val="0025003F"/>
    <w:rsid w:val="0025296A"/>
    <w:rsid w:val="0025296C"/>
    <w:rsid w:val="00254828"/>
    <w:rsid w:val="0025766D"/>
    <w:rsid w:val="00260A19"/>
    <w:rsid w:val="00262CE7"/>
    <w:rsid w:val="00263634"/>
    <w:rsid w:val="00264562"/>
    <w:rsid w:val="0026780D"/>
    <w:rsid w:val="00267FCB"/>
    <w:rsid w:val="0027020A"/>
    <w:rsid w:val="00271651"/>
    <w:rsid w:val="00272898"/>
    <w:rsid w:val="00275A7B"/>
    <w:rsid w:val="00280B88"/>
    <w:rsid w:val="00280D16"/>
    <w:rsid w:val="00284456"/>
    <w:rsid w:val="002856FD"/>
    <w:rsid w:val="002874AF"/>
    <w:rsid w:val="00292A0F"/>
    <w:rsid w:val="00295339"/>
    <w:rsid w:val="002A046A"/>
    <w:rsid w:val="002A4BE6"/>
    <w:rsid w:val="002A70E3"/>
    <w:rsid w:val="002A7397"/>
    <w:rsid w:val="002B3701"/>
    <w:rsid w:val="002B3D10"/>
    <w:rsid w:val="002B56DE"/>
    <w:rsid w:val="002B7C83"/>
    <w:rsid w:val="002C0344"/>
    <w:rsid w:val="002C280B"/>
    <w:rsid w:val="002C4200"/>
    <w:rsid w:val="002C697F"/>
    <w:rsid w:val="002D0731"/>
    <w:rsid w:val="002D0D24"/>
    <w:rsid w:val="002D35CE"/>
    <w:rsid w:val="002D45B0"/>
    <w:rsid w:val="002D4B22"/>
    <w:rsid w:val="002D651F"/>
    <w:rsid w:val="002D7A7E"/>
    <w:rsid w:val="002D7F86"/>
    <w:rsid w:val="002E1AE8"/>
    <w:rsid w:val="002E54B2"/>
    <w:rsid w:val="002E6747"/>
    <w:rsid w:val="002F2E9C"/>
    <w:rsid w:val="002F6162"/>
    <w:rsid w:val="002F6C9B"/>
    <w:rsid w:val="002F7268"/>
    <w:rsid w:val="003027B8"/>
    <w:rsid w:val="00304294"/>
    <w:rsid w:val="003055B0"/>
    <w:rsid w:val="0030576D"/>
    <w:rsid w:val="00305DCC"/>
    <w:rsid w:val="00307459"/>
    <w:rsid w:val="003074F3"/>
    <w:rsid w:val="0031085A"/>
    <w:rsid w:val="003126BF"/>
    <w:rsid w:val="003132E3"/>
    <w:rsid w:val="00313451"/>
    <w:rsid w:val="00315E32"/>
    <w:rsid w:val="00321E68"/>
    <w:rsid w:val="00322636"/>
    <w:rsid w:val="0032470C"/>
    <w:rsid w:val="0033013B"/>
    <w:rsid w:val="00331855"/>
    <w:rsid w:val="00331CF8"/>
    <w:rsid w:val="0033294A"/>
    <w:rsid w:val="0033484B"/>
    <w:rsid w:val="00335202"/>
    <w:rsid w:val="003356DF"/>
    <w:rsid w:val="0034160F"/>
    <w:rsid w:val="00343E80"/>
    <w:rsid w:val="00345711"/>
    <w:rsid w:val="003467CE"/>
    <w:rsid w:val="00352D3A"/>
    <w:rsid w:val="0035327B"/>
    <w:rsid w:val="0035666B"/>
    <w:rsid w:val="00356860"/>
    <w:rsid w:val="00361231"/>
    <w:rsid w:val="0036262B"/>
    <w:rsid w:val="0037093C"/>
    <w:rsid w:val="00371541"/>
    <w:rsid w:val="00374980"/>
    <w:rsid w:val="00377D79"/>
    <w:rsid w:val="00380AA8"/>
    <w:rsid w:val="00390F58"/>
    <w:rsid w:val="00391687"/>
    <w:rsid w:val="00394088"/>
    <w:rsid w:val="003942DA"/>
    <w:rsid w:val="00394382"/>
    <w:rsid w:val="00395AA1"/>
    <w:rsid w:val="003A0299"/>
    <w:rsid w:val="003A442A"/>
    <w:rsid w:val="003B4898"/>
    <w:rsid w:val="003B4B7F"/>
    <w:rsid w:val="003B62BB"/>
    <w:rsid w:val="003C12B3"/>
    <w:rsid w:val="003C15A9"/>
    <w:rsid w:val="003C2021"/>
    <w:rsid w:val="003C21D3"/>
    <w:rsid w:val="003C3D39"/>
    <w:rsid w:val="003C5569"/>
    <w:rsid w:val="003C6136"/>
    <w:rsid w:val="003C7BE4"/>
    <w:rsid w:val="003D2E4C"/>
    <w:rsid w:val="003D634C"/>
    <w:rsid w:val="003E27AB"/>
    <w:rsid w:val="003E31D2"/>
    <w:rsid w:val="003E3C73"/>
    <w:rsid w:val="003E63A4"/>
    <w:rsid w:val="003E7387"/>
    <w:rsid w:val="003E77FE"/>
    <w:rsid w:val="003E7F23"/>
    <w:rsid w:val="003F3068"/>
    <w:rsid w:val="003F3DE4"/>
    <w:rsid w:val="003F414E"/>
    <w:rsid w:val="003F634E"/>
    <w:rsid w:val="003F6371"/>
    <w:rsid w:val="003F68EC"/>
    <w:rsid w:val="0040321E"/>
    <w:rsid w:val="00403332"/>
    <w:rsid w:val="00404602"/>
    <w:rsid w:val="00404DE6"/>
    <w:rsid w:val="00412073"/>
    <w:rsid w:val="004127B9"/>
    <w:rsid w:val="00412D37"/>
    <w:rsid w:val="00413A23"/>
    <w:rsid w:val="00413E13"/>
    <w:rsid w:val="004150CC"/>
    <w:rsid w:val="0041796C"/>
    <w:rsid w:val="004212CC"/>
    <w:rsid w:val="00422B6D"/>
    <w:rsid w:val="00423ABB"/>
    <w:rsid w:val="00425C3E"/>
    <w:rsid w:val="00426CBB"/>
    <w:rsid w:val="0042719F"/>
    <w:rsid w:val="00433AA7"/>
    <w:rsid w:val="0043512A"/>
    <w:rsid w:val="00441756"/>
    <w:rsid w:val="00442137"/>
    <w:rsid w:val="00445567"/>
    <w:rsid w:val="00446406"/>
    <w:rsid w:val="00451923"/>
    <w:rsid w:val="0045649A"/>
    <w:rsid w:val="0045662C"/>
    <w:rsid w:val="00456D11"/>
    <w:rsid w:val="00457FC0"/>
    <w:rsid w:val="00460A2F"/>
    <w:rsid w:val="004648D5"/>
    <w:rsid w:val="004648F2"/>
    <w:rsid w:val="00464A0C"/>
    <w:rsid w:val="004655D4"/>
    <w:rsid w:val="004659EE"/>
    <w:rsid w:val="00466682"/>
    <w:rsid w:val="00466EBE"/>
    <w:rsid w:val="004707D2"/>
    <w:rsid w:val="0047100A"/>
    <w:rsid w:val="00471EC6"/>
    <w:rsid w:val="00472CD8"/>
    <w:rsid w:val="004741D9"/>
    <w:rsid w:val="00474B98"/>
    <w:rsid w:val="00474E08"/>
    <w:rsid w:val="00475D04"/>
    <w:rsid w:val="0047606C"/>
    <w:rsid w:val="00476D5B"/>
    <w:rsid w:val="00481C5D"/>
    <w:rsid w:val="004826E9"/>
    <w:rsid w:val="00483271"/>
    <w:rsid w:val="0048344D"/>
    <w:rsid w:val="004836D4"/>
    <w:rsid w:val="00484DE8"/>
    <w:rsid w:val="00486094"/>
    <w:rsid w:val="00486231"/>
    <w:rsid w:val="00487775"/>
    <w:rsid w:val="004903C5"/>
    <w:rsid w:val="00495A4C"/>
    <w:rsid w:val="004965DC"/>
    <w:rsid w:val="00496734"/>
    <w:rsid w:val="004A35C5"/>
    <w:rsid w:val="004A54D4"/>
    <w:rsid w:val="004A7BC5"/>
    <w:rsid w:val="004B1B8F"/>
    <w:rsid w:val="004B39B2"/>
    <w:rsid w:val="004B52D7"/>
    <w:rsid w:val="004B62B2"/>
    <w:rsid w:val="004B7D6D"/>
    <w:rsid w:val="004C1180"/>
    <w:rsid w:val="004C2806"/>
    <w:rsid w:val="004C3EF8"/>
    <w:rsid w:val="004C51B6"/>
    <w:rsid w:val="004C5EB7"/>
    <w:rsid w:val="004C69BE"/>
    <w:rsid w:val="004D2A13"/>
    <w:rsid w:val="004D2DAF"/>
    <w:rsid w:val="004E0DBB"/>
    <w:rsid w:val="004E4ADF"/>
    <w:rsid w:val="004E5C95"/>
    <w:rsid w:val="004F04F2"/>
    <w:rsid w:val="004F14B9"/>
    <w:rsid w:val="004F4962"/>
    <w:rsid w:val="004F4EF0"/>
    <w:rsid w:val="004F657B"/>
    <w:rsid w:val="004F7652"/>
    <w:rsid w:val="00503CD6"/>
    <w:rsid w:val="00504547"/>
    <w:rsid w:val="00511B56"/>
    <w:rsid w:val="00515970"/>
    <w:rsid w:val="00522647"/>
    <w:rsid w:val="0052373E"/>
    <w:rsid w:val="00524646"/>
    <w:rsid w:val="00524AED"/>
    <w:rsid w:val="00526D04"/>
    <w:rsid w:val="00531BC5"/>
    <w:rsid w:val="00540374"/>
    <w:rsid w:val="005429A5"/>
    <w:rsid w:val="00542B31"/>
    <w:rsid w:val="0054409E"/>
    <w:rsid w:val="00544C3A"/>
    <w:rsid w:val="0054631B"/>
    <w:rsid w:val="0054640A"/>
    <w:rsid w:val="00550573"/>
    <w:rsid w:val="005513A9"/>
    <w:rsid w:val="005526E5"/>
    <w:rsid w:val="00552D0B"/>
    <w:rsid w:val="0055349D"/>
    <w:rsid w:val="0055595E"/>
    <w:rsid w:val="0055710B"/>
    <w:rsid w:val="00561F8D"/>
    <w:rsid w:val="00561FC7"/>
    <w:rsid w:val="0056263E"/>
    <w:rsid w:val="0056278A"/>
    <w:rsid w:val="00563685"/>
    <w:rsid w:val="0056379E"/>
    <w:rsid w:val="005727F6"/>
    <w:rsid w:val="00574597"/>
    <w:rsid w:val="00582BD6"/>
    <w:rsid w:val="00583ABA"/>
    <w:rsid w:val="005855BC"/>
    <w:rsid w:val="00592068"/>
    <w:rsid w:val="00592A4F"/>
    <w:rsid w:val="00592DA5"/>
    <w:rsid w:val="00593096"/>
    <w:rsid w:val="00596E3A"/>
    <w:rsid w:val="00597B8C"/>
    <w:rsid w:val="005A14C1"/>
    <w:rsid w:val="005A1530"/>
    <w:rsid w:val="005A5497"/>
    <w:rsid w:val="005A6221"/>
    <w:rsid w:val="005A661E"/>
    <w:rsid w:val="005A7243"/>
    <w:rsid w:val="005A7DB1"/>
    <w:rsid w:val="005B1E3E"/>
    <w:rsid w:val="005B1EDC"/>
    <w:rsid w:val="005B2AD7"/>
    <w:rsid w:val="005B431B"/>
    <w:rsid w:val="005B6985"/>
    <w:rsid w:val="005B6CD2"/>
    <w:rsid w:val="005C3306"/>
    <w:rsid w:val="005C6989"/>
    <w:rsid w:val="005C7F7D"/>
    <w:rsid w:val="005D017E"/>
    <w:rsid w:val="005D1624"/>
    <w:rsid w:val="005D243C"/>
    <w:rsid w:val="005D270E"/>
    <w:rsid w:val="005D612E"/>
    <w:rsid w:val="005D75CD"/>
    <w:rsid w:val="005E0DEA"/>
    <w:rsid w:val="005E0F7A"/>
    <w:rsid w:val="005E2C14"/>
    <w:rsid w:val="005E3FCC"/>
    <w:rsid w:val="005E5111"/>
    <w:rsid w:val="005E6DA8"/>
    <w:rsid w:val="005E7DC4"/>
    <w:rsid w:val="005F0A34"/>
    <w:rsid w:val="005F4FB6"/>
    <w:rsid w:val="005F6E9F"/>
    <w:rsid w:val="005F7A8D"/>
    <w:rsid w:val="006009BA"/>
    <w:rsid w:val="006027E7"/>
    <w:rsid w:val="0060481A"/>
    <w:rsid w:val="0061029A"/>
    <w:rsid w:val="00610AF4"/>
    <w:rsid w:val="00612FD5"/>
    <w:rsid w:val="0061305B"/>
    <w:rsid w:val="0061569B"/>
    <w:rsid w:val="006169F1"/>
    <w:rsid w:val="00625D1A"/>
    <w:rsid w:val="006271DA"/>
    <w:rsid w:val="0062759F"/>
    <w:rsid w:val="00627F0D"/>
    <w:rsid w:val="00631364"/>
    <w:rsid w:val="00631BC5"/>
    <w:rsid w:val="00634D26"/>
    <w:rsid w:val="00634FFD"/>
    <w:rsid w:val="00635A33"/>
    <w:rsid w:val="0064582E"/>
    <w:rsid w:val="006476CD"/>
    <w:rsid w:val="0064778C"/>
    <w:rsid w:val="00647918"/>
    <w:rsid w:val="00651768"/>
    <w:rsid w:val="0065595E"/>
    <w:rsid w:val="00655D14"/>
    <w:rsid w:val="006566E2"/>
    <w:rsid w:val="006567D4"/>
    <w:rsid w:val="006634F3"/>
    <w:rsid w:val="0067391B"/>
    <w:rsid w:val="00673A77"/>
    <w:rsid w:val="00673CEE"/>
    <w:rsid w:val="006744B5"/>
    <w:rsid w:val="006762F5"/>
    <w:rsid w:val="006773E7"/>
    <w:rsid w:val="0068634E"/>
    <w:rsid w:val="006950DE"/>
    <w:rsid w:val="00696338"/>
    <w:rsid w:val="00696530"/>
    <w:rsid w:val="006A0630"/>
    <w:rsid w:val="006A0B05"/>
    <w:rsid w:val="006A22A6"/>
    <w:rsid w:val="006A4CE8"/>
    <w:rsid w:val="006A6CFA"/>
    <w:rsid w:val="006B0A99"/>
    <w:rsid w:val="006B7FA3"/>
    <w:rsid w:val="006C3E71"/>
    <w:rsid w:val="006C4643"/>
    <w:rsid w:val="006C6B5B"/>
    <w:rsid w:val="006C742C"/>
    <w:rsid w:val="006C7D24"/>
    <w:rsid w:val="006D00C3"/>
    <w:rsid w:val="006D498C"/>
    <w:rsid w:val="006E00F0"/>
    <w:rsid w:val="006E13F2"/>
    <w:rsid w:val="006E252C"/>
    <w:rsid w:val="006F1B7C"/>
    <w:rsid w:val="006F1F9B"/>
    <w:rsid w:val="006F23E4"/>
    <w:rsid w:val="006F53A3"/>
    <w:rsid w:val="006F7A60"/>
    <w:rsid w:val="006F7E87"/>
    <w:rsid w:val="00700B99"/>
    <w:rsid w:val="00700DC4"/>
    <w:rsid w:val="00706123"/>
    <w:rsid w:val="00706834"/>
    <w:rsid w:val="00707588"/>
    <w:rsid w:val="007119D3"/>
    <w:rsid w:val="00711FCE"/>
    <w:rsid w:val="00715361"/>
    <w:rsid w:val="0071538E"/>
    <w:rsid w:val="00716BA2"/>
    <w:rsid w:val="00720960"/>
    <w:rsid w:val="00722168"/>
    <w:rsid w:val="00722269"/>
    <w:rsid w:val="007225F5"/>
    <w:rsid w:val="00722E41"/>
    <w:rsid w:val="00727550"/>
    <w:rsid w:val="00731324"/>
    <w:rsid w:val="007358BD"/>
    <w:rsid w:val="00740D76"/>
    <w:rsid w:val="007416A5"/>
    <w:rsid w:val="00741B5B"/>
    <w:rsid w:val="0074607D"/>
    <w:rsid w:val="007464A0"/>
    <w:rsid w:val="00746A78"/>
    <w:rsid w:val="0074745F"/>
    <w:rsid w:val="00750B5E"/>
    <w:rsid w:val="00756B97"/>
    <w:rsid w:val="007633DE"/>
    <w:rsid w:val="00764153"/>
    <w:rsid w:val="00764ADD"/>
    <w:rsid w:val="007656E7"/>
    <w:rsid w:val="007658C9"/>
    <w:rsid w:val="00765A45"/>
    <w:rsid w:val="00767024"/>
    <w:rsid w:val="00773BA1"/>
    <w:rsid w:val="00774C49"/>
    <w:rsid w:val="00774DF8"/>
    <w:rsid w:val="00776ABE"/>
    <w:rsid w:val="0078394C"/>
    <w:rsid w:val="00783B4E"/>
    <w:rsid w:val="00783C3A"/>
    <w:rsid w:val="007855C6"/>
    <w:rsid w:val="007869AF"/>
    <w:rsid w:val="00787675"/>
    <w:rsid w:val="007974DE"/>
    <w:rsid w:val="00797F1E"/>
    <w:rsid w:val="007A2C90"/>
    <w:rsid w:val="007B1CAB"/>
    <w:rsid w:val="007C5925"/>
    <w:rsid w:val="007C70A9"/>
    <w:rsid w:val="007D1ED2"/>
    <w:rsid w:val="007D45E4"/>
    <w:rsid w:val="007D7584"/>
    <w:rsid w:val="007F13D0"/>
    <w:rsid w:val="007F2932"/>
    <w:rsid w:val="007F342D"/>
    <w:rsid w:val="007F6048"/>
    <w:rsid w:val="007F7993"/>
    <w:rsid w:val="00801417"/>
    <w:rsid w:val="008016E2"/>
    <w:rsid w:val="00810F30"/>
    <w:rsid w:val="0081149C"/>
    <w:rsid w:val="00817839"/>
    <w:rsid w:val="008209CA"/>
    <w:rsid w:val="00822CE3"/>
    <w:rsid w:val="00826C41"/>
    <w:rsid w:val="008271EF"/>
    <w:rsid w:val="0083450B"/>
    <w:rsid w:val="0083537C"/>
    <w:rsid w:val="008370B4"/>
    <w:rsid w:val="00837842"/>
    <w:rsid w:val="00840239"/>
    <w:rsid w:val="0084076F"/>
    <w:rsid w:val="00844AB7"/>
    <w:rsid w:val="00844FCA"/>
    <w:rsid w:val="00846F86"/>
    <w:rsid w:val="00850A01"/>
    <w:rsid w:val="00851270"/>
    <w:rsid w:val="0085390C"/>
    <w:rsid w:val="0085573A"/>
    <w:rsid w:val="00856323"/>
    <w:rsid w:val="00857452"/>
    <w:rsid w:val="008615FE"/>
    <w:rsid w:val="00861B58"/>
    <w:rsid w:val="00863D09"/>
    <w:rsid w:val="008657D5"/>
    <w:rsid w:val="008721BD"/>
    <w:rsid w:val="008722EB"/>
    <w:rsid w:val="00872678"/>
    <w:rsid w:val="008727FE"/>
    <w:rsid w:val="008733E2"/>
    <w:rsid w:val="00875B61"/>
    <w:rsid w:val="008761C2"/>
    <w:rsid w:val="008772BB"/>
    <w:rsid w:val="0087751B"/>
    <w:rsid w:val="00877527"/>
    <w:rsid w:val="00881B97"/>
    <w:rsid w:val="00882E3C"/>
    <w:rsid w:val="0089029B"/>
    <w:rsid w:val="0089146E"/>
    <w:rsid w:val="00891886"/>
    <w:rsid w:val="00896393"/>
    <w:rsid w:val="00896795"/>
    <w:rsid w:val="008A2893"/>
    <w:rsid w:val="008A2F67"/>
    <w:rsid w:val="008A308A"/>
    <w:rsid w:val="008A544A"/>
    <w:rsid w:val="008A68A8"/>
    <w:rsid w:val="008A7465"/>
    <w:rsid w:val="008B239F"/>
    <w:rsid w:val="008B3271"/>
    <w:rsid w:val="008B70C3"/>
    <w:rsid w:val="008B7D77"/>
    <w:rsid w:val="008C081A"/>
    <w:rsid w:val="008C10E0"/>
    <w:rsid w:val="008C1F8E"/>
    <w:rsid w:val="008C2E19"/>
    <w:rsid w:val="008C429B"/>
    <w:rsid w:val="008C63D4"/>
    <w:rsid w:val="008C68A3"/>
    <w:rsid w:val="008D0562"/>
    <w:rsid w:val="008D06E8"/>
    <w:rsid w:val="008D1541"/>
    <w:rsid w:val="008D15BD"/>
    <w:rsid w:val="008D29D8"/>
    <w:rsid w:val="008D2AD6"/>
    <w:rsid w:val="008D3A89"/>
    <w:rsid w:val="008D3FB5"/>
    <w:rsid w:val="008D59E7"/>
    <w:rsid w:val="008D78E6"/>
    <w:rsid w:val="008E2E4A"/>
    <w:rsid w:val="008F0CDE"/>
    <w:rsid w:val="008F1E76"/>
    <w:rsid w:val="008F2878"/>
    <w:rsid w:val="008F2C9F"/>
    <w:rsid w:val="0090241E"/>
    <w:rsid w:val="00902BC3"/>
    <w:rsid w:val="0090442E"/>
    <w:rsid w:val="009071B7"/>
    <w:rsid w:val="00907F7D"/>
    <w:rsid w:val="00911D89"/>
    <w:rsid w:val="00913A72"/>
    <w:rsid w:val="0091444E"/>
    <w:rsid w:val="00916278"/>
    <w:rsid w:val="0091669F"/>
    <w:rsid w:val="00916746"/>
    <w:rsid w:val="0092118D"/>
    <w:rsid w:val="00922D19"/>
    <w:rsid w:val="009231D8"/>
    <w:rsid w:val="00927E59"/>
    <w:rsid w:val="00932C4F"/>
    <w:rsid w:val="00937D4F"/>
    <w:rsid w:val="00937FD0"/>
    <w:rsid w:val="009401BF"/>
    <w:rsid w:val="009416E3"/>
    <w:rsid w:val="00941D6F"/>
    <w:rsid w:val="00943C90"/>
    <w:rsid w:val="009443B9"/>
    <w:rsid w:val="0094648C"/>
    <w:rsid w:val="00946A64"/>
    <w:rsid w:val="00947768"/>
    <w:rsid w:val="0095090D"/>
    <w:rsid w:val="00951A8B"/>
    <w:rsid w:val="00953C1A"/>
    <w:rsid w:val="00963D14"/>
    <w:rsid w:val="00964025"/>
    <w:rsid w:val="009660B9"/>
    <w:rsid w:val="00971880"/>
    <w:rsid w:val="0097311A"/>
    <w:rsid w:val="00977F5D"/>
    <w:rsid w:val="009804B9"/>
    <w:rsid w:val="00982FFC"/>
    <w:rsid w:val="00983B9D"/>
    <w:rsid w:val="00984571"/>
    <w:rsid w:val="009847E5"/>
    <w:rsid w:val="00985163"/>
    <w:rsid w:val="00991408"/>
    <w:rsid w:val="00996942"/>
    <w:rsid w:val="00996D45"/>
    <w:rsid w:val="00996F4B"/>
    <w:rsid w:val="0099799D"/>
    <w:rsid w:val="00997C6A"/>
    <w:rsid w:val="009A13A1"/>
    <w:rsid w:val="009A369B"/>
    <w:rsid w:val="009A5240"/>
    <w:rsid w:val="009A5988"/>
    <w:rsid w:val="009A764A"/>
    <w:rsid w:val="009B0AD9"/>
    <w:rsid w:val="009B0D85"/>
    <w:rsid w:val="009B1687"/>
    <w:rsid w:val="009B2D17"/>
    <w:rsid w:val="009B3A39"/>
    <w:rsid w:val="009B4FE0"/>
    <w:rsid w:val="009B51AF"/>
    <w:rsid w:val="009C03D9"/>
    <w:rsid w:val="009C4287"/>
    <w:rsid w:val="009C4642"/>
    <w:rsid w:val="009C5F6A"/>
    <w:rsid w:val="009D1C51"/>
    <w:rsid w:val="009D4420"/>
    <w:rsid w:val="009D5ABE"/>
    <w:rsid w:val="009D693A"/>
    <w:rsid w:val="009D786C"/>
    <w:rsid w:val="009E28D2"/>
    <w:rsid w:val="009E2AE8"/>
    <w:rsid w:val="009E3679"/>
    <w:rsid w:val="009E373E"/>
    <w:rsid w:val="009E5BFB"/>
    <w:rsid w:val="009F2061"/>
    <w:rsid w:val="009F3016"/>
    <w:rsid w:val="009F3A95"/>
    <w:rsid w:val="009F41E8"/>
    <w:rsid w:val="009F48C1"/>
    <w:rsid w:val="009F499D"/>
    <w:rsid w:val="009F4C74"/>
    <w:rsid w:val="009F5448"/>
    <w:rsid w:val="00A03CF4"/>
    <w:rsid w:val="00A07A70"/>
    <w:rsid w:val="00A10B3D"/>
    <w:rsid w:val="00A123EB"/>
    <w:rsid w:val="00A127CE"/>
    <w:rsid w:val="00A17550"/>
    <w:rsid w:val="00A21535"/>
    <w:rsid w:val="00A24F55"/>
    <w:rsid w:val="00A3391B"/>
    <w:rsid w:val="00A3606B"/>
    <w:rsid w:val="00A3675A"/>
    <w:rsid w:val="00A37A3F"/>
    <w:rsid w:val="00A40E39"/>
    <w:rsid w:val="00A417FE"/>
    <w:rsid w:val="00A4393A"/>
    <w:rsid w:val="00A45A8D"/>
    <w:rsid w:val="00A45DC7"/>
    <w:rsid w:val="00A50E5C"/>
    <w:rsid w:val="00A5323E"/>
    <w:rsid w:val="00A60C4F"/>
    <w:rsid w:val="00A63FF4"/>
    <w:rsid w:val="00A65020"/>
    <w:rsid w:val="00A65DB4"/>
    <w:rsid w:val="00A67D51"/>
    <w:rsid w:val="00A744EF"/>
    <w:rsid w:val="00A74E57"/>
    <w:rsid w:val="00A7671B"/>
    <w:rsid w:val="00A81849"/>
    <w:rsid w:val="00A819E3"/>
    <w:rsid w:val="00A85E96"/>
    <w:rsid w:val="00A863E3"/>
    <w:rsid w:val="00A87A75"/>
    <w:rsid w:val="00A91F11"/>
    <w:rsid w:val="00A97A5E"/>
    <w:rsid w:val="00AA09E4"/>
    <w:rsid w:val="00AA1C14"/>
    <w:rsid w:val="00AA2E44"/>
    <w:rsid w:val="00AA4797"/>
    <w:rsid w:val="00AA56BE"/>
    <w:rsid w:val="00AA5F35"/>
    <w:rsid w:val="00AA6767"/>
    <w:rsid w:val="00AB273F"/>
    <w:rsid w:val="00AB77A6"/>
    <w:rsid w:val="00AB7852"/>
    <w:rsid w:val="00AC03E5"/>
    <w:rsid w:val="00AC075A"/>
    <w:rsid w:val="00AC1A05"/>
    <w:rsid w:val="00AC2F1D"/>
    <w:rsid w:val="00AC3755"/>
    <w:rsid w:val="00AC4816"/>
    <w:rsid w:val="00AC5C87"/>
    <w:rsid w:val="00AC6CC4"/>
    <w:rsid w:val="00AD0644"/>
    <w:rsid w:val="00AD2B25"/>
    <w:rsid w:val="00AD2D45"/>
    <w:rsid w:val="00AD402B"/>
    <w:rsid w:val="00AD7DCC"/>
    <w:rsid w:val="00AE360A"/>
    <w:rsid w:val="00AE513F"/>
    <w:rsid w:val="00AE56CE"/>
    <w:rsid w:val="00AE58AE"/>
    <w:rsid w:val="00AE6E01"/>
    <w:rsid w:val="00AE73C3"/>
    <w:rsid w:val="00AF4679"/>
    <w:rsid w:val="00AF6361"/>
    <w:rsid w:val="00AF7933"/>
    <w:rsid w:val="00B02119"/>
    <w:rsid w:val="00B06076"/>
    <w:rsid w:val="00B06A18"/>
    <w:rsid w:val="00B11E26"/>
    <w:rsid w:val="00B13CD4"/>
    <w:rsid w:val="00B15C35"/>
    <w:rsid w:val="00B15FFE"/>
    <w:rsid w:val="00B166A6"/>
    <w:rsid w:val="00B179DB"/>
    <w:rsid w:val="00B17BEE"/>
    <w:rsid w:val="00B20006"/>
    <w:rsid w:val="00B22DD2"/>
    <w:rsid w:val="00B231F0"/>
    <w:rsid w:val="00B23FB7"/>
    <w:rsid w:val="00B24593"/>
    <w:rsid w:val="00B3208F"/>
    <w:rsid w:val="00B35494"/>
    <w:rsid w:val="00B35A55"/>
    <w:rsid w:val="00B375F7"/>
    <w:rsid w:val="00B41CB9"/>
    <w:rsid w:val="00B509B5"/>
    <w:rsid w:val="00B5275C"/>
    <w:rsid w:val="00B544EE"/>
    <w:rsid w:val="00B552AF"/>
    <w:rsid w:val="00B55BDE"/>
    <w:rsid w:val="00B55FB0"/>
    <w:rsid w:val="00B560FF"/>
    <w:rsid w:val="00B57AA2"/>
    <w:rsid w:val="00B57D3B"/>
    <w:rsid w:val="00B61F8C"/>
    <w:rsid w:val="00B64B4C"/>
    <w:rsid w:val="00B65CF2"/>
    <w:rsid w:val="00B66BAE"/>
    <w:rsid w:val="00B70606"/>
    <w:rsid w:val="00B707A9"/>
    <w:rsid w:val="00B730DD"/>
    <w:rsid w:val="00B7344E"/>
    <w:rsid w:val="00B7504B"/>
    <w:rsid w:val="00B753A6"/>
    <w:rsid w:val="00B83E46"/>
    <w:rsid w:val="00B85001"/>
    <w:rsid w:val="00B856D4"/>
    <w:rsid w:val="00B857DA"/>
    <w:rsid w:val="00B85F7C"/>
    <w:rsid w:val="00B90A1F"/>
    <w:rsid w:val="00B913F9"/>
    <w:rsid w:val="00B92135"/>
    <w:rsid w:val="00B93B59"/>
    <w:rsid w:val="00B94455"/>
    <w:rsid w:val="00B94A9D"/>
    <w:rsid w:val="00B9511B"/>
    <w:rsid w:val="00B97DB1"/>
    <w:rsid w:val="00BA0E61"/>
    <w:rsid w:val="00BA1AEA"/>
    <w:rsid w:val="00BA47FE"/>
    <w:rsid w:val="00BA614B"/>
    <w:rsid w:val="00BA7981"/>
    <w:rsid w:val="00BA7EA5"/>
    <w:rsid w:val="00BB14DE"/>
    <w:rsid w:val="00BB2137"/>
    <w:rsid w:val="00BB2674"/>
    <w:rsid w:val="00BB2E1D"/>
    <w:rsid w:val="00BB3242"/>
    <w:rsid w:val="00BB4E53"/>
    <w:rsid w:val="00BB55AD"/>
    <w:rsid w:val="00BB605A"/>
    <w:rsid w:val="00BB63DB"/>
    <w:rsid w:val="00BB6799"/>
    <w:rsid w:val="00BC391A"/>
    <w:rsid w:val="00BC3ACC"/>
    <w:rsid w:val="00BC6194"/>
    <w:rsid w:val="00BD4F48"/>
    <w:rsid w:val="00BD66B9"/>
    <w:rsid w:val="00BD6E05"/>
    <w:rsid w:val="00BD7651"/>
    <w:rsid w:val="00BE1386"/>
    <w:rsid w:val="00BE22CB"/>
    <w:rsid w:val="00BE2FC3"/>
    <w:rsid w:val="00BE74FE"/>
    <w:rsid w:val="00BE7AA0"/>
    <w:rsid w:val="00BF1899"/>
    <w:rsid w:val="00BF2A42"/>
    <w:rsid w:val="00BF65E6"/>
    <w:rsid w:val="00C027EB"/>
    <w:rsid w:val="00C04187"/>
    <w:rsid w:val="00C07D4C"/>
    <w:rsid w:val="00C104A1"/>
    <w:rsid w:val="00C10AA6"/>
    <w:rsid w:val="00C14C52"/>
    <w:rsid w:val="00C164C5"/>
    <w:rsid w:val="00C24286"/>
    <w:rsid w:val="00C245E4"/>
    <w:rsid w:val="00C2613D"/>
    <w:rsid w:val="00C26E01"/>
    <w:rsid w:val="00C2767D"/>
    <w:rsid w:val="00C2773C"/>
    <w:rsid w:val="00C2792E"/>
    <w:rsid w:val="00C30CBC"/>
    <w:rsid w:val="00C32338"/>
    <w:rsid w:val="00C329C5"/>
    <w:rsid w:val="00C34D85"/>
    <w:rsid w:val="00C36600"/>
    <w:rsid w:val="00C374D2"/>
    <w:rsid w:val="00C37D08"/>
    <w:rsid w:val="00C41CFB"/>
    <w:rsid w:val="00C4448F"/>
    <w:rsid w:val="00C45F0C"/>
    <w:rsid w:val="00C477DA"/>
    <w:rsid w:val="00C509B0"/>
    <w:rsid w:val="00C54B83"/>
    <w:rsid w:val="00C56842"/>
    <w:rsid w:val="00C5706C"/>
    <w:rsid w:val="00C5735F"/>
    <w:rsid w:val="00C5744D"/>
    <w:rsid w:val="00C60FFC"/>
    <w:rsid w:val="00C6477F"/>
    <w:rsid w:val="00C77F59"/>
    <w:rsid w:val="00C81FFE"/>
    <w:rsid w:val="00C83E3D"/>
    <w:rsid w:val="00C85CD0"/>
    <w:rsid w:val="00C86EB2"/>
    <w:rsid w:val="00C90715"/>
    <w:rsid w:val="00C90BFB"/>
    <w:rsid w:val="00C9184B"/>
    <w:rsid w:val="00C93718"/>
    <w:rsid w:val="00C9429F"/>
    <w:rsid w:val="00C975A9"/>
    <w:rsid w:val="00C97817"/>
    <w:rsid w:val="00CA5C89"/>
    <w:rsid w:val="00CA7D2E"/>
    <w:rsid w:val="00CB053D"/>
    <w:rsid w:val="00CB2016"/>
    <w:rsid w:val="00CB29EA"/>
    <w:rsid w:val="00CB3204"/>
    <w:rsid w:val="00CB326C"/>
    <w:rsid w:val="00CB7FC4"/>
    <w:rsid w:val="00CC407A"/>
    <w:rsid w:val="00CC790F"/>
    <w:rsid w:val="00CD4FDB"/>
    <w:rsid w:val="00CE0A64"/>
    <w:rsid w:val="00CE1EBC"/>
    <w:rsid w:val="00CE2576"/>
    <w:rsid w:val="00CF0FE2"/>
    <w:rsid w:val="00CF16FA"/>
    <w:rsid w:val="00CF3525"/>
    <w:rsid w:val="00CF57E6"/>
    <w:rsid w:val="00CF5BE4"/>
    <w:rsid w:val="00CF71AD"/>
    <w:rsid w:val="00CF71DD"/>
    <w:rsid w:val="00D04401"/>
    <w:rsid w:val="00D1141F"/>
    <w:rsid w:val="00D131AD"/>
    <w:rsid w:val="00D15087"/>
    <w:rsid w:val="00D16762"/>
    <w:rsid w:val="00D176EF"/>
    <w:rsid w:val="00D205FE"/>
    <w:rsid w:val="00D220F9"/>
    <w:rsid w:val="00D23979"/>
    <w:rsid w:val="00D27DF8"/>
    <w:rsid w:val="00D30D08"/>
    <w:rsid w:val="00D325CE"/>
    <w:rsid w:val="00D333BE"/>
    <w:rsid w:val="00D34604"/>
    <w:rsid w:val="00D34E84"/>
    <w:rsid w:val="00D36B05"/>
    <w:rsid w:val="00D36C7A"/>
    <w:rsid w:val="00D471FC"/>
    <w:rsid w:val="00D47423"/>
    <w:rsid w:val="00D47A64"/>
    <w:rsid w:val="00D47CEF"/>
    <w:rsid w:val="00D51729"/>
    <w:rsid w:val="00D53BE1"/>
    <w:rsid w:val="00D55B95"/>
    <w:rsid w:val="00D56543"/>
    <w:rsid w:val="00D61253"/>
    <w:rsid w:val="00D6319E"/>
    <w:rsid w:val="00D63FA7"/>
    <w:rsid w:val="00D7022D"/>
    <w:rsid w:val="00D73961"/>
    <w:rsid w:val="00D74115"/>
    <w:rsid w:val="00D74ADE"/>
    <w:rsid w:val="00D75FDA"/>
    <w:rsid w:val="00D76193"/>
    <w:rsid w:val="00D77B3C"/>
    <w:rsid w:val="00D80494"/>
    <w:rsid w:val="00D82404"/>
    <w:rsid w:val="00D82C1E"/>
    <w:rsid w:val="00D9120C"/>
    <w:rsid w:val="00D93E88"/>
    <w:rsid w:val="00D9413D"/>
    <w:rsid w:val="00D97663"/>
    <w:rsid w:val="00DA0362"/>
    <w:rsid w:val="00DA50D7"/>
    <w:rsid w:val="00DB050B"/>
    <w:rsid w:val="00DB12B9"/>
    <w:rsid w:val="00DB1BC6"/>
    <w:rsid w:val="00DC1791"/>
    <w:rsid w:val="00DC35D1"/>
    <w:rsid w:val="00DD090F"/>
    <w:rsid w:val="00DD352E"/>
    <w:rsid w:val="00DD5650"/>
    <w:rsid w:val="00DD73A2"/>
    <w:rsid w:val="00DE1B98"/>
    <w:rsid w:val="00DE540F"/>
    <w:rsid w:val="00DF13C6"/>
    <w:rsid w:val="00DF2058"/>
    <w:rsid w:val="00DF33E5"/>
    <w:rsid w:val="00DF55CA"/>
    <w:rsid w:val="00DF6362"/>
    <w:rsid w:val="00E0111F"/>
    <w:rsid w:val="00E014DB"/>
    <w:rsid w:val="00E03FA7"/>
    <w:rsid w:val="00E05028"/>
    <w:rsid w:val="00E05363"/>
    <w:rsid w:val="00E062E7"/>
    <w:rsid w:val="00E15411"/>
    <w:rsid w:val="00E206C0"/>
    <w:rsid w:val="00E2342A"/>
    <w:rsid w:val="00E24FE1"/>
    <w:rsid w:val="00E25CB9"/>
    <w:rsid w:val="00E33D85"/>
    <w:rsid w:val="00E35A90"/>
    <w:rsid w:val="00E35C20"/>
    <w:rsid w:val="00E37A8B"/>
    <w:rsid w:val="00E40F7A"/>
    <w:rsid w:val="00E447CE"/>
    <w:rsid w:val="00E469BB"/>
    <w:rsid w:val="00E47976"/>
    <w:rsid w:val="00E50C0F"/>
    <w:rsid w:val="00E5183A"/>
    <w:rsid w:val="00E52860"/>
    <w:rsid w:val="00E53116"/>
    <w:rsid w:val="00E54667"/>
    <w:rsid w:val="00E6376E"/>
    <w:rsid w:val="00E644B6"/>
    <w:rsid w:val="00E64B32"/>
    <w:rsid w:val="00E6529B"/>
    <w:rsid w:val="00E661E8"/>
    <w:rsid w:val="00E6665D"/>
    <w:rsid w:val="00E66BA1"/>
    <w:rsid w:val="00E67023"/>
    <w:rsid w:val="00E67451"/>
    <w:rsid w:val="00E71B29"/>
    <w:rsid w:val="00E72C26"/>
    <w:rsid w:val="00E765F5"/>
    <w:rsid w:val="00E76827"/>
    <w:rsid w:val="00E76ED1"/>
    <w:rsid w:val="00E77ECD"/>
    <w:rsid w:val="00E80BF0"/>
    <w:rsid w:val="00E84247"/>
    <w:rsid w:val="00E87980"/>
    <w:rsid w:val="00E93174"/>
    <w:rsid w:val="00E9394C"/>
    <w:rsid w:val="00E950B0"/>
    <w:rsid w:val="00EA16CC"/>
    <w:rsid w:val="00EA2465"/>
    <w:rsid w:val="00EA3299"/>
    <w:rsid w:val="00EA3339"/>
    <w:rsid w:val="00EA53AE"/>
    <w:rsid w:val="00EA5A58"/>
    <w:rsid w:val="00EA6EC1"/>
    <w:rsid w:val="00EB1299"/>
    <w:rsid w:val="00EB3E18"/>
    <w:rsid w:val="00EB6052"/>
    <w:rsid w:val="00EB6839"/>
    <w:rsid w:val="00EC03DD"/>
    <w:rsid w:val="00EC273F"/>
    <w:rsid w:val="00EC47D1"/>
    <w:rsid w:val="00ED2E34"/>
    <w:rsid w:val="00ED34D1"/>
    <w:rsid w:val="00ED4CB5"/>
    <w:rsid w:val="00ED4D20"/>
    <w:rsid w:val="00ED5435"/>
    <w:rsid w:val="00EE1F28"/>
    <w:rsid w:val="00EE45BF"/>
    <w:rsid w:val="00EE7B19"/>
    <w:rsid w:val="00EF06AA"/>
    <w:rsid w:val="00EF17AC"/>
    <w:rsid w:val="00F0096F"/>
    <w:rsid w:val="00F00A1C"/>
    <w:rsid w:val="00F01D14"/>
    <w:rsid w:val="00F042CD"/>
    <w:rsid w:val="00F06DB1"/>
    <w:rsid w:val="00F10435"/>
    <w:rsid w:val="00F12381"/>
    <w:rsid w:val="00F134E1"/>
    <w:rsid w:val="00F14D03"/>
    <w:rsid w:val="00F15E34"/>
    <w:rsid w:val="00F1756A"/>
    <w:rsid w:val="00F17867"/>
    <w:rsid w:val="00F23499"/>
    <w:rsid w:val="00F252C4"/>
    <w:rsid w:val="00F25590"/>
    <w:rsid w:val="00F30D4C"/>
    <w:rsid w:val="00F32360"/>
    <w:rsid w:val="00F336B5"/>
    <w:rsid w:val="00F3377D"/>
    <w:rsid w:val="00F33FCD"/>
    <w:rsid w:val="00F35179"/>
    <w:rsid w:val="00F35D96"/>
    <w:rsid w:val="00F37407"/>
    <w:rsid w:val="00F3788A"/>
    <w:rsid w:val="00F40053"/>
    <w:rsid w:val="00F42ADD"/>
    <w:rsid w:val="00F44079"/>
    <w:rsid w:val="00F45D90"/>
    <w:rsid w:val="00F51F65"/>
    <w:rsid w:val="00F53623"/>
    <w:rsid w:val="00F5404F"/>
    <w:rsid w:val="00F54641"/>
    <w:rsid w:val="00F61AE7"/>
    <w:rsid w:val="00F639B1"/>
    <w:rsid w:val="00F63E82"/>
    <w:rsid w:val="00F663F2"/>
    <w:rsid w:val="00F70C96"/>
    <w:rsid w:val="00F71F54"/>
    <w:rsid w:val="00F73E14"/>
    <w:rsid w:val="00F75054"/>
    <w:rsid w:val="00F77E72"/>
    <w:rsid w:val="00F802DB"/>
    <w:rsid w:val="00F82543"/>
    <w:rsid w:val="00F82C22"/>
    <w:rsid w:val="00F8486B"/>
    <w:rsid w:val="00F84BE5"/>
    <w:rsid w:val="00F8575A"/>
    <w:rsid w:val="00F91811"/>
    <w:rsid w:val="00F97295"/>
    <w:rsid w:val="00FA042A"/>
    <w:rsid w:val="00FA1066"/>
    <w:rsid w:val="00FA3716"/>
    <w:rsid w:val="00FA4815"/>
    <w:rsid w:val="00FA4FEF"/>
    <w:rsid w:val="00FA6458"/>
    <w:rsid w:val="00FA66D8"/>
    <w:rsid w:val="00FA7643"/>
    <w:rsid w:val="00FA7FE8"/>
    <w:rsid w:val="00FB1244"/>
    <w:rsid w:val="00FB141D"/>
    <w:rsid w:val="00FB19BC"/>
    <w:rsid w:val="00FB29A1"/>
    <w:rsid w:val="00FB2D88"/>
    <w:rsid w:val="00FB3E54"/>
    <w:rsid w:val="00FB4C03"/>
    <w:rsid w:val="00FB5761"/>
    <w:rsid w:val="00FB5DAE"/>
    <w:rsid w:val="00FB6A57"/>
    <w:rsid w:val="00FB741D"/>
    <w:rsid w:val="00FC07E7"/>
    <w:rsid w:val="00FC2100"/>
    <w:rsid w:val="00FC2550"/>
    <w:rsid w:val="00FC28CC"/>
    <w:rsid w:val="00FC2E50"/>
    <w:rsid w:val="00FC33A1"/>
    <w:rsid w:val="00FC4D43"/>
    <w:rsid w:val="00FC5923"/>
    <w:rsid w:val="00FC64F0"/>
    <w:rsid w:val="00FD305B"/>
    <w:rsid w:val="00FD370B"/>
    <w:rsid w:val="00FD4842"/>
    <w:rsid w:val="00FD6EDD"/>
    <w:rsid w:val="00FE001D"/>
    <w:rsid w:val="00FE1DB3"/>
    <w:rsid w:val="00FE2489"/>
    <w:rsid w:val="00FE308E"/>
    <w:rsid w:val="00FE39FE"/>
    <w:rsid w:val="00FE4794"/>
    <w:rsid w:val="00FF1B40"/>
    <w:rsid w:val="00FF346D"/>
    <w:rsid w:val="00FF6D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F5B5B5"/>
  <w15:docId w15:val="{5E9C5502-425D-4E52-86FF-95DA091D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annotation text"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Smart Link" w:semiHidden="1" w:unhideWhenUsed="1"/>
  </w:latentStyles>
  <w:style w:type="paragraph" w:default="1" w:styleId="Normal">
    <w:name w:val="Normal"/>
    <w:qFormat/>
    <w:rsid w:val="001A08C7"/>
    <w:rPr>
      <w:rFonts w:ascii="Times New Roman" w:eastAsia="Times New Roman" w:hAnsi="Times New Roman" w:cs="Times New Roman"/>
      <w:kern w:val="0"/>
      <w:sz w:val="24"/>
    </w:rPr>
  </w:style>
  <w:style w:type="paragraph" w:styleId="Heading2">
    <w:name w:val="heading 2"/>
    <w:basedOn w:val="Normal"/>
    <w:qFormat/>
    <w:pPr>
      <w:spacing w:before="100" w:beforeAutospacing="1" w:after="100" w:afterAutospacing="1"/>
      <w:outlineLvl w:val="1"/>
    </w:pPr>
    <w:rPr>
      <w:rFonts w:ascii="MS PGothic" w:eastAsia="MS PGothic" w:hAnsi="MS PGothic" w:cs="MS PGothic"/>
      <w:b/>
      <w:sz w:val="36"/>
    </w:rPr>
  </w:style>
  <w:style w:type="paragraph" w:styleId="Heading3">
    <w:name w:val="heading 3"/>
    <w:basedOn w:val="Normal"/>
    <w:next w:val="Normal"/>
    <w:link w:val="Heading3Char"/>
    <w:uiPriority w:val="99"/>
    <w:rsid w:val="00996D4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pPr>
      <w:spacing w:line="305" w:lineRule="auto"/>
    </w:pPr>
    <w:rPr>
      <w:rFonts w:ascii="Calibri" w:eastAsia="Calibri" w:hAnsi="Calibri" w:cs="Calibri"/>
      <w:sz w:val="26"/>
    </w:rPr>
  </w:style>
  <w:style w:type="paragraph" w:styleId="TOC2">
    <w:name w:val="toc 2"/>
    <w:basedOn w:val="Normal"/>
    <w:pPr>
      <w:spacing w:line="330" w:lineRule="auto"/>
    </w:pPr>
    <w:rPr>
      <w:rFonts w:ascii="Calibri" w:eastAsia="Calibri" w:hAnsi="Calibri" w:cs="Calibri"/>
    </w:rPr>
  </w:style>
  <w:style w:type="paragraph" w:styleId="TOC3">
    <w:name w:val="toc 3"/>
    <w:basedOn w:val="Normal"/>
    <w:pPr>
      <w:spacing w:line="360" w:lineRule="auto"/>
    </w:pPr>
    <w:rPr>
      <w:rFonts w:ascii="Calibri" w:eastAsia="Calibri" w:hAnsi="Calibri" w:cs="Calibri"/>
      <w:sz w:val="22"/>
    </w:rPr>
  </w:style>
  <w:style w:type="paragraph" w:styleId="TOC4">
    <w:name w:val="toc 4"/>
    <w:basedOn w:val="Normal"/>
    <w:pPr>
      <w:spacing w:line="330" w:lineRule="exact"/>
    </w:pPr>
    <w:rPr>
      <w:rFonts w:ascii="Calibri" w:eastAsia="Calibri" w:hAnsi="Calibri" w:cs="Calibri"/>
    </w:rPr>
  </w:style>
  <w:style w:type="paragraph" w:styleId="TOC5">
    <w:name w:val="toc 5"/>
    <w:basedOn w:val="Normal"/>
    <w:pPr>
      <w:spacing w:line="330" w:lineRule="exact"/>
    </w:pPr>
    <w:rPr>
      <w:rFonts w:ascii="Calibri" w:eastAsia="Calibri" w:hAnsi="Calibri" w:cs="Calibri"/>
    </w:rPr>
  </w:style>
  <w:style w:type="paragraph" w:styleId="TOC6">
    <w:name w:val="toc 6"/>
    <w:basedOn w:val="Normal"/>
    <w:pPr>
      <w:spacing w:line="330" w:lineRule="exact"/>
    </w:pPr>
    <w:rPr>
      <w:rFonts w:ascii="Calibri" w:eastAsia="Calibri" w:hAnsi="Calibri" w:cs="Calibri"/>
    </w:rPr>
  </w:style>
  <w:style w:type="paragraph" w:styleId="TOC7">
    <w:name w:val="toc 7"/>
    <w:basedOn w:val="Normal"/>
    <w:pPr>
      <w:spacing w:line="330" w:lineRule="exact"/>
    </w:pPr>
    <w:rPr>
      <w:rFonts w:ascii="Calibri" w:eastAsia="Calibri" w:hAnsi="Calibri" w:cs="Calibri"/>
    </w:rPr>
  </w:style>
  <w:style w:type="paragraph" w:styleId="TOC8">
    <w:name w:val="toc 8"/>
    <w:basedOn w:val="Normal"/>
    <w:pPr>
      <w:spacing w:line="330" w:lineRule="exact"/>
    </w:pPr>
    <w:rPr>
      <w:rFonts w:ascii="Calibri" w:eastAsia="Calibri" w:hAnsi="Calibri" w:cs="Calibri"/>
    </w:rPr>
  </w:style>
  <w:style w:type="paragraph" w:styleId="TOC9">
    <w:name w:val="toc 9"/>
    <w:basedOn w:val="Normal"/>
    <w:pPr>
      <w:spacing w:line="330" w:lineRule="exact"/>
    </w:pPr>
    <w:rPr>
      <w:rFonts w:ascii="Calibri" w:eastAsia="Calibri" w:hAnsi="Calibri" w:cs="Calibri"/>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CommentReference">
    <w:name w:val="annotation reference"/>
    <w:basedOn w:val="DefaultParagraphFont"/>
    <w:uiPriority w:val="99"/>
    <w:rPr>
      <w:sz w:val="18"/>
    </w:rPr>
  </w:style>
  <w:style w:type="character" w:styleId="EndnoteReference">
    <w:name w:val="endnote reference"/>
    <w:basedOn w:val="DefaultParagraphFont"/>
    <w:rPr>
      <w:vertAlign w:val="superscript"/>
    </w:rPr>
  </w:style>
  <w:style w:type="character" w:styleId="FootnoteReference">
    <w:name w:val="footnote reference"/>
    <w:basedOn w:val="DefaultParagraphFont"/>
    <w:rPr>
      <w:vertAlign w:val="superscript"/>
    </w:rPr>
  </w:style>
  <w:style w:type="character" w:customStyle="1" w:styleId="apple-converted-space">
    <w:name w:val="apple-converted-space"/>
    <w:basedOn w:val="DefaultParagraphFont"/>
  </w:style>
  <w:style w:type="character" w:styleId="Hyperlink">
    <w:name w:val="Hyperlink"/>
    <w:basedOn w:val="DefaultParagraphFont"/>
    <w:rPr>
      <w:color w:val="0563C1"/>
      <w:u w:val="single"/>
    </w:rPr>
  </w:style>
  <w:style w:type="paragraph" w:styleId="Revision">
    <w:name w:val="Revision"/>
  </w:style>
  <w:style w:type="paragraph" w:styleId="CommentText">
    <w:name w:val="annotation text"/>
    <w:aliases w:val="Char11,Char11 Char Char,字元"/>
    <w:basedOn w:val="Normal"/>
    <w:link w:val="CommentTextChar"/>
    <w:uiPriority w:val="99"/>
    <w:qFormat/>
    <w:rPr>
      <w:rFonts w:ascii="Calibri" w:eastAsia="Calibri" w:hAnsi="Calibri" w:cs="Calibri"/>
      <w:sz w:val="20"/>
    </w:rPr>
  </w:style>
  <w:style w:type="paragraph" w:styleId="CommentSubject">
    <w:name w:val="annotation subject"/>
    <w:basedOn w:val="CommentText"/>
    <w:rPr>
      <w:b/>
    </w:rPr>
  </w:style>
  <w:style w:type="paragraph" w:styleId="ListParagraph">
    <w:name w:val="List Paragraph"/>
    <w:basedOn w:val="Normal"/>
    <w:pPr>
      <w:ind w:left="840"/>
    </w:pPr>
  </w:style>
  <w:style w:type="character" w:styleId="FollowedHyperlink">
    <w:name w:val="FollowedHyperlink"/>
    <w:basedOn w:val="DefaultParagraphFont"/>
    <w:rPr>
      <w:color w:val="954F72"/>
      <w:u w:val="single"/>
    </w:rPr>
  </w:style>
  <w:style w:type="character" w:styleId="UnresolvedMention">
    <w:name w:val="Unresolved Mention"/>
    <w:basedOn w:val="DefaultParagraphFont"/>
    <w:rPr>
      <w:color w:val="605E5C"/>
    </w:rPr>
  </w:style>
  <w:style w:type="paragraph" w:customStyle="1" w:styleId="TableList">
    <w:name w:val="Table List"/>
    <w:basedOn w:val="Normal"/>
    <w:pPr>
      <w:ind w:left="300" w:hanging="300"/>
    </w:pPr>
    <w:rPr>
      <w:rFonts w:ascii="Calibri" w:eastAsia="Calibri" w:hAnsi="Calibri" w:cs="Calibri"/>
      <w:sz w:val="20"/>
    </w:rPr>
  </w:style>
  <w:style w:type="character" w:customStyle="1" w:styleId="GivenName">
    <w:name w:val="Given Name"/>
    <w:basedOn w:val="DefaultParagraphFont"/>
    <w:rPr>
      <w:shd w:val="clear" w:color="auto" w:fill="D0FCE2"/>
    </w:rPr>
  </w:style>
  <w:style w:type="character" w:customStyle="1" w:styleId="FamilyName">
    <w:name w:val="Family Name"/>
    <w:basedOn w:val="DefaultParagraphFont"/>
    <w:rPr>
      <w:shd w:val="clear" w:color="auto" w:fill="88F4BE"/>
    </w:rPr>
  </w:style>
  <w:style w:type="paragraph" w:customStyle="1" w:styleId="List8">
    <w:name w:val="List 8"/>
    <w:basedOn w:val="Normal"/>
    <w:pPr>
      <w:spacing w:line="360" w:lineRule="auto"/>
      <w:ind w:left="1980" w:hanging="400"/>
    </w:pPr>
    <w:rPr>
      <w:rFonts w:ascii="Calibri" w:eastAsia="Calibri" w:hAnsi="Calibri" w:cs="Calibri"/>
      <w:sz w:val="22"/>
    </w:rPr>
  </w:style>
  <w:style w:type="character" w:customStyle="1" w:styleId="Cross-reference">
    <w:name w:val="Cross-reference"/>
    <w:basedOn w:val="DefaultParagraphFont"/>
    <w:rPr>
      <w:shd w:val="clear" w:color="auto" w:fill="FFE3C9"/>
    </w:rPr>
  </w:style>
  <w:style w:type="paragraph" w:customStyle="1" w:styleId="TableNote">
    <w:name w:val="Table Note"/>
    <w:basedOn w:val="Normal"/>
    <w:rPr>
      <w:rFonts w:ascii="Calibri" w:eastAsia="Calibri" w:hAnsi="Calibri" w:cs="Calibri"/>
      <w:sz w:val="18"/>
    </w:rPr>
  </w:style>
  <w:style w:type="character" w:customStyle="1" w:styleId="Postcode">
    <w:name w:val="Postcode"/>
    <w:basedOn w:val="DefaultParagraphFont"/>
    <w:rPr>
      <w:shd w:val="clear" w:color="auto" w:fill="BEBEBE"/>
    </w:rPr>
  </w:style>
  <w:style w:type="paragraph" w:customStyle="1" w:styleId="Correspondence">
    <w:name w:val="Correspondence"/>
    <w:basedOn w:val="Normal"/>
    <w:pPr>
      <w:shd w:val="clear" w:color="auto" w:fill="F3F7F9"/>
      <w:spacing w:before="240" w:after="120" w:line="396" w:lineRule="auto"/>
      <w:ind w:left="400" w:hanging="400"/>
    </w:pPr>
    <w:rPr>
      <w:rFonts w:ascii="Calibri" w:eastAsia="Calibri" w:hAnsi="Calibri" w:cs="Calibri"/>
      <w:sz w:val="20"/>
      <w:shd w:val="clear" w:color="auto" w:fill="F3F7F9"/>
    </w:rPr>
  </w:style>
  <w:style w:type="character" w:customStyle="1" w:styleId="GrantID">
    <w:name w:val="Grant ID"/>
    <w:basedOn w:val="DefaultParagraphFont"/>
    <w:rPr>
      <w:shd w:val="clear" w:color="auto" w:fill="DDA5FF"/>
    </w:rPr>
  </w:style>
  <w:style w:type="paragraph" w:customStyle="1" w:styleId="Annotation">
    <w:name w:val="Annotation"/>
    <w:basedOn w:val="Normal"/>
    <w:pPr>
      <w:spacing w:after="160" w:line="360" w:lineRule="auto"/>
      <w:ind w:left="400"/>
    </w:pPr>
    <w:rPr>
      <w:rFonts w:ascii="Calibri" w:eastAsia="Calibri" w:hAnsi="Calibri" w:cs="Calibri"/>
      <w:sz w:val="22"/>
    </w:rPr>
  </w:style>
  <w:style w:type="paragraph" w:customStyle="1" w:styleId="Note">
    <w:name w:val="Note"/>
    <w:basedOn w:val="Normal"/>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Normal"/>
    <w:pPr>
      <w:shd w:val="clear" w:color="auto" w:fill="E9F9FF"/>
    </w:pPr>
    <w:rPr>
      <w:rFonts w:ascii="Calibri" w:eastAsia="Calibri" w:hAnsi="Calibri" w:cs="Calibri"/>
      <w:sz w:val="18"/>
      <w:shd w:val="clear" w:color="auto" w:fill="E9F9FF"/>
    </w:rPr>
  </w:style>
  <w:style w:type="paragraph" w:styleId="FootnoteText">
    <w:name w:val="footnote text"/>
    <w:basedOn w:val="Normal"/>
    <w:rPr>
      <w:rFonts w:ascii="Calibri" w:eastAsia="Calibri" w:hAnsi="Calibri" w:cs="Calibri"/>
    </w:rPr>
  </w:style>
  <w:style w:type="paragraph" w:customStyle="1" w:styleId="Formula">
    <w:name w:val="Formula"/>
    <w:basedOn w:val="Normal"/>
    <w:pPr>
      <w:shd w:val="clear" w:color="auto" w:fill="FFF5ED"/>
      <w:spacing w:before="120" w:after="120" w:line="360" w:lineRule="auto"/>
    </w:pPr>
    <w:rPr>
      <w:rFonts w:ascii="Calibri" w:eastAsia="Calibri" w:hAnsi="Calibri" w:cs="Calibri"/>
      <w:sz w:val="22"/>
      <w:shd w:val="clear" w:color="auto" w:fill="FFF5ED"/>
    </w:rPr>
  </w:style>
  <w:style w:type="paragraph" w:customStyle="1" w:styleId="Abstract">
    <w:name w:val="Abstract"/>
    <w:basedOn w:val="Normal"/>
    <w:pPr>
      <w:spacing w:after="160" w:line="360" w:lineRule="auto"/>
      <w:ind w:left="1440" w:right="1440"/>
    </w:pPr>
    <w:rPr>
      <w:rFonts w:ascii="Calibri" w:eastAsia="Calibri" w:hAnsi="Calibri" w:cs="Calibri"/>
      <w:sz w:val="22"/>
    </w:rPr>
  </w:style>
  <w:style w:type="paragraph" w:customStyle="1" w:styleId="Reference">
    <w:name w:val="Reference"/>
    <w:basedOn w:val="Normal"/>
    <w:pPr>
      <w:spacing w:after="320" w:line="360" w:lineRule="auto"/>
      <w:ind w:left="400" w:hanging="400"/>
    </w:pPr>
    <w:rPr>
      <w:rFonts w:ascii="Calibri" w:eastAsia="Calibri" w:hAnsi="Calibri" w:cs="Calibri"/>
      <w:sz w:val="22"/>
    </w:rPr>
  </w:style>
  <w:style w:type="character" w:customStyle="1" w:styleId="Label">
    <w:name w:val="Label"/>
    <w:basedOn w:val="DefaultParagraphFont"/>
    <w:rPr>
      <w:shd w:val="clear" w:color="auto" w:fill="FFC391"/>
      <w:vertAlign w:val="baseline"/>
    </w:rPr>
  </w:style>
  <w:style w:type="paragraph" w:customStyle="1" w:styleId="Keywords">
    <w:name w:val="Keywords"/>
    <w:basedOn w:val="Normal"/>
    <w:pPr>
      <w:spacing w:line="396" w:lineRule="auto"/>
      <w:ind w:left="1000"/>
    </w:pPr>
    <w:rPr>
      <w:rFonts w:ascii="Calibri" w:eastAsia="Calibri" w:hAnsi="Calibri" w:cs="Calibri"/>
      <w:sz w:val="20"/>
    </w:rPr>
  </w:style>
  <w:style w:type="character" w:customStyle="1" w:styleId="Organization">
    <w:name w:val="Organization"/>
    <w:basedOn w:val="DefaultParagraphFont"/>
    <w:rPr>
      <w:shd w:val="clear" w:color="auto" w:fill="D1FFB5"/>
    </w:rPr>
  </w:style>
  <w:style w:type="paragraph" w:styleId="List2">
    <w:name w:val="List 2"/>
    <w:basedOn w:val="Normal"/>
    <w:pPr>
      <w:spacing w:line="360" w:lineRule="auto"/>
      <w:ind w:left="800" w:hanging="400"/>
    </w:pPr>
    <w:rPr>
      <w:rFonts w:ascii="Calibri" w:eastAsia="Calibri" w:hAnsi="Calibri" w:cs="Calibri"/>
      <w:sz w:val="22"/>
    </w:rPr>
  </w:style>
  <w:style w:type="character" w:customStyle="1" w:styleId="GlossaryTerm">
    <w:name w:val="Glossary Term"/>
    <w:basedOn w:val="DefaultParagraphFont"/>
    <w:rPr>
      <w:shd w:val="clear" w:color="auto" w:fill="FFCFD7"/>
    </w:rPr>
  </w:style>
  <w:style w:type="paragraph" w:styleId="EndnoteText">
    <w:name w:val="endnote text"/>
    <w:basedOn w:val="Normal"/>
    <w:rPr>
      <w:rFonts w:ascii="Calibri" w:eastAsia="Calibri" w:hAnsi="Calibri" w:cs="Calibri"/>
    </w:rPr>
  </w:style>
  <w:style w:type="paragraph" w:styleId="BlockText">
    <w:name w:val="Block Text"/>
    <w:basedOn w:val="Normal"/>
    <w:pPr>
      <w:spacing w:after="160" w:line="360" w:lineRule="auto"/>
      <w:ind w:left="1200"/>
    </w:pPr>
    <w:rPr>
      <w:rFonts w:ascii="Calibri" w:eastAsia="Calibri" w:hAnsi="Calibri" w:cs="Calibri"/>
      <w:sz w:val="22"/>
    </w:rPr>
  </w:style>
  <w:style w:type="paragraph" w:customStyle="1" w:styleId="Authors">
    <w:name w:val="Authors"/>
    <w:basedOn w:val="Normal"/>
    <w:pPr>
      <w:spacing w:before="360" w:after="120" w:line="283" w:lineRule="auto"/>
    </w:pPr>
    <w:rPr>
      <w:rFonts w:ascii="Calibri" w:eastAsia="Calibri" w:hAnsi="Calibri" w:cs="Calibri"/>
      <w:sz w:val="28"/>
    </w:rPr>
  </w:style>
  <w:style w:type="character" w:customStyle="1" w:styleId="City">
    <w:name w:val="City"/>
    <w:basedOn w:val="DefaultParagraphFont"/>
    <w:rPr>
      <w:shd w:val="clear" w:color="auto" w:fill="D7D7D7"/>
    </w:rPr>
  </w:style>
  <w:style w:type="character" w:customStyle="1" w:styleId="Region">
    <w:name w:val="Region"/>
    <w:basedOn w:val="DefaultParagraphFont"/>
    <w:rPr>
      <w:shd w:val="clear" w:color="auto" w:fill="D8E9EE"/>
    </w:rPr>
  </w:style>
  <w:style w:type="character" w:customStyle="1" w:styleId="DatabaseLink">
    <w:name w:val="Database Link"/>
    <w:basedOn w:val="DefaultParagraphFont"/>
    <w:rPr>
      <w:shd w:val="clear" w:color="auto" w:fill="AFBEFF"/>
    </w:rPr>
  </w:style>
  <w:style w:type="paragraph" w:styleId="List4">
    <w:name w:val="List 4"/>
    <w:basedOn w:val="Normal"/>
    <w:pPr>
      <w:spacing w:line="360" w:lineRule="auto"/>
      <w:ind w:left="1600" w:hanging="400"/>
    </w:pPr>
    <w:rPr>
      <w:rFonts w:ascii="Calibri" w:eastAsia="Calibri" w:hAnsi="Calibri" w:cs="Calibri"/>
      <w:sz w:val="22"/>
    </w:rPr>
  </w:style>
  <w:style w:type="paragraph" w:customStyle="1" w:styleId="AbstractSubheading">
    <w:name w:val="Abstract Subheading"/>
    <w:basedOn w:val="Normal"/>
    <w:pPr>
      <w:numPr>
        <w:ilvl w:val="8"/>
      </w:numPr>
      <w:ind w:left="1440"/>
      <w:outlineLvl w:val="8"/>
    </w:pPr>
    <w:rPr>
      <w:sz w:val="22"/>
    </w:rPr>
  </w:style>
  <w:style w:type="paragraph" w:customStyle="1" w:styleId="Glossary">
    <w:name w:val="Glossary"/>
    <w:basedOn w:val="Normal"/>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Normal"/>
    <w:pPr>
      <w:spacing w:line="360" w:lineRule="auto"/>
      <w:ind w:left="1920" w:hanging="400"/>
    </w:pPr>
    <w:rPr>
      <w:rFonts w:ascii="Calibri" w:eastAsia="Calibri" w:hAnsi="Calibri" w:cs="Calibri"/>
      <w:sz w:val="22"/>
    </w:rPr>
  </w:style>
  <w:style w:type="character" w:customStyle="1" w:styleId="Country">
    <w:name w:val="Country"/>
    <w:basedOn w:val="DefaultParagraphFont"/>
    <w:rPr>
      <w:shd w:val="clear" w:color="auto" w:fill="97C5D1"/>
    </w:rPr>
  </w:style>
  <w:style w:type="paragraph" w:customStyle="1" w:styleId="Acknowledgements">
    <w:name w:val="Acknowledgements"/>
    <w:basedOn w:val="Normal"/>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DefaultParagraphFont"/>
    <w:rPr>
      <w:shd w:val="clear" w:color="auto" w:fill="FFEDF0"/>
    </w:rPr>
  </w:style>
  <w:style w:type="paragraph" w:styleId="NormalIndent">
    <w:name w:val="Normal Indent"/>
    <w:basedOn w:val="Normal"/>
    <w:qFormat/>
    <w:pPr>
      <w:ind w:firstLine="480"/>
    </w:pPr>
    <w:rPr>
      <w:sz w:val="22"/>
    </w:rPr>
  </w:style>
  <w:style w:type="character" w:customStyle="1" w:styleId="ArticleTitle">
    <w:name w:val="Article Title"/>
    <w:basedOn w:val="DefaultParagraphFont"/>
    <w:qFormat/>
    <w:rPr>
      <w:shd w:val="clear" w:color="auto" w:fill="E9F9FF"/>
    </w:rPr>
  </w:style>
  <w:style w:type="character" w:customStyle="1" w:styleId="VolumeNumber">
    <w:name w:val="Volume Number"/>
    <w:basedOn w:val="DefaultParagraphFont"/>
    <w:rPr>
      <w:shd w:val="clear" w:color="auto" w:fill="EDF0FF"/>
    </w:rPr>
  </w:style>
  <w:style w:type="character" w:customStyle="1" w:styleId="GeneSequence">
    <w:name w:val="Gene Sequence"/>
    <w:basedOn w:val="DefaultParagraphFont"/>
    <w:rPr>
      <w:shd w:val="clear" w:color="auto" w:fill="FFCDF2"/>
    </w:rPr>
  </w:style>
  <w:style w:type="paragraph" w:styleId="BalloonText">
    <w:name w:val="Balloon Text"/>
    <w:basedOn w:val="Normal"/>
    <w:link w:val="BalloonTextChar"/>
    <w:uiPriority w:val="99"/>
    <w:rPr>
      <w:rFonts w:ascii="Calibri" w:eastAsia="Calibri" w:hAnsi="Calibri" w:cs="Calibri"/>
      <w:color w:val="000000"/>
      <w:sz w:val="16"/>
    </w:rPr>
  </w:style>
  <w:style w:type="paragraph" w:customStyle="1" w:styleId="List6">
    <w:name w:val="List 6"/>
    <w:basedOn w:val="Normal"/>
    <w:pPr>
      <w:spacing w:line="360" w:lineRule="auto"/>
      <w:ind w:left="1860" w:hanging="400"/>
    </w:pPr>
    <w:rPr>
      <w:rFonts w:ascii="Calibri" w:eastAsia="Calibri" w:hAnsi="Calibri" w:cs="Calibri"/>
      <w:sz w:val="22"/>
    </w:rPr>
  </w:style>
  <w:style w:type="character" w:customStyle="1" w:styleId="IssueNumber">
    <w:name w:val="Issue Number"/>
    <w:basedOn w:val="DefaultParagraphFont"/>
    <w:rPr>
      <w:shd w:val="clear" w:color="auto" w:fill="CDD5FF"/>
    </w:rPr>
  </w:style>
  <w:style w:type="paragraph" w:styleId="List">
    <w:name w:val="List"/>
    <w:basedOn w:val="Normal"/>
    <w:pPr>
      <w:spacing w:line="360" w:lineRule="auto"/>
      <w:ind w:left="400" w:hanging="400"/>
    </w:pPr>
    <w:rPr>
      <w:rFonts w:ascii="Calibri" w:eastAsia="Calibri" w:hAnsi="Calibri" w:cs="Calibri"/>
      <w:sz w:val="22"/>
    </w:rPr>
  </w:style>
  <w:style w:type="character" w:customStyle="1" w:styleId="Edition">
    <w:name w:val="Edition"/>
    <w:basedOn w:val="DefaultParagraphFont"/>
    <w:rPr>
      <w:shd w:val="clear" w:color="auto" w:fill="FFF6A4"/>
    </w:rPr>
  </w:style>
  <w:style w:type="paragraph" w:customStyle="1" w:styleId="Biography">
    <w:name w:val="Biography"/>
    <w:basedOn w:val="Normal"/>
    <w:pPr>
      <w:shd w:val="clear" w:color="auto" w:fill="EEFEF4"/>
      <w:spacing w:after="160" w:line="396" w:lineRule="auto"/>
    </w:pPr>
    <w:rPr>
      <w:rFonts w:ascii="Calibri" w:eastAsia="Calibri" w:hAnsi="Calibri" w:cs="Calibri"/>
      <w:sz w:val="20"/>
      <w:shd w:val="clear" w:color="auto" w:fill="EEFEF4"/>
    </w:rPr>
  </w:style>
  <w:style w:type="paragraph" w:styleId="List3">
    <w:name w:val="List 3"/>
    <w:basedOn w:val="Normal"/>
    <w:pPr>
      <w:spacing w:line="360" w:lineRule="auto"/>
      <w:ind w:left="1200" w:hanging="400"/>
    </w:pPr>
    <w:rPr>
      <w:rFonts w:ascii="Calibri" w:eastAsia="Calibri" w:hAnsi="Calibri" w:cs="Calibri"/>
      <w:sz w:val="22"/>
    </w:rPr>
  </w:style>
  <w:style w:type="character" w:customStyle="1" w:styleId="Conference">
    <w:name w:val="Conference"/>
    <w:basedOn w:val="DefaultParagraphFont"/>
    <w:rPr>
      <w:shd w:val="clear" w:color="auto" w:fill="FFAFBC"/>
    </w:rPr>
  </w:style>
  <w:style w:type="paragraph" w:customStyle="1" w:styleId="Surtitle">
    <w:name w:val="Surtitle"/>
    <w:basedOn w:val="Normal"/>
    <w:qFormat/>
    <w:pPr>
      <w:spacing w:after="160" w:line="208" w:lineRule="auto"/>
    </w:pPr>
    <w:rPr>
      <w:rFonts w:ascii="Calibri" w:eastAsia="Calibri" w:hAnsi="Calibri" w:cs="Calibri"/>
      <w:sz w:val="38"/>
    </w:rPr>
  </w:style>
  <w:style w:type="paragraph" w:customStyle="1" w:styleId="TableHeadSpan">
    <w:name w:val="Table Head Span"/>
    <w:basedOn w:val="Normal"/>
    <w:pPr>
      <w:shd w:val="clear" w:color="auto" w:fill="FFEDFA"/>
    </w:pPr>
    <w:rPr>
      <w:rFonts w:ascii="Calibri" w:eastAsia="Calibri" w:hAnsi="Calibri" w:cs="Calibri"/>
      <w:shd w:val="clear" w:color="auto" w:fill="FFEDFA"/>
    </w:rPr>
  </w:style>
  <w:style w:type="character" w:customStyle="1" w:styleId="Miscellaneous">
    <w:name w:val="Miscellaneous"/>
    <w:basedOn w:val="DefaultParagraphFont"/>
    <w:rPr>
      <w:shd w:val="clear" w:color="auto" w:fill="F0F0F0"/>
    </w:rPr>
  </w:style>
  <w:style w:type="character" w:customStyle="1" w:styleId="Heading">
    <w:name w:val="Heading:"/>
    <w:basedOn w:val="DefaultParagraphFont"/>
    <w:rPr>
      <w:color w:val="5B89C1"/>
    </w:rPr>
  </w:style>
  <w:style w:type="character" w:customStyle="1" w:styleId="Source">
    <w:name w:val="Source"/>
    <w:basedOn w:val="DefaultParagraphFont"/>
    <w:rPr>
      <w:shd w:val="clear" w:color="auto" w:fill="C1EDFF"/>
    </w:rPr>
  </w:style>
  <w:style w:type="paragraph" w:styleId="Subtitle">
    <w:name w:val="Subtitle"/>
    <w:basedOn w:val="Normal"/>
    <w:qFormat/>
    <w:pPr>
      <w:spacing w:after="160" w:line="208" w:lineRule="auto"/>
    </w:pPr>
    <w:rPr>
      <w:rFonts w:ascii="Calibri" w:eastAsia="Calibri" w:hAnsi="Calibri" w:cs="Calibri"/>
      <w:sz w:val="38"/>
    </w:rPr>
  </w:style>
  <w:style w:type="character" w:customStyle="1" w:styleId="NameScientific">
    <w:name w:val="Name Scientific"/>
    <w:basedOn w:val="DefaultParagraphFont"/>
    <w:rPr>
      <w:shd w:val="clear" w:color="auto" w:fill="91E0FF"/>
    </w:rPr>
  </w:style>
  <w:style w:type="paragraph" w:customStyle="1" w:styleId="Statement">
    <w:name w:val="Statement"/>
    <w:basedOn w:val="Normal"/>
    <w:pPr>
      <w:ind w:left="900"/>
    </w:pPr>
    <w:rPr>
      <w:rFonts w:ascii="Calibri" w:eastAsia="Calibri" w:hAnsi="Calibri" w:cs="Calibri"/>
      <w:sz w:val="22"/>
    </w:rPr>
  </w:style>
  <w:style w:type="paragraph" w:customStyle="1" w:styleId="TableHead">
    <w:name w:val="Table Head"/>
    <w:basedOn w:val="Normal"/>
    <w:pPr>
      <w:shd w:val="clear" w:color="auto" w:fill="FFEDFA"/>
    </w:pPr>
    <w:rPr>
      <w:rFonts w:ascii="Calibri" w:eastAsia="Calibri" w:hAnsi="Calibri" w:cs="Calibri"/>
      <w:sz w:val="20"/>
      <w:shd w:val="clear" w:color="auto" w:fill="FFEDFA"/>
    </w:rPr>
  </w:style>
  <w:style w:type="paragraph" w:customStyle="1" w:styleId="Quotation">
    <w:name w:val="Quotation"/>
    <w:basedOn w:val="Normal"/>
    <w:pPr>
      <w:spacing w:after="160" w:line="360" w:lineRule="auto"/>
      <w:ind w:left="1200" w:right="1200"/>
    </w:pPr>
    <w:rPr>
      <w:rFonts w:ascii="Calibri" w:eastAsia="Calibri" w:hAnsi="Calibri" w:cs="Calibri"/>
      <w:sz w:val="22"/>
    </w:rPr>
  </w:style>
  <w:style w:type="paragraph" w:customStyle="1" w:styleId="TableBody">
    <w:name w:val="Table Body"/>
    <w:basedOn w:val="Normal"/>
    <w:pPr>
      <w:spacing w:after="160" w:line="396" w:lineRule="auto"/>
    </w:pPr>
    <w:rPr>
      <w:rFonts w:ascii="Calibri" w:eastAsia="Calibri" w:hAnsi="Calibri" w:cs="Calibri"/>
      <w:sz w:val="20"/>
    </w:rPr>
  </w:style>
  <w:style w:type="character" w:customStyle="1" w:styleId="Year">
    <w:name w:val="Year"/>
    <w:basedOn w:val="DefaultParagraphFont"/>
    <w:rPr>
      <w:shd w:val="clear" w:color="auto" w:fill="FFF9C9"/>
    </w:rPr>
  </w:style>
  <w:style w:type="paragraph" w:customStyle="1" w:styleId="QuotationSource">
    <w:name w:val="Quotation Source"/>
    <w:basedOn w:val="Normal"/>
    <w:pPr>
      <w:spacing w:after="170" w:line="360" w:lineRule="auto"/>
      <w:ind w:left="1200"/>
      <w:jc w:val="right"/>
    </w:pPr>
    <w:rPr>
      <w:rFonts w:ascii="Calibri" w:eastAsia="Calibri" w:hAnsi="Calibri" w:cs="Calibri"/>
      <w:sz w:val="22"/>
    </w:rPr>
  </w:style>
  <w:style w:type="character" w:customStyle="1" w:styleId="Location">
    <w:name w:val="Location"/>
    <w:basedOn w:val="DefaultParagraphFont"/>
    <w:rPr>
      <w:shd w:val="clear" w:color="auto" w:fill="F9EDFF"/>
    </w:rPr>
  </w:style>
  <w:style w:type="paragraph" w:customStyle="1" w:styleId="ChapterNumber">
    <w:name w:val="Chapter Number"/>
    <w:basedOn w:val="Normal"/>
    <w:rPr>
      <w:rFonts w:ascii="Calibri" w:eastAsia="Calibri" w:hAnsi="Calibri" w:cs="Calibri"/>
    </w:rPr>
  </w:style>
  <w:style w:type="paragraph" w:styleId="List5">
    <w:name w:val="List 5"/>
    <w:basedOn w:val="Normal"/>
    <w:pPr>
      <w:spacing w:line="360" w:lineRule="auto"/>
      <w:ind w:left="1800" w:hanging="400"/>
    </w:pPr>
    <w:rPr>
      <w:rFonts w:ascii="Calibri" w:eastAsia="Calibri" w:hAnsi="Calibri" w:cs="Calibri"/>
      <w:sz w:val="22"/>
    </w:rPr>
  </w:style>
  <w:style w:type="paragraph" w:customStyle="1" w:styleId="Affiliation">
    <w:name w:val="Affiliation"/>
    <w:basedOn w:val="Normal"/>
    <w:pPr>
      <w:shd w:val="clear" w:color="auto" w:fill="F4FFED"/>
      <w:spacing w:before="240" w:after="120" w:line="396" w:lineRule="auto"/>
      <w:ind w:left="400" w:hanging="400"/>
    </w:pPr>
    <w:rPr>
      <w:rFonts w:ascii="Calibri" w:eastAsia="Calibri" w:hAnsi="Calibri" w:cs="Calibri"/>
      <w:sz w:val="20"/>
      <w:shd w:val="clear" w:color="auto" w:fill="F4FFED"/>
    </w:rPr>
  </w:style>
  <w:style w:type="character" w:customStyle="1" w:styleId="Publisher">
    <w:name w:val="Publisher"/>
    <w:basedOn w:val="DefaultParagraphFont"/>
    <w:rPr>
      <w:shd w:val="clear" w:color="auto" w:fill="F2DDFF"/>
    </w:rPr>
  </w:style>
  <w:style w:type="paragraph" w:styleId="Caption">
    <w:name w:val="caption"/>
    <w:basedOn w:val="Normal"/>
    <w:pPr>
      <w:shd w:val="clear" w:color="auto" w:fill="FFF5ED"/>
      <w:spacing w:before="240" w:line="349" w:lineRule="auto"/>
    </w:pPr>
    <w:rPr>
      <w:rFonts w:ascii="Calibri" w:eastAsia="Calibri" w:hAnsi="Calibri" w:cs="Calibri"/>
      <w:sz w:val="22"/>
      <w:shd w:val="clear" w:color="auto" w:fill="FFF5ED"/>
    </w:rPr>
  </w:style>
  <w:style w:type="paragraph" w:customStyle="1" w:styleId="List1">
    <w:name w:val="List 1"/>
    <w:basedOn w:val="Normal"/>
    <w:pPr>
      <w:ind w:left="1200" w:hanging="600"/>
    </w:pPr>
    <w:rPr>
      <w:sz w:val="22"/>
    </w:rPr>
  </w:style>
  <w:style w:type="paragraph" w:customStyle="1" w:styleId="List9">
    <w:name w:val="List 9"/>
    <w:basedOn w:val="Normal"/>
    <w:pPr>
      <w:ind w:left="1200" w:hanging="600"/>
    </w:pPr>
    <w:rPr>
      <w:sz w:val="22"/>
    </w:rPr>
  </w:style>
  <w:style w:type="character" w:styleId="LineNumber">
    <w:name w:val="line number"/>
    <w:basedOn w:val="DefaultParagraphFont"/>
    <w:uiPriority w:val="99"/>
    <w:rsid w:val="00916746"/>
  </w:style>
  <w:style w:type="paragraph" w:customStyle="1" w:styleId="EndNoteBibliographyTitle">
    <w:name w:val="EndNote Bibliography Title"/>
    <w:basedOn w:val="Normal"/>
    <w:link w:val="EndNoteBibliographyTitle0"/>
    <w:rsid w:val="00FA4FEF"/>
    <w:pPr>
      <w:jc w:val="center"/>
    </w:pPr>
    <w:rPr>
      <w:rFonts w:ascii="Arial" w:eastAsia="Yu Mincho" w:hAnsi="Arial" w:cs="Arial"/>
      <w:sz w:val="20"/>
    </w:rPr>
  </w:style>
  <w:style w:type="character" w:customStyle="1" w:styleId="EndNoteBibliographyTitle0">
    <w:name w:val="EndNote Bibliography Title (文字)"/>
    <w:basedOn w:val="DefaultParagraphFont"/>
    <w:link w:val="EndNoteBibliographyTitle"/>
    <w:rsid w:val="00FA4FEF"/>
    <w:rPr>
      <w:rFonts w:ascii="Arial" w:eastAsia="Yu Mincho" w:hAnsi="Arial" w:cs="Arial"/>
      <w:kern w:val="0"/>
      <w:sz w:val="20"/>
    </w:rPr>
  </w:style>
  <w:style w:type="paragraph" w:customStyle="1" w:styleId="EndNoteBibliography">
    <w:name w:val="EndNote Bibliography"/>
    <w:basedOn w:val="Normal"/>
    <w:link w:val="EndNoteBibliography0"/>
    <w:rsid w:val="00FA4FEF"/>
    <w:rPr>
      <w:rFonts w:ascii="Arial" w:eastAsia="Yu Mincho" w:hAnsi="Arial" w:cs="Arial"/>
      <w:sz w:val="20"/>
    </w:rPr>
  </w:style>
  <w:style w:type="character" w:customStyle="1" w:styleId="EndNoteBibliography0">
    <w:name w:val="EndNote Bibliography (文字)"/>
    <w:basedOn w:val="DefaultParagraphFont"/>
    <w:link w:val="EndNoteBibliography"/>
    <w:rsid w:val="00FA4FEF"/>
    <w:rPr>
      <w:rFonts w:ascii="Arial" w:eastAsia="Yu Mincho" w:hAnsi="Arial" w:cs="Arial"/>
      <w:kern w:val="0"/>
      <w:sz w:val="20"/>
    </w:rPr>
  </w:style>
  <w:style w:type="paragraph" w:styleId="Header">
    <w:name w:val="header"/>
    <w:basedOn w:val="Normal"/>
    <w:link w:val="HeaderChar"/>
    <w:uiPriority w:val="99"/>
    <w:rsid w:val="007D1ED2"/>
    <w:pPr>
      <w:tabs>
        <w:tab w:val="center" w:pos="4513"/>
        <w:tab w:val="right" w:pos="9026"/>
      </w:tabs>
    </w:pPr>
  </w:style>
  <w:style w:type="character" w:customStyle="1" w:styleId="HeaderChar">
    <w:name w:val="Header Char"/>
    <w:basedOn w:val="DefaultParagraphFont"/>
    <w:link w:val="Header"/>
    <w:uiPriority w:val="99"/>
    <w:rsid w:val="007D1ED2"/>
    <w:rPr>
      <w:lang w:val=""/>
    </w:rPr>
  </w:style>
  <w:style w:type="paragraph" w:styleId="Footer">
    <w:name w:val="footer"/>
    <w:basedOn w:val="Normal"/>
    <w:link w:val="FooterChar"/>
    <w:uiPriority w:val="99"/>
    <w:rsid w:val="007D1ED2"/>
    <w:pPr>
      <w:tabs>
        <w:tab w:val="center" w:pos="4513"/>
        <w:tab w:val="right" w:pos="9026"/>
      </w:tabs>
    </w:pPr>
  </w:style>
  <w:style w:type="character" w:customStyle="1" w:styleId="FooterChar">
    <w:name w:val="Footer Char"/>
    <w:basedOn w:val="DefaultParagraphFont"/>
    <w:link w:val="Footer"/>
    <w:uiPriority w:val="99"/>
    <w:rsid w:val="007D1ED2"/>
    <w:rPr>
      <w:lang w:val=""/>
    </w:rPr>
  </w:style>
  <w:style w:type="character" w:customStyle="1" w:styleId="CommentTextChar">
    <w:name w:val="Comment Text Char"/>
    <w:aliases w:val="Char11 Char,Char11 Char Char Char,字元 Char"/>
    <w:basedOn w:val="DefaultParagraphFont"/>
    <w:link w:val="CommentText"/>
    <w:uiPriority w:val="99"/>
    <w:qFormat/>
    <w:rsid w:val="00F32360"/>
    <w:rPr>
      <w:rFonts w:ascii="Calibri" w:eastAsia="Calibri" w:hAnsi="Calibri" w:cs="Calibri"/>
      <w:sz w:val="20"/>
      <w:lang w:val=""/>
    </w:rPr>
  </w:style>
  <w:style w:type="character" w:styleId="Emphasis">
    <w:name w:val="Emphasis"/>
    <w:basedOn w:val="DefaultParagraphFont"/>
    <w:uiPriority w:val="20"/>
    <w:qFormat/>
    <w:rsid w:val="00E64B32"/>
    <w:rPr>
      <w:i/>
      <w:iCs/>
    </w:rPr>
  </w:style>
  <w:style w:type="paragraph" w:styleId="NormalWeb">
    <w:name w:val="Normal (Web)"/>
    <w:basedOn w:val="Normal"/>
    <w:uiPriority w:val="99"/>
    <w:unhideWhenUsed/>
    <w:rsid w:val="008D0562"/>
    <w:pPr>
      <w:spacing w:before="100" w:beforeAutospacing="1" w:after="100" w:afterAutospacing="1"/>
    </w:pPr>
    <w:rPr>
      <w:lang w:eastAsia="en-US"/>
    </w:rPr>
  </w:style>
  <w:style w:type="character" w:customStyle="1" w:styleId="Heading3Char">
    <w:name w:val="Heading 3 Char"/>
    <w:basedOn w:val="DefaultParagraphFont"/>
    <w:link w:val="Heading3"/>
    <w:uiPriority w:val="99"/>
    <w:rsid w:val="00996D45"/>
    <w:rPr>
      <w:rFonts w:asciiTheme="majorHAnsi" w:eastAsiaTheme="majorEastAsia" w:hAnsiTheme="majorHAnsi" w:cstheme="majorBidi"/>
      <w:color w:val="1F3763" w:themeColor="accent1" w:themeShade="7F"/>
      <w:kern w:val="0"/>
      <w:sz w:val="24"/>
    </w:rPr>
  </w:style>
  <w:style w:type="character" w:styleId="Strong">
    <w:name w:val="Strong"/>
    <w:basedOn w:val="DefaultParagraphFont"/>
    <w:uiPriority w:val="22"/>
    <w:qFormat/>
    <w:rsid w:val="00996D45"/>
    <w:rPr>
      <w:b/>
      <w:bCs/>
    </w:rPr>
  </w:style>
  <w:style w:type="character" w:customStyle="1" w:styleId="BalloonTextChar">
    <w:name w:val="Balloon Text Char"/>
    <w:basedOn w:val="DefaultParagraphFont"/>
    <w:link w:val="BalloonText"/>
    <w:uiPriority w:val="99"/>
    <w:rsid w:val="00133B15"/>
    <w:rPr>
      <w:rFonts w:ascii="Calibri" w:eastAsia="Calibri" w:hAnsi="Calibri" w:cs="Calibri"/>
      <w:color w:val="000000"/>
      <w:kern w:val="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2452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remierbiosoft.com/netprimer/in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698D1-F5D4-414E-B779-CDF752448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881</Words>
  <Characters>5028</Characters>
  <Application>Microsoft Office Word</Application>
  <DocSecurity>0</DocSecurity>
  <Lines>41</Lines>
  <Paragraphs>11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Satou Laboratory</cp:lastModifiedBy>
  <cp:revision>10</cp:revision>
  <cp:lastPrinted>2023-05-13T06:49:00Z</cp:lastPrinted>
  <dcterms:created xsi:type="dcterms:W3CDTF">2023-05-13T05:29:00Z</dcterms:created>
  <dcterms:modified xsi:type="dcterms:W3CDTF">2023-06-06T03:41:00Z</dcterms:modified>
</cp:coreProperties>
</file>