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ascii="Times New Roman" w:hAnsi="Times New Roman" w:cs="Times New Roman"/>
          <w:b/>
          <w:bCs/>
          <w:sz w:val="24"/>
        </w:rPr>
      </w:pPr>
      <w:r>
        <w:rPr>
          <w:rFonts w:ascii="Times New Roman" w:hAnsi="Times New Roman" w:cs="Times New Roman"/>
          <w:b/>
          <w:bCs/>
          <w:sz w:val="24"/>
        </w:rPr>
        <w:t xml:space="preserve">Supplementary Material </w:t>
      </w:r>
      <w:bookmarkStart w:id="0" w:name="_GoBack"/>
      <w:bookmarkEnd w:id="0"/>
    </w:p>
    <w:p>
      <w:pPr>
        <w:spacing w:line="480" w:lineRule="auto"/>
        <w:jc w:val="center"/>
        <w:rPr>
          <w:rFonts w:ascii="Times New Roman" w:hAnsi="Times New Roman" w:cs="Times New Roman"/>
          <w:b/>
          <w:bCs/>
          <w:sz w:val="24"/>
        </w:rPr>
      </w:pPr>
    </w:p>
    <w:p>
      <w:pPr>
        <w:numPr>
          <w:ilvl w:val="0"/>
          <w:numId w:val="1"/>
        </w:numPr>
        <w:spacing w:line="480" w:lineRule="auto"/>
        <w:rPr>
          <w:rFonts w:ascii="Times New Roman" w:hAnsi="Times New Roman" w:cs="Times New Roman"/>
          <w:b/>
          <w:bCs/>
          <w:sz w:val="24"/>
        </w:rPr>
      </w:pPr>
      <w:r>
        <w:rPr>
          <w:rFonts w:ascii="Times New Roman" w:hAnsi="Times New Roman" w:cs="Times New Roman"/>
          <w:b/>
          <w:bCs/>
          <w:sz w:val="24"/>
        </w:rPr>
        <w:t>The mice fecal samples preparation</w:t>
      </w:r>
    </w:p>
    <w:p>
      <w:pPr>
        <w:spacing w:line="480" w:lineRule="auto"/>
        <w:ind w:firstLine="480" w:firstLineChars="200"/>
        <w:rPr>
          <w:rFonts w:ascii="Times New Roman" w:hAnsi="Times New Roman" w:cs="Times New Roman"/>
          <w:sz w:val="24"/>
        </w:rPr>
      </w:pPr>
      <w:r>
        <w:rPr>
          <w:rFonts w:ascii="Times New Roman" w:hAnsi="Times New Roman" w:cs="Times New Roman"/>
          <w:sz w:val="24"/>
        </w:rPr>
        <w:t xml:space="preserve">The ratio between sample and extraction solvent is sample/solvent value = 1/100, and the ratio between different extraction solvents is: methyl </w:t>
      </w:r>
      <w:r>
        <w:rPr>
          <w:rFonts w:ascii="Times New Roman" w:hAnsi="Times New Roman" w:cs="Times New Roman"/>
          <w:i/>
          <w:iCs/>
          <w:sz w:val="24"/>
        </w:rPr>
        <w:t>tert</w:t>
      </w:r>
      <w:r>
        <w:rPr>
          <w:rFonts w:ascii="Times New Roman" w:hAnsi="Times New Roman" w:cs="Times New Roman"/>
          <w:sz w:val="24"/>
        </w:rPr>
        <w:t>-butyl ether</w:t>
      </w:r>
      <w:r>
        <w:rPr>
          <w:rFonts w:hint="eastAsia" w:ascii="Times New Roman" w:hAnsi="Times New Roman" w:cs="Times New Roman"/>
          <w:sz w:val="24"/>
        </w:rPr>
        <w:t xml:space="preserve"> (MTBE)</w:t>
      </w:r>
      <w:r>
        <w:rPr>
          <w:rFonts w:ascii="Times New Roman" w:hAnsi="Times New Roman" w:cs="Times New Roman"/>
          <w:sz w:val="24"/>
        </w:rPr>
        <w:t>/80 % methanol/</w:t>
      </w:r>
      <w:r>
        <w:rPr>
          <w:rFonts w:hint="eastAsia" w:ascii="Times New Roman" w:hAnsi="Times New Roman" w:cs="Times New Roman"/>
          <w:sz w:val="24"/>
        </w:rPr>
        <w:t>water</w:t>
      </w:r>
      <w:r>
        <w:rPr>
          <w:rFonts w:ascii="Times New Roman" w:hAnsi="Times New Roman" w:cs="Times New Roman"/>
          <w:sz w:val="24"/>
        </w:rPr>
        <w:t xml:space="preserve"> solvent system (4.5:1:2.5). This is the extraction step: First, 80% ice-cold methanol is added to the sample and vortexed for 30s. This is followed by the addition of 4.5 times the volume of methanol </w:t>
      </w:r>
      <w:r>
        <w:rPr>
          <w:rFonts w:hint="eastAsia" w:ascii="Times New Roman" w:hAnsi="Times New Roman" w:cs="Times New Roman"/>
          <w:sz w:val="24"/>
        </w:rPr>
        <w:t>MTBE</w:t>
      </w:r>
      <w:r>
        <w:rPr>
          <w:rFonts w:ascii="Times New Roman" w:hAnsi="Times New Roman" w:cs="Times New Roman"/>
          <w:sz w:val="24"/>
        </w:rPr>
        <w:t xml:space="preserve">. Samples are mixed by vortexing and extracted by sonication for 20 min. Next, add 2.5 times the volume of methanol water, incubate at 4 °C for 10 min, and centrifuge at 5,000 rpm/min for 15 min. Transfer the </w:t>
      </w:r>
      <w:r>
        <w:rPr>
          <w:rFonts w:hint="eastAsia" w:ascii="Times New Roman" w:hAnsi="Times New Roman" w:cs="Times New Roman"/>
          <w:sz w:val="24"/>
        </w:rPr>
        <w:t>water</w:t>
      </w:r>
      <w:r>
        <w:rPr>
          <w:rFonts w:ascii="Times New Roman" w:hAnsi="Times New Roman" w:cs="Times New Roman"/>
          <w:sz w:val="24"/>
        </w:rPr>
        <w:t xml:space="preserve"> phase to a 2 mL eppendorf tube or glass tube and dr</w:t>
      </w:r>
      <w:r>
        <w:rPr>
          <w:rFonts w:hint="eastAsia" w:ascii="Times New Roman" w:hAnsi="Times New Roman" w:cs="Times New Roman"/>
          <w:sz w:val="24"/>
        </w:rPr>
        <w:t>ied</w:t>
      </w:r>
      <w:r>
        <w:rPr>
          <w:rFonts w:ascii="Times New Roman" w:hAnsi="Times New Roman" w:cs="Times New Roman"/>
          <w:sz w:val="24"/>
        </w:rPr>
        <w:t xml:space="preserve"> using a </w:t>
      </w:r>
      <w:r>
        <w:rPr>
          <w:rFonts w:hint="eastAsia" w:ascii="Times New Roman" w:hAnsi="Times New Roman" w:cs="Times New Roman"/>
          <w:sz w:val="24"/>
        </w:rPr>
        <w:t>S</w:t>
      </w:r>
      <w:r>
        <w:rPr>
          <w:rFonts w:ascii="Times New Roman" w:hAnsi="Times New Roman" w:cs="Times New Roman"/>
          <w:sz w:val="24"/>
        </w:rPr>
        <w:t>peedvac vacuum concentrator (Eppendorf, Germany) and a nitrogen purge evaporator.</w:t>
      </w:r>
    </w:p>
    <w:p>
      <w:pPr>
        <w:spacing w:line="480" w:lineRule="auto"/>
        <w:ind w:firstLine="480" w:firstLineChars="200"/>
        <w:rPr>
          <w:rFonts w:ascii="Times New Roman" w:hAnsi="Times New Roman" w:cs="Times New Roman"/>
          <w:sz w:val="24"/>
        </w:rPr>
      </w:pPr>
      <w:r>
        <w:rPr>
          <w:rFonts w:ascii="Times New Roman" w:hAnsi="Times New Roman" w:cs="Times New Roman"/>
          <w:sz w:val="24"/>
        </w:rPr>
        <w:t xml:space="preserve">Sample </w:t>
      </w:r>
      <w:r>
        <w:rPr>
          <w:rFonts w:hint="eastAsia" w:ascii="Times New Roman" w:hAnsi="Times New Roman" w:cs="Times New Roman"/>
          <w:sz w:val="24"/>
        </w:rPr>
        <w:t>r</w:t>
      </w:r>
      <w:r>
        <w:rPr>
          <w:rFonts w:ascii="Times New Roman" w:hAnsi="Times New Roman" w:cs="Times New Roman"/>
          <w:sz w:val="24"/>
        </w:rPr>
        <w:t xml:space="preserve">edissolve: 150 μL of 80% methanol </w:t>
      </w:r>
      <w:r>
        <w:rPr>
          <w:rFonts w:hint="eastAsia" w:ascii="Times New Roman" w:hAnsi="Times New Roman" w:cs="Times New Roman"/>
          <w:sz w:val="24"/>
        </w:rPr>
        <w:t>r</w:t>
      </w:r>
      <w:r>
        <w:rPr>
          <w:rFonts w:ascii="Times New Roman" w:hAnsi="Times New Roman" w:cs="Times New Roman"/>
          <w:sz w:val="24"/>
        </w:rPr>
        <w:t>edissolve</w:t>
      </w:r>
      <w:r>
        <w:rPr>
          <w:rFonts w:hint="eastAsia" w:ascii="Times New Roman" w:hAnsi="Times New Roman" w:cs="Times New Roman"/>
          <w:sz w:val="24"/>
        </w:rPr>
        <w:t>s</w:t>
      </w:r>
      <w:r>
        <w:rPr>
          <w:rFonts w:ascii="Times New Roman" w:hAnsi="Times New Roman" w:cs="Times New Roman"/>
          <w:sz w:val="24"/>
        </w:rPr>
        <w:t xml:space="preserve"> sample, transfer the redissolved sample to</w:t>
      </w:r>
      <w:r>
        <w:rPr>
          <w:rFonts w:hint="eastAsia" w:ascii="Times New Roman" w:hAnsi="Times New Roman" w:cs="Times New Roman"/>
          <w:sz w:val="24"/>
        </w:rPr>
        <w:t xml:space="preserve"> </w:t>
      </w:r>
      <w:r>
        <w:rPr>
          <w:rFonts w:ascii="Times New Roman" w:hAnsi="Times New Roman" w:cs="Times New Roman"/>
          <w:sz w:val="24"/>
        </w:rPr>
        <w:t>a 1.5 mL centrifuge tube, centrifuge at 12,000 rpm at 4°C for 10 min, and take the supernatant for UHPLC Q-TOF MS injection analysis</w:t>
      </w:r>
      <w:r>
        <w:rPr>
          <w:rFonts w:hint="eastAsia" w:ascii="Times New Roman" w:hAnsi="Times New Roman" w:cs="Times New Roman"/>
          <w:sz w:val="24"/>
        </w:rPr>
        <w:t>.</w:t>
      </w:r>
      <w:r>
        <w:rPr>
          <w:rFonts w:ascii="Times New Roman" w:hAnsi="Times New Roman" w:cs="Times New Roman"/>
          <w:sz w:val="24"/>
        </w:rPr>
        <w:t xml:space="preserve"> To ensure the stability and repeatability of the experiments, 10 μL each sample were pooled together as a quality control (QC) sample.</w:t>
      </w:r>
    </w:p>
    <w:p>
      <w:pPr>
        <w:numPr>
          <w:ilvl w:val="0"/>
          <w:numId w:val="1"/>
        </w:numPr>
        <w:spacing w:line="480" w:lineRule="auto"/>
        <w:rPr>
          <w:rFonts w:ascii="Times New Roman" w:hAnsi="Times New Roman" w:cs="Times New Roman"/>
          <w:b/>
          <w:bCs/>
          <w:sz w:val="24"/>
        </w:rPr>
      </w:pPr>
      <w:r>
        <w:rPr>
          <w:rFonts w:ascii="Times New Roman" w:hAnsi="Times New Roman" w:cs="Times New Roman"/>
          <w:b/>
          <w:bCs/>
          <w:sz w:val="24"/>
        </w:rPr>
        <w:t xml:space="preserve">UHPLC Q-TOF MS </w:t>
      </w:r>
      <w:r>
        <w:rPr>
          <w:rFonts w:hint="eastAsia" w:ascii="Times New Roman" w:hAnsi="Times New Roman" w:cs="Times New Roman"/>
          <w:b/>
          <w:bCs/>
          <w:sz w:val="24"/>
        </w:rPr>
        <w:t>a</w:t>
      </w:r>
      <w:r>
        <w:rPr>
          <w:rFonts w:ascii="Times New Roman" w:hAnsi="Times New Roman" w:cs="Times New Roman"/>
          <w:b/>
          <w:bCs/>
          <w:sz w:val="24"/>
        </w:rPr>
        <w:t>nalysis</w:t>
      </w:r>
      <w:r>
        <w:rPr>
          <w:rFonts w:hint="eastAsia" w:ascii="Times New Roman" w:hAnsi="Times New Roman" w:cs="Times New Roman"/>
          <w:b/>
          <w:bCs/>
          <w:sz w:val="24"/>
        </w:rPr>
        <w:t xml:space="preserve"> of t</w:t>
      </w:r>
      <w:r>
        <w:rPr>
          <w:rFonts w:ascii="Times New Roman" w:hAnsi="Times New Roman" w:cs="Times New Roman"/>
          <w:b/>
          <w:bCs/>
          <w:sz w:val="24"/>
        </w:rPr>
        <w:t>he mice fecal samples</w:t>
      </w:r>
    </w:p>
    <w:p>
      <w:pPr>
        <w:spacing w:line="480" w:lineRule="auto"/>
        <w:ind w:firstLine="480" w:firstLineChars="200"/>
        <w:rPr>
          <w:rFonts w:ascii="Times New Roman" w:hAnsi="Times New Roman" w:cs="Times New Roman"/>
          <w:sz w:val="24"/>
        </w:rPr>
      </w:pPr>
      <w:r>
        <w:rPr>
          <w:rFonts w:ascii="Times New Roman" w:hAnsi="Times New Roman" w:cs="Times New Roman"/>
          <w:sz w:val="24"/>
        </w:rPr>
        <w:t>For ultrahigh-performance liquid chromatography (U</w:t>
      </w:r>
      <w:r>
        <w:rPr>
          <w:rFonts w:hint="eastAsia" w:ascii="Times New Roman" w:hAnsi="Times New Roman" w:cs="Times New Roman"/>
          <w:sz w:val="24"/>
        </w:rPr>
        <w:t>H</w:t>
      </w:r>
      <w:r>
        <w:rPr>
          <w:rFonts w:ascii="Times New Roman" w:hAnsi="Times New Roman" w:cs="Times New Roman"/>
          <w:sz w:val="24"/>
        </w:rPr>
        <w:t xml:space="preserve">PLC)–MS analysis, The </w:t>
      </w:r>
      <w:r>
        <w:rPr>
          <w:rFonts w:hint="eastAsia" w:ascii="Times New Roman" w:hAnsi="Times New Roman" w:cs="Times New Roman"/>
          <w:sz w:val="24"/>
        </w:rPr>
        <w:t>sample of feces</w:t>
      </w:r>
      <w:r>
        <w:rPr>
          <w:rFonts w:ascii="Times New Roman" w:hAnsi="Times New Roman" w:cs="Times New Roman"/>
          <w:sz w:val="24"/>
        </w:rPr>
        <w:t xml:space="preserve"> extracts were reconstituted with 150 μL of methanol/water (80/20) solution. LC–MS analysis was performed on a liquid chromatography system (ExionLC AD) coupled with a Triple TOF 5600+ mass spectrometer (AB Sciex, CA, USA). Chromatographic separations of polar and non-polar extracts were both performed by using a Waters Acquity UHPLC HSS T3 column (2.1 mm × 100 mm, 1.8 μm) with a temperature of 40 °C. The injected volume was 5 μL. The </w:t>
      </w:r>
      <w:r>
        <w:rPr>
          <w:rFonts w:hint="eastAsia" w:ascii="Times New Roman" w:hAnsi="Times New Roman" w:cs="Times New Roman"/>
          <w:sz w:val="24"/>
        </w:rPr>
        <w:t>sample of feces</w:t>
      </w:r>
      <w:r>
        <w:rPr>
          <w:rFonts w:ascii="Times New Roman" w:hAnsi="Times New Roman" w:cs="Times New Roman"/>
          <w:sz w:val="24"/>
        </w:rPr>
        <w:t xml:space="preserve"> extracts were 0.1% formic acid aqueous solution (A) and acetonitrile (B). The LC pump was programmed at a flow rate of 0.3 mL/min, and the gradient elution was optimized as follows: </w:t>
      </w:r>
    </w:p>
    <w:tbl>
      <w:tblPr>
        <w:tblStyle w:val="4"/>
        <w:tblW w:w="0" w:type="auto"/>
        <w:tblInd w:w="115" w:type="dxa"/>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80"/>
        <w:gridCol w:w="2688"/>
        <w:gridCol w:w="2076"/>
        <w:gridCol w:w="2232"/>
      </w:tblGrid>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1380" w:type="dxa"/>
            <w:tcBorders>
              <w:top w:val="single" w:color="auto" w:sz="12" w:space="0"/>
              <w:left w:val="nil"/>
              <w:bottom w:val="single" w:color="auto" w:sz="6" w:space="0"/>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lang w:bidi="ar"/>
              </w:rPr>
              <w:t>Time (min)</w:t>
            </w:r>
          </w:p>
        </w:tc>
        <w:tc>
          <w:tcPr>
            <w:tcW w:w="2688" w:type="dxa"/>
            <w:tcBorders>
              <w:top w:val="single" w:color="auto" w:sz="12" w:space="0"/>
              <w:left w:val="nil"/>
              <w:bottom w:val="single" w:color="auto" w:sz="6" w:space="0"/>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lang w:bidi="ar"/>
              </w:rPr>
              <w:t>0.1% Formic acid (A, %)</w:t>
            </w:r>
          </w:p>
        </w:tc>
        <w:tc>
          <w:tcPr>
            <w:tcW w:w="2076" w:type="dxa"/>
            <w:tcBorders>
              <w:top w:val="single" w:color="auto" w:sz="12" w:space="0"/>
              <w:left w:val="nil"/>
              <w:bottom w:val="single" w:color="auto" w:sz="6" w:space="0"/>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lang w:bidi="ar"/>
              </w:rPr>
              <w:t>Acetonitrile (B, %)</w:t>
            </w:r>
          </w:p>
        </w:tc>
        <w:tc>
          <w:tcPr>
            <w:tcW w:w="2232" w:type="dxa"/>
            <w:tcBorders>
              <w:top w:val="single" w:color="auto" w:sz="12" w:space="0"/>
              <w:left w:val="nil"/>
              <w:bottom w:val="single" w:color="auto" w:sz="6" w:space="0"/>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lang w:bidi="ar"/>
              </w:rPr>
              <w:t>Flow rate (mL/min)</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1380" w:type="dxa"/>
            <w:tcBorders>
              <w:top w:val="single" w:color="auto" w:sz="6" w:space="0"/>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cs="Times New Roman"/>
                <w:szCs w:val="21"/>
              </w:rPr>
              <w:t>0–5</w:t>
            </w:r>
          </w:p>
        </w:tc>
        <w:tc>
          <w:tcPr>
            <w:tcW w:w="2688" w:type="dxa"/>
            <w:tcBorders>
              <w:top w:val="single" w:color="auto" w:sz="6" w:space="0"/>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lang w:bidi="ar"/>
              </w:rPr>
              <w:t>98</w:t>
            </w:r>
          </w:p>
        </w:tc>
        <w:tc>
          <w:tcPr>
            <w:tcW w:w="2076" w:type="dxa"/>
            <w:tcBorders>
              <w:top w:val="single" w:color="auto" w:sz="6" w:space="0"/>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lang w:bidi="ar"/>
              </w:rPr>
              <w:t>2</w:t>
            </w:r>
          </w:p>
        </w:tc>
        <w:tc>
          <w:tcPr>
            <w:tcW w:w="2232" w:type="dxa"/>
            <w:tcBorders>
              <w:top w:val="single" w:color="auto" w:sz="6" w:space="0"/>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lang w:bidi="ar"/>
              </w:rPr>
              <w:t>0.</w:t>
            </w:r>
            <w:r>
              <w:rPr>
                <w:rFonts w:hint="eastAsia" w:ascii="Times New Roman" w:hAnsi="Times New Roman" w:eastAsia="宋体" w:cs="Times New Roman"/>
                <w:szCs w:val="21"/>
                <w:lang w:bidi="ar"/>
              </w:rPr>
              <w:t>3</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1380"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cs="Times New Roman"/>
                <w:szCs w:val="21"/>
              </w:rPr>
              <w:t>5–5.5</w:t>
            </w:r>
          </w:p>
        </w:tc>
        <w:tc>
          <w:tcPr>
            <w:tcW w:w="2688"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lang w:bidi="ar"/>
              </w:rPr>
              <w:t>98</w:t>
            </w:r>
            <w:r>
              <w:rPr>
                <w:rFonts w:hint="eastAsia" w:ascii="Times New Roman" w:hAnsi="Times New Roman" w:eastAsia="宋体" w:cs="Times New Roman"/>
                <w:szCs w:val="21"/>
                <w:lang w:bidi="ar"/>
              </w:rPr>
              <w:t>-85</w:t>
            </w:r>
          </w:p>
        </w:tc>
        <w:tc>
          <w:tcPr>
            <w:tcW w:w="2076"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cs="Times New Roman"/>
                <w:szCs w:val="21"/>
              </w:rPr>
              <w:t>2–15</w:t>
            </w:r>
          </w:p>
        </w:tc>
        <w:tc>
          <w:tcPr>
            <w:tcW w:w="2232"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lang w:bidi="ar"/>
              </w:rPr>
              <w:t>0.</w:t>
            </w:r>
            <w:r>
              <w:rPr>
                <w:rFonts w:hint="eastAsia" w:ascii="Times New Roman" w:hAnsi="Times New Roman" w:eastAsia="宋体" w:cs="Times New Roman"/>
                <w:szCs w:val="21"/>
                <w:lang w:bidi="ar"/>
              </w:rPr>
              <w:t>3</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1380"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cs="Times New Roman"/>
                <w:szCs w:val="21"/>
              </w:rPr>
              <w:t>5.5–10</w:t>
            </w:r>
          </w:p>
        </w:tc>
        <w:tc>
          <w:tcPr>
            <w:tcW w:w="2688"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lang w:bidi="ar"/>
              </w:rPr>
              <w:t>85</w:t>
            </w:r>
          </w:p>
        </w:tc>
        <w:tc>
          <w:tcPr>
            <w:tcW w:w="2076"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lang w:bidi="ar"/>
              </w:rPr>
              <w:t>15</w:t>
            </w:r>
          </w:p>
        </w:tc>
        <w:tc>
          <w:tcPr>
            <w:tcW w:w="2232"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lang w:bidi="ar"/>
              </w:rPr>
              <w:t>0.</w:t>
            </w:r>
            <w:r>
              <w:rPr>
                <w:rFonts w:hint="eastAsia" w:ascii="Times New Roman" w:hAnsi="Times New Roman" w:eastAsia="宋体" w:cs="Times New Roman"/>
                <w:szCs w:val="21"/>
                <w:lang w:bidi="ar"/>
              </w:rPr>
              <w:t>3</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1380"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cs="Times New Roman"/>
                <w:szCs w:val="21"/>
              </w:rPr>
              <w:t>10–25</w:t>
            </w:r>
          </w:p>
        </w:tc>
        <w:tc>
          <w:tcPr>
            <w:tcW w:w="2688"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lang w:bidi="ar"/>
              </w:rPr>
              <w:t>85-40</w:t>
            </w:r>
          </w:p>
        </w:tc>
        <w:tc>
          <w:tcPr>
            <w:tcW w:w="2076"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cs="Times New Roman"/>
                <w:szCs w:val="21"/>
              </w:rPr>
              <w:t>15–60</w:t>
            </w:r>
          </w:p>
        </w:tc>
        <w:tc>
          <w:tcPr>
            <w:tcW w:w="2232"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lang w:bidi="ar"/>
              </w:rPr>
              <w:t>0.</w:t>
            </w:r>
            <w:r>
              <w:rPr>
                <w:rFonts w:hint="eastAsia" w:ascii="Times New Roman" w:hAnsi="Times New Roman" w:eastAsia="宋体" w:cs="Times New Roman"/>
                <w:szCs w:val="21"/>
                <w:lang w:bidi="ar"/>
              </w:rPr>
              <w:t>3</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1380"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cs="Times New Roman"/>
                <w:szCs w:val="21"/>
              </w:rPr>
              <w:t>25–29</w:t>
            </w:r>
          </w:p>
        </w:tc>
        <w:tc>
          <w:tcPr>
            <w:tcW w:w="2688"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lang w:bidi="ar"/>
              </w:rPr>
              <w:t>40</w:t>
            </w:r>
          </w:p>
        </w:tc>
        <w:tc>
          <w:tcPr>
            <w:tcW w:w="2076"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lang w:bidi="ar"/>
              </w:rPr>
              <w:t>60</w:t>
            </w:r>
          </w:p>
        </w:tc>
        <w:tc>
          <w:tcPr>
            <w:tcW w:w="2232"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lang w:bidi="ar"/>
              </w:rPr>
              <w:t>0.</w:t>
            </w:r>
            <w:r>
              <w:rPr>
                <w:rFonts w:hint="eastAsia" w:ascii="Times New Roman" w:hAnsi="Times New Roman" w:eastAsia="宋体" w:cs="Times New Roman"/>
                <w:szCs w:val="21"/>
                <w:lang w:bidi="ar"/>
              </w:rPr>
              <w:t>3</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1380"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cs="Times New Roman"/>
                <w:szCs w:val="21"/>
              </w:rPr>
              <w:t>29–30</w:t>
            </w:r>
          </w:p>
        </w:tc>
        <w:tc>
          <w:tcPr>
            <w:tcW w:w="2688"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lang w:bidi="ar"/>
              </w:rPr>
              <w:t>40-5</w:t>
            </w:r>
          </w:p>
        </w:tc>
        <w:tc>
          <w:tcPr>
            <w:tcW w:w="2076"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cs="Times New Roman"/>
                <w:szCs w:val="21"/>
              </w:rPr>
              <w:t>60–95</w:t>
            </w:r>
          </w:p>
        </w:tc>
        <w:tc>
          <w:tcPr>
            <w:tcW w:w="2232"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lang w:bidi="ar"/>
              </w:rPr>
              <w:t>0.</w:t>
            </w:r>
            <w:r>
              <w:rPr>
                <w:rFonts w:hint="eastAsia" w:ascii="Times New Roman" w:hAnsi="Times New Roman" w:eastAsia="宋体" w:cs="Times New Roman"/>
                <w:szCs w:val="21"/>
                <w:lang w:bidi="ar"/>
              </w:rPr>
              <w:t>3</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1380"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cs="Times New Roman"/>
                <w:szCs w:val="21"/>
              </w:rPr>
              <w:t>30–34</w:t>
            </w:r>
          </w:p>
        </w:tc>
        <w:tc>
          <w:tcPr>
            <w:tcW w:w="2688"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lang w:bidi="ar"/>
              </w:rPr>
              <w:t>5</w:t>
            </w:r>
          </w:p>
        </w:tc>
        <w:tc>
          <w:tcPr>
            <w:tcW w:w="2076"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lang w:bidi="ar"/>
              </w:rPr>
              <w:t>9</w:t>
            </w:r>
            <w:r>
              <w:rPr>
                <w:rFonts w:hint="eastAsia" w:ascii="Times New Roman" w:hAnsi="Times New Roman" w:eastAsia="宋体" w:cs="Times New Roman"/>
                <w:szCs w:val="21"/>
                <w:lang w:bidi="ar"/>
              </w:rPr>
              <w:t>5</w:t>
            </w:r>
          </w:p>
        </w:tc>
        <w:tc>
          <w:tcPr>
            <w:tcW w:w="2232"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lang w:bidi="ar"/>
              </w:rPr>
              <w:t>0.</w:t>
            </w:r>
            <w:r>
              <w:rPr>
                <w:rFonts w:hint="eastAsia" w:ascii="Times New Roman" w:hAnsi="Times New Roman" w:eastAsia="宋体" w:cs="Times New Roman"/>
                <w:szCs w:val="21"/>
                <w:lang w:bidi="ar"/>
              </w:rPr>
              <w:t>3</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1380"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cs="Times New Roman"/>
                <w:szCs w:val="21"/>
              </w:rPr>
              <w:t>34–34.5</w:t>
            </w:r>
          </w:p>
        </w:tc>
        <w:tc>
          <w:tcPr>
            <w:tcW w:w="2688"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lang w:bidi="ar"/>
              </w:rPr>
              <w:t>5-</w:t>
            </w:r>
            <w:r>
              <w:rPr>
                <w:rFonts w:ascii="Times New Roman" w:hAnsi="Times New Roman" w:eastAsia="宋体" w:cs="Times New Roman"/>
                <w:szCs w:val="21"/>
                <w:lang w:bidi="ar"/>
              </w:rPr>
              <w:t>9</w:t>
            </w:r>
            <w:r>
              <w:rPr>
                <w:rFonts w:hint="eastAsia" w:ascii="Times New Roman" w:hAnsi="Times New Roman" w:eastAsia="宋体" w:cs="Times New Roman"/>
                <w:szCs w:val="21"/>
                <w:lang w:bidi="ar"/>
              </w:rPr>
              <w:t>8</w:t>
            </w:r>
          </w:p>
        </w:tc>
        <w:tc>
          <w:tcPr>
            <w:tcW w:w="2076"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cs="Times New Roman"/>
                <w:szCs w:val="21"/>
              </w:rPr>
              <w:t>95–2</w:t>
            </w:r>
          </w:p>
        </w:tc>
        <w:tc>
          <w:tcPr>
            <w:tcW w:w="2232" w:type="dxa"/>
            <w:tcBorders>
              <w:top w:val="nil"/>
              <w:left w:val="nil"/>
              <w:bottom w:val="nil"/>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lang w:bidi="ar"/>
              </w:rPr>
              <w:t>0.</w:t>
            </w:r>
            <w:r>
              <w:rPr>
                <w:rFonts w:hint="eastAsia" w:ascii="Times New Roman" w:hAnsi="Times New Roman" w:eastAsia="宋体" w:cs="Times New Roman"/>
                <w:szCs w:val="21"/>
                <w:lang w:bidi="ar"/>
              </w:rPr>
              <w:t>3</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1380" w:type="dxa"/>
            <w:tcBorders>
              <w:top w:val="nil"/>
              <w:left w:val="nil"/>
              <w:bottom w:val="single" w:color="auto" w:sz="12" w:space="0"/>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cs="Times New Roman"/>
                <w:szCs w:val="21"/>
              </w:rPr>
              <w:t>34.5</w:t>
            </w:r>
            <w:r>
              <w:rPr>
                <w:rFonts w:hint="eastAsia" w:ascii="Times New Roman" w:hAnsi="Times New Roman" w:eastAsia="宋体" w:cs="Times New Roman"/>
                <w:szCs w:val="21"/>
                <w:lang w:bidi="ar"/>
              </w:rPr>
              <w:t>-</w:t>
            </w:r>
            <w:r>
              <w:rPr>
                <w:rFonts w:ascii="Times New Roman" w:hAnsi="Times New Roman" w:eastAsia="宋体" w:cs="Times New Roman"/>
                <w:szCs w:val="21"/>
                <w:lang w:bidi="ar"/>
              </w:rPr>
              <w:t>3</w:t>
            </w:r>
            <w:r>
              <w:rPr>
                <w:rFonts w:hint="eastAsia" w:ascii="Times New Roman" w:hAnsi="Times New Roman" w:eastAsia="宋体" w:cs="Times New Roman"/>
                <w:szCs w:val="21"/>
                <w:lang w:bidi="ar"/>
              </w:rPr>
              <w:t>8</w:t>
            </w:r>
          </w:p>
        </w:tc>
        <w:tc>
          <w:tcPr>
            <w:tcW w:w="2688" w:type="dxa"/>
            <w:tcBorders>
              <w:top w:val="nil"/>
              <w:left w:val="nil"/>
              <w:bottom w:val="single" w:color="auto" w:sz="12" w:space="0"/>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lang w:bidi="ar"/>
              </w:rPr>
              <w:t>98</w:t>
            </w:r>
          </w:p>
        </w:tc>
        <w:tc>
          <w:tcPr>
            <w:tcW w:w="2076" w:type="dxa"/>
            <w:tcBorders>
              <w:top w:val="nil"/>
              <w:left w:val="nil"/>
              <w:bottom w:val="single" w:color="auto" w:sz="12" w:space="0"/>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lang w:bidi="ar"/>
              </w:rPr>
              <w:t>2</w:t>
            </w:r>
          </w:p>
        </w:tc>
        <w:tc>
          <w:tcPr>
            <w:tcW w:w="2232" w:type="dxa"/>
            <w:tcBorders>
              <w:top w:val="nil"/>
              <w:left w:val="nil"/>
              <w:bottom w:val="single" w:color="auto" w:sz="12" w:space="0"/>
              <w:right w:val="nil"/>
            </w:tcBorders>
            <w:shd w:val="clear" w:color="auto" w:fill="auto"/>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lang w:bidi="ar"/>
              </w:rPr>
              <w:t>0.</w:t>
            </w:r>
            <w:r>
              <w:rPr>
                <w:rFonts w:hint="eastAsia" w:ascii="Times New Roman" w:hAnsi="Times New Roman" w:eastAsia="宋体" w:cs="Times New Roman"/>
                <w:szCs w:val="21"/>
                <w:lang w:bidi="ar"/>
              </w:rPr>
              <w:t>3</w:t>
            </w:r>
          </w:p>
        </w:tc>
      </w:tr>
    </w:tbl>
    <w:p>
      <w:pPr>
        <w:spacing w:line="480" w:lineRule="auto"/>
        <w:ind w:firstLine="480" w:firstLineChars="200"/>
        <w:rPr>
          <w:rFonts w:ascii="Times New Roman" w:hAnsi="Times New Roman" w:cs="Times New Roman"/>
          <w:sz w:val="24"/>
        </w:rPr>
      </w:pPr>
      <w:r>
        <w:rPr>
          <w:rFonts w:ascii="Times New Roman" w:hAnsi="Times New Roman" w:cs="Times New Roman"/>
          <w:sz w:val="24"/>
        </w:rPr>
        <w:t>The parameter settings of the electron spray ionization (ESI) source, which was operated in the negative and positive ion modes, were as follows: ion spray voltages of −4500 V (negative) and 5500 V (positive), a turbo spray temperature of 550 °C, nebulizer gas (gas 1) of 55 psi, heater gas (gas 2) of 55 psi, curtain gas (CUR) of 30 psi, and declustering potential (DP) of 60 V. The mass spectrometer was operated in TOF MS coupled with information-dependent acquisition (IDA) trigger product ion scan modes. One MS cycle was composed of one TOF MS survey scan (accumulation time, 0.25 s) followed by up to 10 IDA-product ion scans (accumulation time, 0.09 s). IDA criteria were set as follows: the intensity threshold was 100 cps, and the dynamic background subtraction was switched on. The scan range of TOF MS was m/z 100–1500. Product ion scans were acquired from m/z 50–1250 with high sensitivity. The collision energy (CE) was set to 35 eV with a CE spread (CEs) of 15 eV. To ensure the stability and repeatability of the experiments, 10 μL each sample were pooled together as a quality control (QC) sample. For each batch (</w:t>
      </w:r>
      <w:r>
        <w:rPr>
          <w:rFonts w:hint="eastAsia" w:ascii="Times New Roman" w:hAnsi="Times New Roman" w:cs="Times New Roman"/>
          <w:sz w:val="24"/>
        </w:rPr>
        <w:t>t</w:t>
      </w:r>
      <w:r>
        <w:rPr>
          <w:rFonts w:ascii="Times New Roman" w:hAnsi="Times New Roman" w:cs="Times New Roman"/>
          <w:sz w:val="24"/>
        </w:rPr>
        <w:t xml:space="preserve">he </w:t>
      </w:r>
      <w:r>
        <w:rPr>
          <w:rFonts w:hint="eastAsia" w:ascii="Times New Roman" w:hAnsi="Times New Roman" w:cs="Times New Roman"/>
          <w:sz w:val="24"/>
        </w:rPr>
        <w:t>sample of feces</w:t>
      </w:r>
      <w:r>
        <w:rPr>
          <w:rFonts w:ascii="Times New Roman" w:hAnsi="Times New Roman" w:cs="Times New Roman"/>
          <w:sz w:val="24"/>
        </w:rPr>
        <w:t xml:space="preserve"> extracts  acquired in positive and negative ion modes, respectively), the QC sample was injected once every five injections to monitor the stability of the instrument.</w:t>
      </w:r>
    </w:p>
    <w:p>
      <w:pPr>
        <w:numPr>
          <w:ilvl w:val="0"/>
          <w:numId w:val="1"/>
        </w:numPr>
        <w:spacing w:line="480" w:lineRule="auto"/>
        <w:rPr>
          <w:rFonts w:ascii="Times New Roman" w:hAnsi="Times New Roman" w:cs="Times New Roman"/>
          <w:b/>
          <w:bCs/>
          <w:sz w:val="24"/>
        </w:rPr>
      </w:pPr>
      <w:r>
        <w:rPr>
          <w:rFonts w:ascii="Times New Roman" w:hAnsi="Times New Roman" w:cs="Times New Roman"/>
          <w:b/>
          <w:bCs/>
          <w:sz w:val="24"/>
        </w:rPr>
        <w:t xml:space="preserve">The mice </w:t>
      </w:r>
      <w:r>
        <w:rPr>
          <w:rFonts w:hint="eastAsia" w:ascii="Times New Roman" w:hAnsi="Times New Roman" w:cs="Times New Roman"/>
          <w:b/>
          <w:bCs/>
          <w:sz w:val="24"/>
        </w:rPr>
        <w:t>lung</w:t>
      </w:r>
      <w:r>
        <w:rPr>
          <w:rFonts w:ascii="Times New Roman" w:hAnsi="Times New Roman" w:cs="Times New Roman"/>
          <w:b/>
          <w:bCs/>
          <w:sz w:val="24"/>
        </w:rPr>
        <w:t xml:space="preserve"> samples preparation</w:t>
      </w:r>
    </w:p>
    <w:p>
      <w:pPr>
        <w:spacing w:line="480" w:lineRule="auto"/>
        <w:ind w:firstLine="480" w:firstLineChars="200"/>
        <w:rPr>
          <w:rFonts w:ascii="Times New Roman" w:hAnsi="Times New Roman" w:cs="Times New Roman"/>
          <w:sz w:val="24"/>
        </w:rPr>
      </w:pPr>
      <w:r>
        <w:rPr>
          <w:rFonts w:ascii="Times New Roman" w:hAnsi="Times New Roman" w:cs="Times New Roman"/>
          <w:sz w:val="24"/>
        </w:rPr>
        <w:t>Take 50 mg of lung tissue into a 1.5 mL centrifuge tube, add 3-4 steel balls, add pre-cooled 80% methanol (sample: methanol = 1:10), and place the centrifuge tube into the tissue grinder. The parameters of the grinder are set to 60 Hz, 2 min. After the end of grinding, incubate on ice for 1 h, then centrifuge with a cryogenic high-speed centrifuge (13,000 rpm/min, 15 min), after which 400 μL of the supernatant is placed into a new sterile centrifuge tube, and finally dried with a vacuum centrifugal concentrator.</w:t>
      </w:r>
    </w:p>
    <w:p>
      <w:pPr>
        <w:numPr>
          <w:ilvl w:val="0"/>
          <w:numId w:val="1"/>
        </w:numPr>
        <w:spacing w:line="480" w:lineRule="auto"/>
        <w:rPr>
          <w:rFonts w:ascii="Times New Roman" w:hAnsi="Times New Roman" w:cs="Times New Roman"/>
          <w:b/>
          <w:bCs/>
          <w:sz w:val="24"/>
        </w:rPr>
      </w:pPr>
      <w:r>
        <w:rPr>
          <w:rFonts w:ascii="Times New Roman" w:hAnsi="Times New Roman" w:cs="Times New Roman"/>
          <w:b/>
          <w:bCs/>
          <w:sz w:val="24"/>
        </w:rPr>
        <w:t xml:space="preserve">UHPLC Q-TOF MS </w:t>
      </w:r>
      <w:r>
        <w:rPr>
          <w:rFonts w:hint="eastAsia" w:ascii="Times New Roman" w:hAnsi="Times New Roman" w:cs="Times New Roman"/>
          <w:b/>
          <w:bCs/>
          <w:sz w:val="24"/>
        </w:rPr>
        <w:t>a</w:t>
      </w:r>
      <w:r>
        <w:rPr>
          <w:rFonts w:ascii="Times New Roman" w:hAnsi="Times New Roman" w:cs="Times New Roman"/>
          <w:b/>
          <w:bCs/>
          <w:sz w:val="24"/>
        </w:rPr>
        <w:t>nalysis</w:t>
      </w:r>
      <w:r>
        <w:rPr>
          <w:rFonts w:hint="eastAsia" w:ascii="Times New Roman" w:hAnsi="Times New Roman" w:cs="Times New Roman"/>
          <w:b/>
          <w:bCs/>
          <w:sz w:val="24"/>
        </w:rPr>
        <w:t xml:space="preserve"> of t</w:t>
      </w:r>
      <w:r>
        <w:rPr>
          <w:rFonts w:ascii="Times New Roman" w:hAnsi="Times New Roman" w:cs="Times New Roman"/>
          <w:b/>
          <w:bCs/>
          <w:sz w:val="24"/>
        </w:rPr>
        <w:t xml:space="preserve">he mice </w:t>
      </w:r>
      <w:r>
        <w:rPr>
          <w:rFonts w:hint="eastAsia" w:ascii="Times New Roman" w:hAnsi="Times New Roman" w:cs="Times New Roman"/>
          <w:b/>
          <w:bCs/>
          <w:sz w:val="24"/>
        </w:rPr>
        <w:t xml:space="preserve">lung </w:t>
      </w:r>
      <w:r>
        <w:rPr>
          <w:rFonts w:ascii="Times New Roman" w:hAnsi="Times New Roman" w:cs="Times New Roman"/>
          <w:b/>
          <w:bCs/>
          <w:sz w:val="24"/>
        </w:rPr>
        <w:t>samples</w:t>
      </w:r>
    </w:p>
    <w:p>
      <w:pPr>
        <w:spacing w:line="480" w:lineRule="auto"/>
        <w:ind w:firstLine="480" w:firstLineChars="200"/>
        <w:rPr>
          <w:rFonts w:ascii="Times New Roman" w:hAnsi="Times New Roman" w:cs="Times New Roman"/>
          <w:sz w:val="24"/>
        </w:rPr>
      </w:pPr>
      <w:r>
        <w:rPr>
          <w:rFonts w:ascii="Times New Roman" w:hAnsi="Times New Roman" w:cs="Times New Roman"/>
          <w:sz w:val="24"/>
        </w:rPr>
        <w:t>For ultrahigh-performance liquid chromatography (U</w:t>
      </w:r>
      <w:r>
        <w:rPr>
          <w:rFonts w:hint="eastAsia" w:ascii="Times New Roman" w:hAnsi="Times New Roman" w:cs="Times New Roman"/>
          <w:sz w:val="24"/>
        </w:rPr>
        <w:t>H</w:t>
      </w:r>
      <w:r>
        <w:rPr>
          <w:rFonts w:ascii="Times New Roman" w:hAnsi="Times New Roman" w:cs="Times New Roman"/>
          <w:sz w:val="24"/>
        </w:rPr>
        <w:t xml:space="preserve">PLC)–MS analysis, The </w:t>
      </w:r>
      <w:r>
        <w:rPr>
          <w:rFonts w:hint="eastAsia" w:ascii="Times New Roman" w:hAnsi="Times New Roman" w:cs="Times New Roman"/>
          <w:sz w:val="24"/>
        </w:rPr>
        <w:t>sample of lung</w:t>
      </w:r>
      <w:r>
        <w:rPr>
          <w:rFonts w:ascii="Times New Roman" w:hAnsi="Times New Roman" w:cs="Times New Roman"/>
          <w:sz w:val="24"/>
        </w:rPr>
        <w:t xml:space="preserve"> extracts were reconstituted with 1</w:t>
      </w:r>
      <w:r>
        <w:rPr>
          <w:rFonts w:hint="eastAsia" w:ascii="Times New Roman" w:hAnsi="Times New Roman" w:cs="Times New Roman"/>
          <w:sz w:val="24"/>
        </w:rPr>
        <w:t>0</w:t>
      </w:r>
      <w:r>
        <w:rPr>
          <w:rFonts w:ascii="Times New Roman" w:hAnsi="Times New Roman" w:cs="Times New Roman"/>
          <w:sz w:val="24"/>
        </w:rPr>
        <w:t xml:space="preserve">0 μL of methanol/water (80/20) solution. LC–MS analysis was performed on a liquid chromatography system (ExionLC AD) coupled with a Triple TOF 5600+ mass spectrometer (AB Sciex, CA, USA). Chromatographic separations of </w:t>
      </w:r>
      <w:r>
        <w:rPr>
          <w:rFonts w:hint="eastAsia" w:ascii="Times New Roman" w:hAnsi="Times New Roman" w:cs="Times New Roman"/>
          <w:sz w:val="24"/>
        </w:rPr>
        <w:t>lung</w:t>
      </w:r>
      <w:r>
        <w:rPr>
          <w:rFonts w:ascii="Times New Roman" w:hAnsi="Times New Roman" w:cs="Times New Roman"/>
          <w:sz w:val="24"/>
        </w:rPr>
        <w:t xml:space="preserve"> extracts were performed by using a Waters Acquity UHPLC HSS T3 column (2.1 mm × 100 mm, 1.8 μm) with a temperature of 40 °C. The injected volume was 5 μL. The </w:t>
      </w:r>
      <w:r>
        <w:rPr>
          <w:rFonts w:hint="eastAsia" w:ascii="Times New Roman" w:hAnsi="Times New Roman" w:cs="Times New Roman"/>
          <w:sz w:val="24"/>
        </w:rPr>
        <w:t xml:space="preserve">sample of </w:t>
      </w:r>
      <w:r>
        <w:rPr>
          <w:rFonts w:ascii="Times New Roman" w:hAnsi="Times New Roman" w:cs="Times New Roman"/>
          <w:sz w:val="24"/>
        </w:rPr>
        <w:t>lung extracts were 0.1% formic acid aqueous solution (A) and acetonitrile (B). The LC pump was programmed at a flow rate of 0.</w:t>
      </w:r>
      <w:r>
        <w:rPr>
          <w:rFonts w:hint="eastAsia" w:ascii="Times New Roman" w:hAnsi="Times New Roman" w:cs="Times New Roman"/>
          <w:sz w:val="24"/>
        </w:rPr>
        <w:t>2</w:t>
      </w:r>
      <w:r>
        <w:rPr>
          <w:rFonts w:ascii="Times New Roman" w:hAnsi="Times New Roman" w:cs="Times New Roman"/>
          <w:sz w:val="24"/>
        </w:rPr>
        <w:t xml:space="preserve"> mL/min, and the gradient elution was optimized as follows: </w:t>
      </w:r>
    </w:p>
    <w:tbl>
      <w:tblPr>
        <w:tblStyle w:val="4"/>
        <w:tblW w:w="0" w:type="auto"/>
        <w:tblInd w:w="115" w:type="dxa"/>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80"/>
        <w:gridCol w:w="2688"/>
        <w:gridCol w:w="2076"/>
        <w:gridCol w:w="2232"/>
      </w:tblGrid>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1380" w:type="dxa"/>
            <w:tcBorders>
              <w:top w:val="single" w:color="auto" w:sz="12" w:space="0"/>
              <w:left w:val="nil"/>
              <w:bottom w:val="single" w:color="auto" w:sz="6" w:space="0"/>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Time (min)</w:t>
            </w:r>
          </w:p>
        </w:tc>
        <w:tc>
          <w:tcPr>
            <w:tcW w:w="2688" w:type="dxa"/>
            <w:tcBorders>
              <w:top w:val="single" w:color="auto" w:sz="12" w:space="0"/>
              <w:left w:val="nil"/>
              <w:bottom w:val="single" w:color="auto" w:sz="6" w:space="0"/>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0.1% Formic acid (A, %)</w:t>
            </w:r>
          </w:p>
        </w:tc>
        <w:tc>
          <w:tcPr>
            <w:tcW w:w="2076" w:type="dxa"/>
            <w:tcBorders>
              <w:top w:val="single" w:color="auto" w:sz="12" w:space="0"/>
              <w:left w:val="nil"/>
              <w:bottom w:val="single" w:color="auto" w:sz="6" w:space="0"/>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Acetonitrile (B, %)</w:t>
            </w:r>
          </w:p>
        </w:tc>
        <w:tc>
          <w:tcPr>
            <w:tcW w:w="2232" w:type="dxa"/>
            <w:tcBorders>
              <w:top w:val="single" w:color="auto" w:sz="12" w:space="0"/>
              <w:left w:val="nil"/>
              <w:bottom w:val="single" w:color="auto" w:sz="6" w:space="0"/>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Flow rate (mL/min)</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1380" w:type="dxa"/>
            <w:tcBorders>
              <w:top w:val="single" w:color="auto" w:sz="6" w:space="0"/>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0</w:t>
            </w:r>
            <w:r>
              <w:rPr>
                <w:rFonts w:hint="eastAsia" w:ascii="Times New Roman" w:hAnsi="Times New Roman" w:eastAsia="宋体" w:cs="Times New Roman"/>
                <w:szCs w:val="21"/>
                <w:lang w:bidi="ar"/>
              </w:rPr>
              <w:t>-2</w:t>
            </w:r>
          </w:p>
        </w:tc>
        <w:tc>
          <w:tcPr>
            <w:tcW w:w="2688" w:type="dxa"/>
            <w:tcBorders>
              <w:top w:val="single" w:color="auto" w:sz="6" w:space="0"/>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98</w:t>
            </w:r>
          </w:p>
        </w:tc>
        <w:tc>
          <w:tcPr>
            <w:tcW w:w="2076" w:type="dxa"/>
            <w:tcBorders>
              <w:top w:val="single" w:color="auto" w:sz="6" w:space="0"/>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2</w:t>
            </w:r>
          </w:p>
        </w:tc>
        <w:tc>
          <w:tcPr>
            <w:tcW w:w="2232" w:type="dxa"/>
            <w:tcBorders>
              <w:top w:val="single" w:color="auto" w:sz="6" w:space="0"/>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0.2</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1380" w:type="dxa"/>
            <w:tcBorders>
              <w:top w:val="nil"/>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2</w:t>
            </w:r>
            <w:r>
              <w:rPr>
                <w:rFonts w:hint="eastAsia" w:ascii="Times New Roman" w:hAnsi="Times New Roman" w:eastAsia="宋体" w:cs="Times New Roman"/>
                <w:szCs w:val="21"/>
                <w:lang w:bidi="ar"/>
              </w:rPr>
              <w:t>-3</w:t>
            </w:r>
          </w:p>
        </w:tc>
        <w:tc>
          <w:tcPr>
            <w:tcW w:w="2688" w:type="dxa"/>
            <w:tcBorders>
              <w:top w:val="nil"/>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98</w:t>
            </w:r>
            <w:r>
              <w:rPr>
                <w:rFonts w:hint="eastAsia" w:ascii="Times New Roman" w:hAnsi="Times New Roman" w:eastAsia="宋体" w:cs="Times New Roman"/>
                <w:szCs w:val="21"/>
                <w:lang w:bidi="ar"/>
              </w:rPr>
              <w:t>-</w:t>
            </w:r>
            <w:r>
              <w:rPr>
                <w:rFonts w:ascii="Times New Roman" w:hAnsi="Times New Roman" w:eastAsia="宋体" w:cs="Times New Roman"/>
                <w:szCs w:val="21"/>
                <w:lang w:bidi="ar"/>
              </w:rPr>
              <w:t>65</w:t>
            </w:r>
          </w:p>
        </w:tc>
        <w:tc>
          <w:tcPr>
            <w:tcW w:w="2076" w:type="dxa"/>
            <w:tcBorders>
              <w:top w:val="nil"/>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2</w:t>
            </w:r>
            <w:r>
              <w:rPr>
                <w:rFonts w:hint="eastAsia" w:ascii="Times New Roman" w:hAnsi="Times New Roman" w:eastAsia="宋体" w:cs="Times New Roman"/>
                <w:szCs w:val="21"/>
                <w:lang w:bidi="ar"/>
              </w:rPr>
              <w:t>-</w:t>
            </w:r>
            <w:r>
              <w:rPr>
                <w:rFonts w:ascii="Times New Roman" w:hAnsi="Times New Roman" w:eastAsia="宋体" w:cs="Times New Roman"/>
                <w:szCs w:val="21"/>
                <w:lang w:bidi="ar"/>
              </w:rPr>
              <w:t>35</w:t>
            </w:r>
          </w:p>
        </w:tc>
        <w:tc>
          <w:tcPr>
            <w:tcW w:w="2232" w:type="dxa"/>
            <w:tcBorders>
              <w:top w:val="nil"/>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0.2</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1380" w:type="dxa"/>
            <w:tcBorders>
              <w:top w:val="nil"/>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3</w:t>
            </w:r>
            <w:r>
              <w:rPr>
                <w:rFonts w:hint="eastAsia" w:ascii="Times New Roman" w:hAnsi="Times New Roman" w:eastAsia="宋体" w:cs="Times New Roman"/>
                <w:szCs w:val="21"/>
                <w:lang w:bidi="ar"/>
              </w:rPr>
              <w:t>-17</w:t>
            </w:r>
          </w:p>
        </w:tc>
        <w:tc>
          <w:tcPr>
            <w:tcW w:w="2688" w:type="dxa"/>
            <w:tcBorders>
              <w:top w:val="nil"/>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65</w:t>
            </w:r>
            <w:r>
              <w:rPr>
                <w:rFonts w:hint="eastAsia" w:ascii="Times New Roman" w:hAnsi="Times New Roman" w:eastAsia="宋体" w:cs="Times New Roman"/>
                <w:szCs w:val="21"/>
                <w:lang w:bidi="ar"/>
              </w:rPr>
              <w:t>-30</w:t>
            </w:r>
          </w:p>
        </w:tc>
        <w:tc>
          <w:tcPr>
            <w:tcW w:w="2076" w:type="dxa"/>
            <w:tcBorders>
              <w:top w:val="nil"/>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35</w:t>
            </w:r>
            <w:r>
              <w:rPr>
                <w:rFonts w:hint="eastAsia" w:ascii="Times New Roman" w:hAnsi="Times New Roman" w:eastAsia="宋体" w:cs="Times New Roman"/>
                <w:szCs w:val="21"/>
                <w:lang w:bidi="ar"/>
              </w:rPr>
              <w:t>-70</w:t>
            </w:r>
          </w:p>
        </w:tc>
        <w:tc>
          <w:tcPr>
            <w:tcW w:w="2232" w:type="dxa"/>
            <w:tcBorders>
              <w:top w:val="nil"/>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0.2</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1380" w:type="dxa"/>
            <w:tcBorders>
              <w:top w:val="nil"/>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17</w:t>
            </w:r>
            <w:r>
              <w:rPr>
                <w:rFonts w:hint="eastAsia" w:ascii="Times New Roman" w:hAnsi="Times New Roman" w:eastAsia="宋体" w:cs="Times New Roman"/>
                <w:szCs w:val="21"/>
                <w:lang w:bidi="ar"/>
              </w:rPr>
              <w:t>-18</w:t>
            </w:r>
          </w:p>
        </w:tc>
        <w:tc>
          <w:tcPr>
            <w:tcW w:w="2688" w:type="dxa"/>
            <w:tcBorders>
              <w:top w:val="nil"/>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30</w:t>
            </w:r>
          </w:p>
        </w:tc>
        <w:tc>
          <w:tcPr>
            <w:tcW w:w="2076" w:type="dxa"/>
            <w:tcBorders>
              <w:top w:val="nil"/>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70</w:t>
            </w:r>
          </w:p>
        </w:tc>
        <w:tc>
          <w:tcPr>
            <w:tcW w:w="2232" w:type="dxa"/>
            <w:tcBorders>
              <w:top w:val="nil"/>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0.2</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1380" w:type="dxa"/>
            <w:tcBorders>
              <w:top w:val="nil"/>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18</w:t>
            </w:r>
            <w:r>
              <w:rPr>
                <w:rFonts w:hint="eastAsia" w:ascii="Times New Roman" w:hAnsi="Times New Roman" w:eastAsia="宋体" w:cs="Times New Roman"/>
                <w:szCs w:val="21"/>
                <w:lang w:bidi="ar"/>
              </w:rPr>
              <w:t>-29</w:t>
            </w:r>
          </w:p>
        </w:tc>
        <w:tc>
          <w:tcPr>
            <w:tcW w:w="2688" w:type="dxa"/>
            <w:tcBorders>
              <w:top w:val="nil"/>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30</w:t>
            </w:r>
            <w:r>
              <w:rPr>
                <w:rFonts w:hint="eastAsia" w:ascii="Times New Roman" w:hAnsi="Times New Roman" w:eastAsia="宋体" w:cs="Times New Roman"/>
                <w:szCs w:val="21"/>
                <w:lang w:bidi="ar"/>
              </w:rPr>
              <w:t>-2</w:t>
            </w:r>
          </w:p>
        </w:tc>
        <w:tc>
          <w:tcPr>
            <w:tcW w:w="2076" w:type="dxa"/>
            <w:tcBorders>
              <w:top w:val="nil"/>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70</w:t>
            </w:r>
            <w:r>
              <w:rPr>
                <w:rFonts w:hint="eastAsia" w:ascii="Times New Roman" w:hAnsi="Times New Roman" w:eastAsia="宋体" w:cs="Times New Roman"/>
                <w:szCs w:val="21"/>
                <w:lang w:bidi="ar"/>
              </w:rPr>
              <w:t>-98</w:t>
            </w:r>
          </w:p>
        </w:tc>
        <w:tc>
          <w:tcPr>
            <w:tcW w:w="2232" w:type="dxa"/>
            <w:tcBorders>
              <w:top w:val="nil"/>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0.2</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1380" w:type="dxa"/>
            <w:tcBorders>
              <w:top w:val="nil"/>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29</w:t>
            </w:r>
            <w:r>
              <w:rPr>
                <w:rFonts w:hint="eastAsia" w:ascii="Times New Roman" w:hAnsi="Times New Roman" w:eastAsia="宋体" w:cs="Times New Roman"/>
                <w:szCs w:val="21"/>
                <w:lang w:bidi="ar"/>
              </w:rPr>
              <w:t>-31</w:t>
            </w:r>
          </w:p>
        </w:tc>
        <w:tc>
          <w:tcPr>
            <w:tcW w:w="2688" w:type="dxa"/>
            <w:tcBorders>
              <w:top w:val="nil"/>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2</w:t>
            </w:r>
          </w:p>
        </w:tc>
        <w:tc>
          <w:tcPr>
            <w:tcW w:w="2076" w:type="dxa"/>
            <w:tcBorders>
              <w:top w:val="nil"/>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98</w:t>
            </w:r>
          </w:p>
        </w:tc>
        <w:tc>
          <w:tcPr>
            <w:tcW w:w="2232" w:type="dxa"/>
            <w:tcBorders>
              <w:top w:val="nil"/>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0.2</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1380" w:type="dxa"/>
            <w:tcBorders>
              <w:top w:val="nil"/>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31</w:t>
            </w:r>
            <w:r>
              <w:rPr>
                <w:rFonts w:hint="eastAsia" w:ascii="Times New Roman" w:hAnsi="Times New Roman" w:eastAsia="宋体" w:cs="Times New Roman"/>
                <w:szCs w:val="21"/>
                <w:lang w:bidi="ar"/>
              </w:rPr>
              <w:t>-33</w:t>
            </w:r>
          </w:p>
        </w:tc>
        <w:tc>
          <w:tcPr>
            <w:tcW w:w="2688" w:type="dxa"/>
            <w:tcBorders>
              <w:top w:val="nil"/>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2</w:t>
            </w:r>
            <w:r>
              <w:rPr>
                <w:rFonts w:hint="eastAsia" w:ascii="Times New Roman" w:hAnsi="Times New Roman" w:eastAsia="宋体" w:cs="Times New Roman"/>
                <w:szCs w:val="21"/>
                <w:lang w:bidi="ar"/>
              </w:rPr>
              <w:t>-98</w:t>
            </w:r>
          </w:p>
        </w:tc>
        <w:tc>
          <w:tcPr>
            <w:tcW w:w="2076" w:type="dxa"/>
            <w:tcBorders>
              <w:top w:val="nil"/>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98</w:t>
            </w:r>
            <w:r>
              <w:rPr>
                <w:rFonts w:hint="eastAsia" w:ascii="Times New Roman" w:hAnsi="Times New Roman" w:eastAsia="宋体" w:cs="Times New Roman"/>
                <w:szCs w:val="21"/>
                <w:lang w:bidi="ar"/>
              </w:rPr>
              <w:t>-2</w:t>
            </w:r>
          </w:p>
        </w:tc>
        <w:tc>
          <w:tcPr>
            <w:tcW w:w="2232" w:type="dxa"/>
            <w:tcBorders>
              <w:top w:val="nil"/>
              <w:left w:val="nil"/>
              <w:bottom w:val="nil"/>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0.2</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1380" w:type="dxa"/>
            <w:tcBorders>
              <w:top w:val="nil"/>
              <w:left w:val="nil"/>
              <w:bottom w:val="single" w:color="auto" w:sz="12" w:space="0"/>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33</w:t>
            </w:r>
            <w:r>
              <w:rPr>
                <w:rFonts w:hint="eastAsia" w:ascii="Times New Roman" w:hAnsi="Times New Roman" w:eastAsia="宋体" w:cs="Times New Roman"/>
                <w:szCs w:val="21"/>
                <w:lang w:bidi="ar"/>
              </w:rPr>
              <w:t>-35</w:t>
            </w:r>
          </w:p>
        </w:tc>
        <w:tc>
          <w:tcPr>
            <w:tcW w:w="2688" w:type="dxa"/>
            <w:tcBorders>
              <w:top w:val="nil"/>
              <w:left w:val="nil"/>
              <w:bottom w:val="single" w:color="auto" w:sz="12" w:space="0"/>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98</w:t>
            </w:r>
          </w:p>
        </w:tc>
        <w:tc>
          <w:tcPr>
            <w:tcW w:w="2076" w:type="dxa"/>
            <w:tcBorders>
              <w:top w:val="nil"/>
              <w:left w:val="nil"/>
              <w:bottom w:val="single" w:color="auto" w:sz="12" w:space="0"/>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2</w:t>
            </w:r>
          </w:p>
        </w:tc>
        <w:tc>
          <w:tcPr>
            <w:tcW w:w="2232" w:type="dxa"/>
            <w:tcBorders>
              <w:top w:val="nil"/>
              <w:left w:val="nil"/>
              <w:bottom w:val="single" w:color="auto" w:sz="12" w:space="0"/>
              <w:right w:val="nil"/>
            </w:tcBorders>
            <w:shd w:val="clear" w:color="auto" w:fill="auto"/>
            <w:vAlign w:val="center"/>
          </w:tcPr>
          <w:p>
            <w:pPr>
              <w:spacing w:line="360" w:lineRule="auto"/>
              <w:jc w:val="center"/>
              <w:rPr>
                <w:rFonts w:eastAsia="宋体"/>
                <w:szCs w:val="21"/>
              </w:rPr>
            </w:pPr>
            <w:r>
              <w:rPr>
                <w:rFonts w:ascii="Times New Roman" w:hAnsi="Times New Roman" w:eastAsia="宋体" w:cs="Times New Roman"/>
                <w:szCs w:val="21"/>
                <w:lang w:bidi="ar"/>
              </w:rPr>
              <w:t>0.2</w:t>
            </w:r>
          </w:p>
        </w:tc>
      </w:tr>
    </w:tbl>
    <w:p>
      <w:pPr>
        <w:spacing w:line="480" w:lineRule="auto"/>
        <w:ind w:firstLine="480" w:firstLineChars="200"/>
        <w:rPr>
          <w:rFonts w:ascii="Times New Roman" w:hAnsi="Times New Roman" w:cs="Times New Roman"/>
          <w:sz w:val="24"/>
        </w:rPr>
      </w:pPr>
      <w:r>
        <w:rPr>
          <w:rFonts w:ascii="Times New Roman" w:hAnsi="Times New Roman" w:cs="Times New Roman"/>
          <w:sz w:val="24"/>
        </w:rPr>
        <w:t>The parameters of Q-TOF MS are described in 2</w:t>
      </w:r>
      <w:r>
        <w:rPr>
          <w:rFonts w:hint="eastAsia" w:ascii="Times New Roman" w:hAnsi="Times New Roman" w:cs="Times New Roman"/>
          <w:sz w:val="24"/>
        </w:rPr>
        <w:t>.</w:t>
      </w:r>
    </w:p>
    <w:p>
      <w:pPr>
        <w:spacing w:line="480" w:lineRule="auto"/>
        <w:rPr>
          <w:rFonts w:ascii="Times New Roman" w:hAnsi="Times New Roman" w:cs="Times New Roman"/>
          <w:b/>
          <w:bCs/>
          <w:sz w:val="24"/>
        </w:rPr>
      </w:pPr>
    </w:p>
    <w:p>
      <w:pPr>
        <w:spacing w:line="480" w:lineRule="auto"/>
        <w:rPr>
          <w:rFonts w:ascii="Times New Roman" w:hAnsi="Times New Roman" w:cs="Times New Roman"/>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090268"/>
    <w:multiLevelType w:val="singleLevel"/>
    <w:tmpl w:val="57090268"/>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wOTQ2N2M0YjZkZWFlNjZhMzRmODFmM2YwMjFiZGUifQ=="/>
  </w:docVars>
  <w:rsids>
    <w:rsidRoot w:val="00E83F65"/>
    <w:rsid w:val="001B7C3E"/>
    <w:rsid w:val="002D32E3"/>
    <w:rsid w:val="00402399"/>
    <w:rsid w:val="004451B7"/>
    <w:rsid w:val="00454403"/>
    <w:rsid w:val="00456CD3"/>
    <w:rsid w:val="004F6A5E"/>
    <w:rsid w:val="00532FCE"/>
    <w:rsid w:val="00574490"/>
    <w:rsid w:val="005B2DE9"/>
    <w:rsid w:val="00705AE2"/>
    <w:rsid w:val="007A34FE"/>
    <w:rsid w:val="009468C6"/>
    <w:rsid w:val="00B059D5"/>
    <w:rsid w:val="00B6046A"/>
    <w:rsid w:val="00BD5A3E"/>
    <w:rsid w:val="00C26590"/>
    <w:rsid w:val="00DC6C24"/>
    <w:rsid w:val="00E54563"/>
    <w:rsid w:val="00E83F65"/>
    <w:rsid w:val="00FE414B"/>
    <w:rsid w:val="06110369"/>
    <w:rsid w:val="08924B06"/>
    <w:rsid w:val="0B420FC5"/>
    <w:rsid w:val="0B941820"/>
    <w:rsid w:val="0DAF0B93"/>
    <w:rsid w:val="0FA22032"/>
    <w:rsid w:val="113F4064"/>
    <w:rsid w:val="12CA5B28"/>
    <w:rsid w:val="13C609E5"/>
    <w:rsid w:val="16DF591A"/>
    <w:rsid w:val="16F4271A"/>
    <w:rsid w:val="17CC2342"/>
    <w:rsid w:val="183B1275"/>
    <w:rsid w:val="18D55226"/>
    <w:rsid w:val="19EC0A79"/>
    <w:rsid w:val="1A006C8E"/>
    <w:rsid w:val="1B2129A5"/>
    <w:rsid w:val="1CEE68B6"/>
    <w:rsid w:val="1D9B6A3E"/>
    <w:rsid w:val="20A93B57"/>
    <w:rsid w:val="23A10B26"/>
    <w:rsid w:val="252A68FA"/>
    <w:rsid w:val="2BD46BE7"/>
    <w:rsid w:val="2D1B54A6"/>
    <w:rsid w:val="2D2325AC"/>
    <w:rsid w:val="2E034C51"/>
    <w:rsid w:val="2E7C01C6"/>
    <w:rsid w:val="34313801"/>
    <w:rsid w:val="346239BA"/>
    <w:rsid w:val="355F7EFA"/>
    <w:rsid w:val="36C26992"/>
    <w:rsid w:val="38A10829"/>
    <w:rsid w:val="3BC907C3"/>
    <w:rsid w:val="3BD50039"/>
    <w:rsid w:val="3E41095C"/>
    <w:rsid w:val="42781B34"/>
    <w:rsid w:val="428D3055"/>
    <w:rsid w:val="4BB6691A"/>
    <w:rsid w:val="4ECF3A48"/>
    <w:rsid w:val="4EDD6607"/>
    <w:rsid w:val="511B12F1"/>
    <w:rsid w:val="539F032F"/>
    <w:rsid w:val="59C02DAD"/>
    <w:rsid w:val="5C915C37"/>
    <w:rsid w:val="5CA16EC6"/>
    <w:rsid w:val="5CDF179C"/>
    <w:rsid w:val="5CEA221F"/>
    <w:rsid w:val="5D3970FE"/>
    <w:rsid w:val="5D8F31C2"/>
    <w:rsid w:val="5E4E6BDA"/>
    <w:rsid w:val="611F3395"/>
    <w:rsid w:val="66546D57"/>
    <w:rsid w:val="6744501E"/>
    <w:rsid w:val="67DA328C"/>
    <w:rsid w:val="693E3CEF"/>
    <w:rsid w:val="6B4355EC"/>
    <w:rsid w:val="6BEE72ED"/>
    <w:rsid w:val="6C5630FD"/>
    <w:rsid w:val="6D716441"/>
    <w:rsid w:val="6F6049BF"/>
    <w:rsid w:val="6FB865A9"/>
    <w:rsid w:val="714E0847"/>
    <w:rsid w:val="723B701D"/>
    <w:rsid w:val="72A2709C"/>
    <w:rsid w:val="743C7842"/>
    <w:rsid w:val="75013052"/>
    <w:rsid w:val="75093403"/>
    <w:rsid w:val="761B163F"/>
    <w:rsid w:val="784A1D68"/>
    <w:rsid w:val="78650950"/>
    <w:rsid w:val="7FC1552B"/>
    <w:rsid w:val="7FFD49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rFonts w:asciiTheme="minorHAnsi" w:hAnsiTheme="minorHAnsi" w:eastAsiaTheme="minorEastAsia" w:cstheme="minorBidi"/>
      <w:kern w:val="2"/>
      <w:sz w:val="18"/>
      <w:szCs w:val="18"/>
    </w:rPr>
  </w:style>
  <w:style w:type="character" w:customStyle="1" w:styleId="7">
    <w:name w:val="页脚 字符"/>
    <w:basedOn w:val="5"/>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861</Words>
  <Characters>4214</Characters>
  <Lines>41</Lines>
  <Paragraphs>11</Paragraphs>
  <TotalTime>31</TotalTime>
  <ScaleCrop>false</ScaleCrop>
  <LinksUpToDate>false</LinksUpToDate>
  <CharactersWithSpaces>4990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2023-05-28T05:18:00Z</dcterms:created>
  <dc:creator>Lenovo</dc:creator>
  <cp:lastModifiedBy>无奈</cp:lastModifiedBy>
  <dcterms:modified xsi:type="dcterms:W3CDTF">2023-06-04T06:32:36Z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B083458396A34FC0BFB23143C45F4C1A_12</vt:lpwstr>
  </property>
</Properties>
</file>