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4AB00" w14:textId="77777777" w:rsidR="00D02D21" w:rsidRPr="00C85090" w:rsidRDefault="00D02D21" w:rsidP="002B5CD3">
      <w:pPr>
        <w:spacing w:after="0" w:line="240" w:lineRule="auto"/>
        <w:rPr>
          <w:rFonts w:ascii="Times New Roman" w:hAnsi="Times New Roman" w:cs="Times New Roman"/>
          <w:b/>
          <w:bCs/>
        </w:rPr>
      </w:pPr>
      <w:r w:rsidRPr="00C85090">
        <w:rPr>
          <w:rFonts w:ascii="Times New Roman" w:hAnsi="Times New Roman" w:cs="Times New Roman"/>
          <w:b/>
          <w:bCs/>
        </w:rPr>
        <w:t>Supplementary Materials</w:t>
      </w:r>
    </w:p>
    <w:p w14:paraId="2EE0FCE3" w14:textId="08FEE92E" w:rsidR="00D02D21" w:rsidRPr="00B50D71" w:rsidRDefault="00D02D21" w:rsidP="00B50D71">
      <w:pPr>
        <w:rPr>
          <w:rFonts w:ascii="Times New Roman" w:hAnsi="Times New Roman" w:cs="Times New Roman"/>
          <w:b/>
          <w:bCs/>
        </w:rPr>
      </w:pPr>
      <w:bookmarkStart w:id="0" w:name="_Hlk134126102"/>
      <w:r w:rsidRPr="00B50D71">
        <w:rPr>
          <w:rFonts w:ascii="Times New Roman" w:hAnsi="Times New Roman" w:cs="Times New Roman"/>
        </w:rPr>
        <w:t>Native top-down proteomics reveals EGFR–ERα signaling crosstalk in breast cancer cells dissociates NUTF2 dimers to modulate ER</w:t>
      </w:r>
      <w:r w:rsidRPr="00B50D71">
        <w:rPr>
          <w:rFonts w:ascii="Times New Roman" w:hAnsi="Times New Roman" w:cs="Times New Roman"/>
        </w:rPr>
        <w:sym w:font="Symbol" w:char="F061"/>
      </w:r>
      <w:r w:rsidRPr="00B50D71">
        <w:rPr>
          <w:rFonts w:ascii="Times New Roman" w:hAnsi="Times New Roman" w:cs="Times New Roman"/>
        </w:rPr>
        <w:t xml:space="preserve"> signaling</w:t>
      </w:r>
      <w:r w:rsidR="00DA2134">
        <w:rPr>
          <w:rFonts w:ascii="Times New Roman" w:hAnsi="Times New Roman" w:cs="Times New Roman"/>
        </w:rPr>
        <w:t xml:space="preserve"> and </w:t>
      </w:r>
      <w:r w:rsidRPr="00B50D71">
        <w:rPr>
          <w:rFonts w:ascii="Times New Roman" w:hAnsi="Times New Roman" w:cs="Times New Roman"/>
        </w:rPr>
        <w:t>cell growth</w:t>
      </w:r>
      <w:r w:rsidRPr="00B50D71">
        <w:rPr>
          <w:rFonts w:ascii="Times New Roman" w:hAnsi="Times New Roman" w:cs="Times New Roman"/>
          <w:b/>
          <w:bCs/>
        </w:rPr>
        <w:t xml:space="preserve"> </w:t>
      </w:r>
      <w:bookmarkEnd w:id="0"/>
    </w:p>
    <w:p w14:paraId="08525ACC" w14:textId="77777777" w:rsidR="00D02D21" w:rsidRPr="00EF74B8" w:rsidRDefault="00D02D21" w:rsidP="00EF74B8">
      <w:pPr>
        <w:rPr>
          <w:rFonts w:ascii="Times New Roman" w:hAnsi="Times New Roman" w:cs="Times New Roman"/>
        </w:rPr>
      </w:pPr>
      <w:r w:rsidRPr="00B50D71">
        <w:rPr>
          <w:rFonts w:ascii="Times New Roman" w:hAnsi="Times New Roman" w:cs="Times New Roman"/>
        </w:rPr>
        <w:t>Fabio P. Gomes</w:t>
      </w:r>
      <w:r w:rsidRPr="00B50D71">
        <w:rPr>
          <w:rFonts w:ascii="Times New Roman" w:hAnsi="Times New Roman" w:cs="Times New Roman"/>
          <w:vertAlign w:val="superscript"/>
        </w:rPr>
        <w:t>1</w:t>
      </w:r>
      <w:r w:rsidRPr="00B50D71">
        <w:rPr>
          <w:rFonts w:ascii="Times New Roman" w:hAnsi="Times New Roman" w:cs="Times New Roman"/>
        </w:rPr>
        <w:t>, Kenneth R. Durbin</w:t>
      </w:r>
      <w:r w:rsidRPr="00B50D71">
        <w:rPr>
          <w:rFonts w:ascii="Times New Roman" w:hAnsi="Times New Roman" w:cs="Times New Roman"/>
          <w:vertAlign w:val="superscript"/>
        </w:rPr>
        <w:t>2</w:t>
      </w:r>
      <w:r w:rsidRPr="00B50D71">
        <w:rPr>
          <w:rFonts w:ascii="Times New Roman" w:hAnsi="Times New Roman" w:cs="Times New Roman"/>
        </w:rPr>
        <w:t>, Kevin Schauer</w:t>
      </w:r>
      <w:r w:rsidRPr="00B50D71">
        <w:rPr>
          <w:rFonts w:ascii="Times New Roman" w:hAnsi="Times New Roman" w:cs="Times New Roman"/>
          <w:vertAlign w:val="superscript"/>
        </w:rPr>
        <w:t>3</w:t>
      </w:r>
      <w:r w:rsidRPr="00B50D71">
        <w:rPr>
          <w:rFonts w:ascii="Times New Roman" w:hAnsi="Times New Roman" w:cs="Times New Roman"/>
        </w:rPr>
        <w:t>, Jerome C. Nwachukwu</w:t>
      </w:r>
      <w:r w:rsidRPr="00B50D71">
        <w:rPr>
          <w:rFonts w:ascii="Times New Roman" w:hAnsi="Times New Roman" w:cs="Times New Roman"/>
          <w:vertAlign w:val="superscript"/>
        </w:rPr>
        <w:t>4</w:t>
      </w:r>
      <w:r w:rsidRPr="00B50D71">
        <w:rPr>
          <w:rFonts w:ascii="Times New Roman" w:hAnsi="Times New Roman" w:cs="Times New Roman"/>
        </w:rPr>
        <w:t>, Robin J. Russo</w:t>
      </w:r>
      <w:r w:rsidRPr="00B50D71">
        <w:rPr>
          <w:rFonts w:ascii="Times New Roman" w:hAnsi="Times New Roman" w:cs="Times New Roman"/>
          <w:vertAlign w:val="superscript"/>
        </w:rPr>
        <w:t>4,5</w:t>
      </w:r>
      <w:r w:rsidRPr="00B50D71">
        <w:rPr>
          <w:rFonts w:ascii="Times New Roman" w:hAnsi="Times New Roman" w:cs="Times New Roman"/>
        </w:rPr>
        <w:t>, Jacqline W. Njeri</w:t>
      </w:r>
      <w:r w:rsidRPr="00B50D71">
        <w:rPr>
          <w:rFonts w:ascii="Times New Roman" w:hAnsi="Times New Roman" w:cs="Times New Roman"/>
          <w:vertAlign w:val="superscript"/>
        </w:rPr>
        <w:t>4,5</w:t>
      </w:r>
      <w:r w:rsidRPr="00B50D71">
        <w:rPr>
          <w:rFonts w:ascii="Times New Roman" w:hAnsi="Times New Roman" w:cs="Times New Roman"/>
        </w:rPr>
        <w:t>, Anthony J. Saviola</w:t>
      </w:r>
      <w:r w:rsidRPr="00B50D71">
        <w:rPr>
          <w:rFonts w:ascii="Times New Roman" w:hAnsi="Times New Roman" w:cs="Times New Roman"/>
          <w:vertAlign w:val="superscript"/>
        </w:rPr>
        <w:t>6</w:t>
      </w:r>
      <w:r w:rsidRPr="00B50D71">
        <w:rPr>
          <w:rFonts w:ascii="Times New Roman" w:hAnsi="Times New Roman" w:cs="Times New Roman"/>
        </w:rPr>
        <w:t>, Daniel B. McClatchy</w:t>
      </w:r>
      <w:r w:rsidRPr="00B50D71">
        <w:rPr>
          <w:rFonts w:ascii="Times New Roman" w:hAnsi="Times New Roman" w:cs="Times New Roman"/>
          <w:vertAlign w:val="superscript"/>
        </w:rPr>
        <w:t>1</w:t>
      </w:r>
      <w:r w:rsidRPr="00B50D71">
        <w:rPr>
          <w:rFonts w:ascii="Times New Roman" w:hAnsi="Times New Roman" w:cs="Times New Roman"/>
        </w:rPr>
        <w:t>, Jolene K. Diedrich</w:t>
      </w:r>
      <w:r w:rsidRPr="00B50D71">
        <w:rPr>
          <w:rFonts w:ascii="Times New Roman" w:hAnsi="Times New Roman" w:cs="Times New Roman"/>
          <w:vertAlign w:val="superscript"/>
        </w:rPr>
        <w:t>1</w:t>
      </w:r>
      <w:r w:rsidRPr="00B50D71">
        <w:rPr>
          <w:rFonts w:ascii="Times New Roman" w:hAnsi="Times New Roman" w:cs="Times New Roman"/>
        </w:rPr>
        <w:t xml:space="preserve">, Patrick T. Garrett </w:t>
      </w:r>
      <w:r w:rsidRPr="00B50D71">
        <w:rPr>
          <w:rFonts w:ascii="Times New Roman" w:hAnsi="Times New Roman" w:cs="Times New Roman"/>
          <w:vertAlign w:val="superscript"/>
        </w:rPr>
        <w:t>1</w:t>
      </w:r>
      <w:r w:rsidRPr="00B50D71">
        <w:rPr>
          <w:rFonts w:ascii="Times New Roman" w:hAnsi="Times New Roman" w:cs="Times New Roman"/>
        </w:rPr>
        <w:t>, Alexandra B. Papa</w:t>
      </w:r>
      <w:r w:rsidRPr="00B50D71">
        <w:rPr>
          <w:rFonts w:ascii="Times New Roman" w:hAnsi="Times New Roman" w:cs="Times New Roman"/>
          <w:vertAlign w:val="superscript"/>
        </w:rPr>
        <w:t>4,7</w:t>
      </w:r>
      <w:r w:rsidRPr="00B50D71">
        <w:rPr>
          <w:rFonts w:ascii="Times New Roman" w:hAnsi="Times New Roman" w:cs="Times New Roman"/>
        </w:rPr>
        <w:t>,</w:t>
      </w:r>
      <w:r w:rsidRPr="00B50D71">
        <w:rPr>
          <w:rFonts w:ascii="Times New Roman" w:hAnsi="Times New Roman" w:cs="Times New Roman"/>
          <w:vertAlign w:val="superscript"/>
        </w:rPr>
        <w:t xml:space="preserve"> </w:t>
      </w:r>
      <w:r w:rsidRPr="00B50D71">
        <w:rPr>
          <w:rFonts w:ascii="Times New Roman" w:hAnsi="Times New Roman" w:cs="Times New Roman"/>
        </w:rPr>
        <w:t>Ianis Ciolacu</w:t>
      </w:r>
      <w:r w:rsidRPr="00B50D71">
        <w:rPr>
          <w:rFonts w:ascii="Times New Roman" w:hAnsi="Times New Roman" w:cs="Times New Roman"/>
          <w:vertAlign w:val="superscript"/>
        </w:rPr>
        <w:t>4,7</w:t>
      </w:r>
      <w:r w:rsidRPr="00B50D71">
        <w:rPr>
          <w:rFonts w:ascii="Times New Roman" w:hAnsi="Times New Roman" w:cs="Times New Roman"/>
        </w:rPr>
        <w:t>, Neil</w:t>
      </w:r>
      <w:r w:rsidRPr="00D80E05">
        <w:rPr>
          <w:rFonts w:ascii="Times New Roman" w:hAnsi="Times New Roman" w:cs="Times New Roman"/>
        </w:rPr>
        <w:t xml:space="preserve"> L. Kelleher</w:t>
      </w:r>
      <w:r w:rsidRPr="00D80E05">
        <w:rPr>
          <w:rFonts w:ascii="Times New Roman" w:hAnsi="Times New Roman" w:cs="Times New Roman"/>
          <w:vertAlign w:val="superscript"/>
        </w:rPr>
        <w:t>2,8</w:t>
      </w:r>
      <w:r w:rsidRPr="00D80E05">
        <w:rPr>
          <w:rFonts w:ascii="Times New Roman" w:hAnsi="Times New Roman" w:cs="Times New Roman"/>
        </w:rPr>
        <w:t>, Kendall W. Nettles</w:t>
      </w:r>
      <w:r w:rsidRPr="00D80E05">
        <w:rPr>
          <w:rFonts w:ascii="Times New Roman" w:hAnsi="Times New Roman" w:cs="Times New Roman"/>
          <w:vertAlign w:val="superscript"/>
        </w:rPr>
        <w:t>4,5*</w:t>
      </w:r>
      <w:r w:rsidRPr="00D80E05">
        <w:rPr>
          <w:rFonts w:ascii="Times New Roman" w:hAnsi="Times New Roman" w:cs="Times New Roman"/>
        </w:rPr>
        <w:t>, and John R. Yates III</w:t>
      </w:r>
      <w:r w:rsidRPr="00D80E05">
        <w:rPr>
          <w:rFonts w:ascii="Times New Roman" w:hAnsi="Times New Roman" w:cs="Times New Roman"/>
          <w:vertAlign w:val="superscript"/>
        </w:rPr>
        <w:t>1*</w:t>
      </w:r>
    </w:p>
    <w:p w14:paraId="5A71FEC7" w14:textId="77777777" w:rsidR="00D02D21" w:rsidRDefault="00D02D21" w:rsidP="00B50D71">
      <w:pPr>
        <w:pStyle w:val="FAAuthorInfoSubtitle"/>
        <w:spacing w:before="0" w:after="0"/>
        <w:rPr>
          <w:b w:val="0"/>
          <w:bCs/>
        </w:rPr>
      </w:pPr>
      <w:r w:rsidRPr="00D16BCF">
        <w:rPr>
          <w:b w:val="0"/>
          <w:bCs/>
          <w:vertAlign w:val="superscript"/>
        </w:rPr>
        <w:t>1</w:t>
      </w:r>
      <w:r w:rsidRPr="0062788F">
        <w:rPr>
          <w:b w:val="0"/>
          <w:bCs/>
        </w:rPr>
        <w:t>The S</w:t>
      </w:r>
      <w:r w:rsidRPr="00D16BCF">
        <w:rPr>
          <w:b w:val="0"/>
          <w:bCs/>
        </w:rPr>
        <w:t>cripps Research</w:t>
      </w:r>
      <w:r w:rsidRPr="0062788F">
        <w:rPr>
          <w:b w:val="0"/>
          <w:bCs/>
        </w:rPr>
        <w:t xml:space="preserve"> Institute</w:t>
      </w:r>
      <w:r w:rsidRPr="00D16BCF">
        <w:rPr>
          <w:b w:val="0"/>
          <w:bCs/>
        </w:rPr>
        <w:t xml:space="preserve">, La Jolla, CA 92037 </w:t>
      </w:r>
    </w:p>
    <w:p w14:paraId="6247FABF" w14:textId="77777777" w:rsidR="00D02D21" w:rsidRDefault="00D02D21" w:rsidP="00B50D71">
      <w:pPr>
        <w:pStyle w:val="FAAuthorInfoSubtitle"/>
        <w:spacing w:before="0" w:after="0"/>
        <w:rPr>
          <w:b w:val="0"/>
          <w:bCs/>
        </w:rPr>
      </w:pPr>
      <w:r w:rsidRPr="00D16BCF">
        <w:rPr>
          <w:b w:val="0"/>
          <w:bCs/>
          <w:vertAlign w:val="superscript"/>
        </w:rPr>
        <w:t>2</w:t>
      </w:r>
      <w:r w:rsidRPr="00D16BCF">
        <w:rPr>
          <w:b w:val="0"/>
          <w:bCs/>
        </w:rPr>
        <w:t xml:space="preserve">Proteinaceous, Evanston, IL </w:t>
      </w:r>
      <w:r w:rsidRPr="00D16BCF">
        <w:rPr>
          <w:b w:val="0"/>
          <w:bCs/>
          <w:color w:val="222222"/>
          <w:shd w:val="clear" w:color="auto" w:fill="FFFFFF"/>
        </w:rPr>
        <w:t>60201</w:t>
      </w:r>
    </w:p>
    <w:p w14:paraId="7E6B6526" w14:textId="77777777" w:rsidR="00D02D21" w:rsidRDefault="00D02D21" w:rsidP="00B50D71">
      <w:pPr>
        <w:pStyle w:val="FAAuthorInfoSubtitle"/>
        <w:spacing w:before="0" w:after="0"/>
        <w:rPr>
          <w:b w:val="0"/>
          <w:bCs/>
        </w:rPr>
      </w:pPr>
      <w:r w:rsidRPr="00D16BCF">
        <w:rPr>
          <w:b w:val="0"/>
          <w:bCs/>
          <w:vertAlign w:val="superscript"/>
        </w:rPr>
        <w:t>3</w:t>
      </w:r>
      <w:r w:rsidRPr="00D16BCF">
        <w:rPr>
          <w:b w:val="0"/>
          <w:bCs/>
        </w:rPr>
        <w:t xml:space="preserve">Thermo Fisher Scientific, San Jose, CA </w:t>
      </w:r>
      <w:r w:rsidRPr="00D16BCF">
        <w:rPr>
          <w:b w:val="0"/>
          <w:bCs/>
          <w:shd w:val="clear" w:color="auto" w:fill="FFFFFF"/>
        </w:rPr>
        <w:t>95134</w:t>
      </w:r>
      <w:r w:rsidRPr="00D16BCF">
        <w:rPr>
          <w:b w:val="0"/>
          <w:bCs/>
        </w:rPr>
        <w:t xml:space="preserve"> </w:t>
      </w:r>
    </w:p>
    <w:p w14:paraId="791454FE" w14:textId="77777777" w:rsidR="00D02D21" w:rsidRDefault="00D02D21" w:rsidP="00B50D71">
      <w:pPr>
        <w:pStyle w:val="FAAuthorInfoSubtitle"/>
        <w:spacing w:before="0" w:after="0"/>
        <w:rPr>
          <w:b w:val="0"/>
          <w:bCs/>
          <w:shd w:val="clear" w:color="auto" w:fill="FFFFFF"/>
        </w:rPr>
      </w:pPr>
      <w:r w:rsidRPr="00D16BCF">
        <w:rPr>
          <w:b w:val="0"/>
          <w:bCs/>
          <w:vertAlign w:val="superscript"/>
        </w:rPr>
        <w:t>4</w:t>
      </w:r>
      <w:r w:rsidRPr="00D16BCF">
        <w:rPr>
          <w:b w:val="0"/>
          <w:bCs/>
        </w:rPr>
        <w:t>Department of Integrative Structural and Computational Biology, Wertheim UF Scripps Institute, Jupiter, FL 33458</w:t>
      </w:r>
    </w:p>
    <w:p w14:paraId="1C0D8D96" w14:textId="77777777" w:rsidR="00D02D21" w:rsidRDefault="00D02D21" w:rsidP="00B50D71">
      <w:pPr>
        <w:pStyle w:val="FAAuthorInfoSubtitle"/>
        <w:spacing w:before="0" w:after="0"/>
        <w:rPr>
          <w:b w:val="0"/>
          <w:bCs/>
        </w:rPr>
      </w:pPr>
      <w:r w:rsidRPr="0062788F">
        <w:rPr>
          <w:b w:val="0"/>
          <w:bCs/>
          <w:vertAlign w:val="superscript"/>
        </w:rPr>
        <w:t>5</w:t>
      </w:r>
      <w:r w:rsidRPr="0062788F">
        <w:rPr>
          <w:b w:val="0"/>
          <w:bCs/>
          <w:shd w:val="clear" w:color="auto" w:fill="FFFFFF"/>
        </w:rPr>
        <w:t>The Skaggs Graduate School of Chemical and Biological Sciences, The Scripps Research Institute, Ja Jolla, Ca 92037</w:t>
      </w:r>
      <w:r w:rsidRPr="00D16BCF">
        <w:rPr>
          <w:b w:val="0"/>
          <w:bCs/>
          <w:shd w:val="clear" w:color="auto" w:fill="FFFFFF"/>
        </w:rPr>
        <w:t xml:space="preserve"> </w:t>
      </w:r>
      <w:r>
        <w:rPr>
          <w:b w:val="0"/>
          <w:bCs/>
          <w:vertAlign w:val="superscript"/>
        </w:rPr>
        <w:t>6</w:t>
      </w:r>
      <w:r w:rsidRPr="00D16BCF">
        <w:rPr>
          <w:b w:val="0"/>
          <w:bCs/>
          <w:shd w:val="clear" w:color="auto" w:fill="FFFFFF"/>
        </w:rPr>
        <w:t>The University of Colorado Anschutz Medical Campus</w:t>
      </w:r>
      <w:r w:rsidRPr="00D16BCF">
        <w:rPr>
          <w:b w:val="0"/>
          <w:bCs/>
        </w:rPr>
        <w:t xml:space="preserve">, Aurora, CO 80045 </w:t>
      </w:r>
    </w:p>
    <w:p w14:paraId="4EFD69F7" w14:textId="77777777" w:rsidR="00D02D21" w:rsidRDefault="00D02D21" w:rsidP="00B50D71">
      <w:pPr>
        <w:pStyle w:val="FAAuthorInfoSubtitle"/>
        <w:spacing w:before="0" w:after="0"/>
        <w:rPr>
          <w:b w:val="0"/>
          <w:bCs/>
        </w:rPr>
      </w:pPr>
      <w:r>
        <w:rPr>
          <w:b w:val="0"/>
          <w:bCs/>
          <w:vertAlign w:val="superscript"/>
        </w:rPr>
        <w:t>7</w:t>
      </w:r>
      <w:r w:rsidRPr="0062788F">
        <w:rPr>
          <w:b w:val="0"/>
          <w:bCs/>
        </w:rPr>
        <w:t>Florida Atlantic University, Jupiter, FL 33458</w:t>
      </w:r>
    </w:p>
    <w:p w14:paraId="6AD70497" w14:textId="77777777" w:rsidR="00D02D21" w:rsidRDefault="00D02D21" w:rsidP="00B50D71">
      <w:pPr>
        <w:pStyle w:val="FAAuthorInfoSubtitle"/>
        <w:spacing w:before="0" w:after="0"/>
        <w:rPr>
          <w:b w:val="0"/>
          <w:bCs/>
        </w:rPr>
      </w:pPr>
      <w:r w:rsidRPr="0062788F">
        <w:rPr>
          <w:b w:val="0"/>
          <w:bCs/>
          <w:vertAlign w:val="superscript"/>
        </w:rPr>
        <w:t>8</w:t>
      </w:r>
      <w:r w:rsidRPr="00D16BCF">
        <w:rPr>
          <w:b w:val="0"/>
          <w:bCs/>
        </w:rPr>
        <w:t>Northwestern University, National Resource for Translational and Developmental Proteomics, Evanston, IL 60208</w:t>
      </w:r>
    </w:p>
    <w:p w14:paraId="55D80938" w14:textId="77777777" w:rsidR="00D02D21" w:rsidRDefault="00D02D21" w:rsidP="00B50D71">
      <w:pPr>
        <w:pStyle w:val="FAAuthorInfoSubtitle"/>
        <w:spacing w:before="0" w:after="0"/>
      </w:pPr>
      <w:r w:rsidRPr="0062788F">
        <w:t xml:space="preserve"> </w:t>
      </w:r>
    </w:p>
    <w:p w14:paraId="5BE686A1" w14:textId="77777777" w:rsidR="00D02D21" w:rsidRPr="0062788F" w:rsidRDefault="00D02D21" w:rsidP="006547B1">
      <w:pPr>
        <w:pStyle w:val="FAAuthorInfoSubtitle"/>
        <w:spacing w:before="0" w:after="0"/>
        <w:rPr>
          <w:rStyle w:val="Hyperlink"/>
          <w:b w:val="0"/>
          <w:bCs/>
        </w:rPr>
      </w:pPr>
      <w:r w:rsidRPr="0062788F">
        <w:t xml:space="preserve">Corresponding Authors </w:t>
      </w:r>
      <w:r w:rsidRPr="00D16BCF">
        <w:rPr>
          <w:b w:val="0"/>
          <w:bCs/>
        </w:rPr>
        <w:t xml:space="preserve">*(J.R.Y III) Email: </w:t>
      </w:r>
      <w:hyperlink r:id="rId7" w:history="1">
        <w:r w:rsidRPr="00D16BCF">
          <w:rPr>
            <w:rStyle w:val="Hyperlink"/>
          </w:rPr>
          <w:t>jyates@scripps.edu</w:t>
        </w:r>
      </w:hyperlink>
      <w:r w:rsidRPr="00D16BCF">
        <w:rPr>
          <w:b w:val="0"/>
          <w:bCs/>
        </w:rPr>
        <w:t xml:space="preserve">. *(K.W.N.) Email: </w:t>
      </w:r>
      <w:hyperlink r:id="rId8" w:history="1">
        <w:r w:rsidRPr="00D16BCF">
          <w:rPr>
            <w:rStyle w:val="Hyperlink"/>
          </w:rPr>
          <w:t>k.nettles@ufl.edu</w:t>
        </w:r>
      </w:hyperlink>
    </w:p>
    <w:p w14:paraId="35C7ADCC" w14:textId="77777777" w:rsidR="00D02D21" w:rsidRPr="000709B9" w:rsidRDefault="00D02D21" w:rsidP="006547B1">
      <w:pPr>
        <w:pStyle w:val="FAAuthorInfoSubtitle"/>
        <w:spacing w:before="0" w:after="0"/>
        <w:rPr>
          <w:sz w:val="10"/>
          <w:szCs w:val="10"/>
        </w:rPr>
      </w:pPr>
    </w:p>
    <w:p w14:paraId="486346BF" w14:textId="2AE77EC2" w:rsidR="00D02D21" w:rsidRDefault="00D02D21" w:rsidP="006547B1">
      <w:pPr>
        <w:spacing w:after="0" w:line="240" w:lineRule="auto"/>
        <w:rPr>
          <w:rFonts w:ascii="Times New Roman" w:hAnsi="Times New Roman" w:cs="Times New Roman"/>
          <w:b/>
        </w:rPr>
      </w:pPr>
      <w:r>
        <w:rPr>
          <w:rFonts w:ascii="Times New Roman" w:hAnsi="Times New Roman" w:cs="Times New Roman"/>
          <w:b/>
        </w:rPr>
        <w:t xml:space="preserve">Materials and Methods </w:t>
      </w:r>
    </w:p>
    <w:p w14:paraId="239DECD9" w14:textId="0DF6B0F8" w:rsidR="00D02D21" w:rsidRDefault="00D02D21" w:rsidP="006547B1">
      <w:pPr>
        <w:spacing w:after="0" w:line="240" w:lineRule="auto"/>
        <w:rPr>
          <w:rFonts w:ascii="Times New Roman" w:hAnsi="Times New Roman" w:cs="Times New Roman"/>
          <w:b/>
        </w:rPr>
      </w:pPr>
      <w:r>
        <w:rPr>
          <w:rFonts w:ascii="Times New Roman" w:hAnsi="Times New Roman" w:cs="Times New Roman"/>
          <w:b/>
        </w:rPr>
        <w:t xml:space="preserve">Supplementary Figures </w:t>
      </w:r>
    </w:p>
    <w:p w14:paraId="7C94040A" w14:textId="4BEFE16D" w:rsidR="00D02D21" w:rsidRDefault="00D02D21" w:rsidP="006547B1">
      <w:pPr>
        <w:spacing w:after="0" w:line="240" w:lineRule="auto"/>
        <w:rPr>
          <w:rFonts w:ascii="Times New Roman" w:hAnsi="Times New Roman" w:cs="Times New Roman"/>
          <w:b/>
        </w:rPr>
      </w:pPr>
      <w:r>
        <w:rPr>
          <w:rFonts w:ascii="Times New Roman" w:hAnsi="Times New Roman" w:cs="Times New Roman"/>
          <w:b/>
        </w:rPr>
        <w:t xml:space="preserve">Supplementary Tables </w:t>
      </w:r>
    </w:p>
    <w:p w14:paraId="556BF136" w14:textId="77777777" w:rsidR="00D02D21" w:rsidRDefault="00D02D21" w:rsidP="006547B1">
      <w:pPr>
        <w:spacing w:after="0" w:line="240" w:lineRule="auto"/>
        <w:rPr>
          <w:rFonts w:ascii="Times New Roman" w:hAnsi="Times New Roman" w:cs="Times New Roman"/>
          <w:b/>
        </w:rPr>
      </w:pPr>
    </w:p>
    <w:p w14:paraId="29118EF1" w14:textId="77777777" w:rsidR="00D02D21" w:rsidRDefault="00D02D21" w:rsidP="002B5CD3">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Materials and Methods</w:t>
      </w:r>
    </w:p>
    <w:p w14:paraId="21A583BA" w14:textId="77777777" w:rsidR="00D02D21" w:rsidRDefault="00D02D21" w:rsidP="002B5CD3">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 xml:space="preserve">Native Top-Down Proteomics (nTDP) Experimental Design Rationale </w:t>
      </w:r>
    </w:p>
    <w:p w14:paraId="65BB37AE" w14:textId="77777777" w:rsidR="00D02D21" w:rsidRPr="000709B9" w:rsidRDefault="00D02D21" w:rsidP="00D02D21">
      <w:pPr>
        <w:spacing w:after="0" w:line="240" w:lineRule="auto"/>
        <w:rPr>
          <w:rStyle w:val="current-selection"/>
          <w:rFonts w:ascii="Times New Roman" w:hAnsi="Times New Roman" w:cs="Times New Roman"/>
          <w:i/>
          <w:iCs/>
          <w:shd w:val="clear" w:color="auto" w:fill="FFFFFF"/>
        </w:rPr>
      </w:pPr>
      <w:r w:rsidRPr="00AB4F6C">
        <w:rPr>
          <w:rFonts w:ascii="Times New Roman" w:hAnsi="Times New Roman" w:cs="Times New Roman"/>
        </w:rPr>
        <w:t xml:space="preserve">nTDP </w:t>
      </w:r>
      <w:r w:rsidRPr="00AB4F6C">
        <w:rPr>
          <w:rStyle w:val="current-selection"/>
          <w:rFonts w:ascii="Times New Roman" w:hAnsi="Times New Roman" w:cs="Times New Roman"/>
          <w:shd w:val="clear" w:color="auto" w:fill="FFFFFF"/>
        </w:rPr>
        <w:t xml:space="preserve">studies of simple and complex protein mixtures have been conducted using both offline (ion exchange chromatography (IEX)) </w:t>
      </w:r>
      <w:r w:rsidRPr="00931262">
        <w:rPr>
          <w:rStyle w:val="current-selection"/>
          <w:rFonts w:ascii="Times New Roman" w:hAnsi="Times New Roman" w:cs="Times New Roman"/>
          <w:noProof/>
          <w:shd w:val="clear" w:color="auto" w:fill="FFFFFF"/>
          <w:vertAlign w:val="superscript"/>
        </w:rPr>
        <w:t>1</w:t>
      </w:r>
      <w:r w:rsidRPr="00AB4F6C">
        <w:rPr>
          <w:rStyle w:val="current-selection"/>
          <w:rFonts w:ascii="Times New Roman" w:hAnsi="Times New Roman" w:cs="Times New Roman"/>
          <w:shd w:val="clear" w:color="auto" w:fill="FFFFFF"/>
        </w:rPr>
        <w:t xml:space="preserve"> and online (capillary zone electrophoresis (CZE)) liquid-phase separation strategies </w:t>
      </w:r>
      <w:r w:rsidRPr="00931262">
        <w:rPr>
          <w:rStyle w:val="current-selection"/>
          <w:rFonts w:ascii="Times New Roman" w:hAnsi="Times New Roman" w:cs="Times New Roman"/>
          <w:noProof/>
          <w:shd w:val="clear" w:color="auto" w:fill="FFFFFF"/>
          <w:vertAlign w:val="superscript"/>
        </w:rPr>
        <w:t>2-4</w:t>
      </w:r>
      <w:r w:rsidRPr="00AB4F6C">
        <w:rPr>
          <w:rStyle w:val="current-selection"/>
          <w:rFonts w:ascii="Times New Roman" w:hAnsi="Times New Roman" w:cs="Times New Roman"/>
          <w:shd w:val="clear" w:color="auto" w:fill="FFFFFF"/>
        </w:rPr>
        <w:t xml:space="preserve">. However, methods that employ liquid-phase fractionations will require numerous </w:t>
      </w:r>
      <w:r w:rsidRPr="00AB4F6C">
        <w:rPr>
          <w:rFonts w:ascii="Times New Roman" w:hAnsi="Times New Roman" w:cs="Times New Roman"/>
          <w:color w:val="202124"/>
          <w:shd w:val="clear" w:color="auto" w:fill="FFFFFF"/>
        </w:rPr>
        <w:t xml:space="preserve">developments/optimizations to provide reliable and comprehensive information about the higher-order molecular organization of the cells. For instance, </w:t>
      </w:r>
      <w:r w:rsidRPr="00AB4F6C">
        <w:rPr>
          <w:rStyle w:val="current-selection"/>
          <w:rFonts w:ascii="Times New Roman" w:hAnsi="Times New Roman" w:cs="Times New Roman"/>
          <w:shd w:val="clear" w:color="auto" w:fill="FFFFFF"/>
        </w:rPr>
        <w:t xml:space="preserve">IEX is known for its high separation efficiency, but this technique requires the use of fairly high salt concentrations that can disrupt fragile non-covalent interactions </w:t>
      </w:r>
      <w:r w:rsidRPr="00931262">
        <w:rPr>
          <w:rStyle w:val="current-selection"/>
          <w:rFonts w:ascii="Times New Roman" w:hAnsi="Times New Roman" w:cs="Times New Roman"/>
          <w:noProof/>
          <w:shd w:val="clear" w:color="auto" w:fill="FFFFFF"/>
          <w:vertAlign w:val="superscript"/>
        </w:rPr>
        <w:t>2</w:t>
      </w:r>
      <w:r w:rsidRPr="00AB4F6C">
        <w:rPr>
          <w:rStyle w:val="current-selection"/>
          <w:rFonts w:ascii="Times New Roman" w:hAnsi="Times New Roman" w:cs="Times New Roman"/>
          <w:shd w:val="clear" w:color="auto" w:fill="FFFFFF"/>
        </w:rPr>
        <w:t xml:space="preserve">. Although native CZE has shown the potential for high separation efficiency of protein complexes under nano electrospray ionization (ESI) conditions, the low sample loading capability of this technique hampers its widespread acceptance </w:t>
      </w:r>
      <w:r w:rsidRPr="00931262">
        <w:rPr>
          <w:rStyle w:val="current-selection"/>
          <w:rFonts w:ascii="Times New Roman" w:hAnsi="Times New Roman" w:cs="Times New Roman"/>
          <w:noProof/>
          <w:shd w:val="clear" w:color="auto" w:fill="FFFFFF"/>
          <w:vertAlign w:val="superscript"/>
        </w:rPr>
        <w:t>5</w:t>
      </w:r>
      <w:r w:rsidRPr="00AB4F6C">
        <w:rPr>
          <w:rStyle w:val="current-selection"/>
          <w:rFonts w:ascii="Times New Roman" w:hAnsi="Times New Roman" w:cs="Times New Roman"/>
          <w:shd w:val="clear" w:color="auto" w:fill="FFFFFF"/>
        </w:rPr>
        <w:t xml:space="preserve">. Recent advances in MS instrumentation have led to the development of ion mobility spectrometry (IMS), which provides an extra dimension of gas-phase ion fractionation that enhances quadrupole selectivity and S/N </w:t>
      </w:r>
      <w:r w:rsidRPr="00931262">
        <w:rPr>
          <w:rStyle w:val="current-selection"/>
          <w:rFonts w:ascii="Times New Roman" w:hAnsi="Times New Roman" w:cs="Times New Roman"/>
          <w:noProof/>
          <w:shd w:val="clear" w:color="auto" w:fill="FFFFFF"/>
          <w:vertAlign w:val="superscript"/>
        </w:rPr>
        <w:t>6</w:t>
      </w:r>
      <w:r w:rsidRPr="00AB4F6C">
        <w:rPr>
          <w:rStyle w:val="current-selection"/>
          <w:rFonts w:ascii="Times New Roman" w:hAnsi="Times New Roman" w:cs="Times New Roman"/>
          <w:shd w:val="clear" w:color="auto" w:fill="FFFFFF"/>
        </w:rPr>
        <w:t xml:space="preserve">. Among IMS techniques, </w:t>
      </w:r>
      <w:r w:rsidRPr="00AB4F6C">
        <w:rPr>
          <w:rFonts w:ascii="Times New Roman" w:hAnsi="Times New Roman" w:cs="Times New Roman"/>
        </w:rPr>
        <w:t xml:space="preserve">high-field asymmetric ion mobility spectrometry (FAIMS) provides enhanced S/N and superior orthogonal selectivity to the mass spectrometer. FAIMS has been used for analysis of intact proteins (under denaturing and non-denaturing conditions) </w:t>
      </w:r>
      <w:r w:rsidRPr="00931262">
        <w:rPr>
          <w:rFonts w:ascii="Times New Roman" w:hAnsi="Times New Roman" w:cs="Times New Roman"/>
          <w:noProof/>
          <w:vertAlign w:val="superscript"/>
        </w:rPr>
        <w:t>6,7</w:t>
      </w:r>
      <w:r w:rsidRPr="00AB4F6C">
        <w:rPr>
          <w:rFonts w:ascii="Times New Roman" w:hAnsi="Times New Roman" w:cs="Times New Roman"/>
        </w:rPr>
        <w:t>.</w:t>
      </w:r>
      <w:r w:rsidRPr="000709B9">
        <w:rPr>
          <w:rFonts w:ascii="Times New Roman" w:hAnsi="Times New Roman" w:cs="Times New Roman"/>
          <w:i/>
          <w:iCs/>
        </w:rPr>
        <w:t xml:space="preserve"> </w:t>
      </w:r>
    </w:p>
    <w:p w14:paraId="5A54087E" w14:textId="77777777" w:rsidR="00D02D21" w:rsidRPr="00067A80" w:rsidRDefault="00D02D21" w:rsidP="00D02D21">
      <w:pPr>
        <w:autoSpaceDE w:val="0"/>
        <w:autoSpaceDN w:val="0"/>
        <w:adjustRightInd w:val="0"/>
        <w:spacing w:after="0" w:line="240" w:lineRule="auto"/>
        <w:rPr>
          <w:rFonts w:ascii="Times New Roman" w:hAnsi="Times New Roman" w:cs="Times New Roman"/>
          <w:i/>
          <w:iCs/>
        </w:rPr>
      </w:pPr>
      <w:r w:rsidRPr="000709B9">
        <w:rPr>
          <w:rFonts w:ascii="Times New Roman" w:hAnsi="Times New Roman" w:cs="Times New Roman"/>
        </w:rPr>
        <w:t>Here, we demonstrate that gas-phase fractionation can be used for a large scale, sensitive, and efficient characterization of complexoforms within cells. It can replace or complement online liquid-phase separations, especially when the goal of the study is to achieve in-depth protein characterization rather than in-depth proteomic coverage. We used offline native size exclusion chromatography (nSEC) to reduce sample complexity and enhance the MS detectability of extremely low abundan</w:t>
      </w:r>
      <w:r>
        <w:rPr>
          <w:rFonts w:ascii="Times New Roman" w:hAnsi="Times New Roman" w:cs="Times New Roman"/>
        </w:rPr>
        <w:t>ce</w:t>
      </w:r>
      <w:r w:rsidRPr="000709B9">
        <w:rPr>
          <w:rFonts w:ascii="Times New Roman" w:hAnsi="Times New Roman" w:cs="Times New Roman"/>
        </w:rPr>
        <w:t xml:space="preserve"> endogenous protein </w:t>
      </w:r>
      <w:r>
        <w:rPr>
          <w:rFonts w:ascii="Times New Roman" w:hAnsi="Times New Roman" w:cs="Times New Roman"/>
        </w:rPr>
        <w:t>assemblies</w:t>
      </w:r>
      <w:r w:rsidRPr="000709B9">
        <w:rPr>
          <w:rFonts w:ascii="Times New Roman" w:hAnsi="Times New Roman" w:cs="Times New Roman"/>
        </w:rPr>
        <w:t xml:space="preserve">. nSEC fractions were “injected-infused” at low nano-LC flow rate and ionized by nano ESI. The resulting protein ions were fractionated in the gas-phase with FAIMS prior to entering the mass spectrometer. Multistage tandem MS, </w:t>
      </w:r>
      <w:r w:rsidRPr="00067A80">
        <w:rPr>
          <w:rFonts w:ascii="Times New Roman" w:hAnsi="Times New Roman" w:cs="Times New Roman"/>
        </w:rPr>
        <w:t>a strategy that measures the intact mass of protein assemblies before ejecting and identifying monomeric proteoforms for subsequent dissociation and sequencing</w:t>
      </w:r>
      <w:r w:rsidRPr="000709B9">
        <w:rPr>
          <w:rFonts w:ascii="Times New Roman" w:hAnsi="Times New Roman" w:cs="Times New Roman"/>
        </w:rPr>
        <w:t>, was used to characterize the protein complexes and their constituent proteoforms.</w:t>
      </w:r>
      <w:r>
        <w:rPr>
          <w:rFonts w:ascii="Times New Roman" w:hAnsi="Times New Roman" w:cs="Times New Roman"/>
        </w:rPr>
        <w:t xml:space="preserve"> </w:t>
      </w:r>
    </w:p>
    <w:p w14:paraId="64D6B465" w14:textId="77777777" w:rsidR="00D02D21" w:rsidRPr="000709B9" w:rsidRDefault="00D02D21" w:rsidP="00B421A1">
      <w:pPr>
        <w:spacing w:before="120" w:after="0" w:line="240" w:lineRule="auto"/>
        <w:rPr>
          <w:rFonts w:ascii="Times New Roman" w:hAnsi="Times New Roman" w:cs="Times New Roman"/>
        </w:rPr>
      </w:pPr>
      <w:r w:rsidRPr="000709B9">
        <w:rPr>
          <w:rFonts w:ascii="Times New Roman" w:hAnsi="Times New Roman" w:cs="Times New Roman"/>
          <w:b/>
          <w:bCs/>
        </w:rPr>
        <w:t>MS Method Strategy</w:t>
      </w:r>
      <w:r w:rsidRPr="000709B9">
        <w:rPr>
          <w:rFonts w:ascii="Times New Roman" w:hAnsi="Times New Roman" w:cs="Times New Roman"/>
        </w:rPr>
        <w:t>.</w:t>
      </w:r>
      <w:r w:rsidRPr="000709B9">
        <w:rPr>
          <w:rFonts w:ascii="Times New Roman" w:hAnsi="Times New Roman" w:cs="Times New Roman"/>
          <w:b/>
          <w:bCs/>
        </w:rPr>
        <w:t xml:space="preserve"> </w:t>
      </w:r>
      <w:r w:rsidRPr="000709B9">
        <w:rPr>
          <w:rFonts w:ascii="Times New Roman" w:hAnsi="Times New Roman" w:cs="Times New Roman"/>
          <w:color w:val="000000" w:themeColor="text1"/>
        </w:rPr>
        <w:t>Much of the activity in the nTDP field has been focused on the characterization of high</w:t>
      </w:r>
      <w:r>
        <w:rPr>
          <w:rFonts w:ascii="Times New Roman" w:hAnsi="Times New Roman" w:cs="Times New Roman"/>
          <w:color w:val="000000" w:themeColor="text1"/>
        </w:rPr>
        <w:t>ly</w:t>
      </w:r>
      <w:r w:rsidRPr="000709B9">
        <w:rPr>
          <w:rFonts w:ascii="Times New Roman" w:hAnsi="Times New Roman" w:cs="Times New Roman"/>
          <w:color w:val="000000" w:themeColor="text1"/>
        </w:rPr>
        <w:t xml:space="preserve"> purified individual protein complexes via direct infusion experiments using Orbitrap with extended mass range (EMR) </w:t>
      </w:r>
      <w:r w:rsidRPr="00931262">
        <w:rPr>
          <w:rFonts w:ascii="Times New Roman" w:hAnsi="Times New Roman" w:cs="Times New Roman"/>
          <w:noProof/>
          <w:color w:val="000000" w:themeColor="text1"/>
          <w:vertAlign w:val="superscript"/>
        </w:rPr>
        <w:t>8</w:t>
      </w:r>
      <w:r w:rsidRPr="000709B9">
        <w:rPr>
          <w:rFonts w:ascii="Times New Roman" w:hAnsi="Times New Roman" w:cs="Times New Roman"/>
          <w:color w:val="000000" w:themeColor="text1"/>
        </w:rPr>
        <w:t xml:space="preserve">, time of flight (TOF) </w:t>
      </w:r>
      <w:r w:rsidRPr="00931262">
        <w:rPr>
          <w:rFonts w:ascii="Times New Roman" w:hAnsi="Times New Roman" w:cs="Times New Roman"/>
          <w:noProof/>
          <w:color w:val="000000" w:themeColor="text1"/>
          <w:vertAlign w:val="superscript"/>
        </w:rPr>
        <w:t>9</w:t>
      </w:r>
      <w:r w:rsidRPr="000709B9">
        <w:rPr>
          <w:rFonts w:ascii="Times New Roman" w:hAnsi="Times New Roman" w:cs="Times New Roman"/>
          <w:color w:val="000000" w:themeColor="text1"/>
        </w:rPr>
        <w:t xml:space="preserve">, or </w:t>
      </w:r>
      <w:r w:rsidRPr="000709B9">
        <w:rPr>
          <w:rFonts w:ascii="Times New Roman" w:hAnsi="Times New Roman" w:cs="Times New Roman"/>
          <w:color w:val="202124"/>
          <w:shd w:val="clear" w:color="auto" w:fill="FFFFFF"/>
        </w:rPr>
        <w:t xml:space="preserve">Fourier-transform ion cyclotron resonance (FTICR) </w:t>
      </w:r>
      <w:r w:rsidRPr="00931262">
        <w:rPr>
          <w:rFonts w:ascii="Times New Roman" w:hAnsi="Times New Roman" w:cs="Times New Roman"/>
          <w:noProof/>
          <w:color w:val="202124"/>
          <w:shd w:val="clear" w:color="auto" w:fill="FFFFFF"/>
          <w:vertAlign w:val="superscript"/>
        </w:rPr>
        <w:t>10</w:t>
      </w:r>
      <w:r w:rsidRPr="000709B9">
        <w:rPr>
          <w:rFonts w:ascii="Times New Roman" w:hAnsi="Times New Roman" w:cs="Times New Roman"/>
          <w:color w:val="202124"/>
          <w:shd w:val="clear" w:color="auto" w:fill="FFFFFF"/>
        </w:rPr>
        <w:t xml:space="preserve"> mass analyzers. Recently, a n</w:t>
      </w:r>
      <w:r w:rsidRPr="000709B9">
        <w:rPr>
          <w:rFonts w:ascii="Times New Roman" w:hAnsi="Times New Roman" w:cs="Times New Roman"/>
          <w:bCs/>
        </w:rPr>
        <w:t xml:space="preserve">ative proteomics study using a conventional Orbitrap platform </w:t>
      </w:r>
      <w:r>
        <w:rPr>
          <w:rFonts w:ascii="Times New Roman" w:hAnsi="Times New Roman" w:cs="Times New Roman"/>
          <w:bCs/>
        </w:rPr>
        <w:t>was</w:t>
      </w:r>
      <w:r w:rsidRPr="000709B9">
        <w:rPr>
          <w:rFonts w:ascii="Times New Roman" w:hAnsi="Times New Roman" w:cs="Times New Roman"/>
          <w:bCs/>
        </w:rPr>
        <w:t xml:space="preserve"> reported, but it was limited to the characterization of protein complexes &lt; 30kDa </w:t>
      </w:r>
      <w:r w:rsidRPr="00931262">
        <w:rPr>
          <w:rFonts w:ascii="Times New Roman" w:hAnsi="Times New Roman" w:cs="Times New Roman"/>
          <w:bCs/>
          <w:noProof/>
          <w:vertAlign w:val="superscript"/>
        </w:rPr>
        <w:t>3</w:t>
      </w:r>
      <w:r w:rsidRPr="000709B9">
        <w:rPr>
          <w:rFonts w:ascii="Times New Roman" w:hAnsi="Times New Roman" w:cs="Times New Roman"/>
          <w:bCs/>
        </w:rPr>
        <w:t xml:space="preserve">. Here, </w:t>
      </w:r>
      <w:r w:rsidRPr="000709B9">
        <w:rPr>
          <w:rFonts w:ascii="Times New Roman" w:hAnsi="Times New Roman" w:cs="Times New Roman"/>
          <w:shd w:val="clear" w:color="auto" w:fill="FFFFFF"/>
        </w:rPr>
        <w:t xml:space="preserve">we </w:t>
      </w:r>
      <w:r>
        <w:rPr>
          <w:rFonts w:ascii="Times New Roman" w:hAnsi="Times New Roman" w:cs="Times New Roman"/>
          <w:shd w:val="clear" w:color="auto" w:fill="FFFFFF"/>
        </w:rPr>
        <w:t>employed</w:t>
      </w:r>
      <w:r w:rsidRPr="000709B9">
        <w:rPr>
          <w:rFonts w:ascii="Times New Roman" w:hAnsi="Times New Roman" w:cs="Times New Roman"/>
          <w:shd w:val="clear" w:color="auto" w:fill="FFFFFF"/>
        </w:rPr>
        <w:t xml:space="preserve"> FAIMS in a multistage MS approach for native top-down characterization of complexoforms </w:t>
      </w:r>
      <w:r w:rsidRPr="000709B9">
        <w:rPr>
          <w:rFonts w:ascii="Times New Roman" w:hAnsi="Times New Roman" w:cs="Times New Roman"/>
          <w:color w:val="222222"/>
          <w:shd w:val="clear" w:color="auto" w:fill="FFFFFF"/>
        </w:rPr>
        <w:t>in MCF</w:t>
      </w:r>
      <w:r>
        <w:rPr>
          <w:rFonts w:ascii="Times New Roman" w:hAnsi="Times New Roman" w:cs="Times New Roman"/>
          <w:color w:val="222222"/>
          <w:shd w:val="clear" w:color="auto" w:fill="FFFFFF"/>
        </w:rPr>
        <w:t>-</w:t>
      </w:r>
      <w:r w:rsidRPr="000709B9">
        <w:rPr>
          <w:rFonts w:ascii="Times New Roman" w:hAnsi="Times New Roman" w:cs="Times New Roman"/>
          <w:color w:val="222222"/>
          <w:shd w:val="clear" w:color="auto" w:fill="FFFFFF"/>
        </w:rPr>
        <w:t xml:space="preserve">7 </w:t>
      </w:r>
      <w:r>
        <w:rPr>
          <w:rFonts w:ascii="Times New Roman" w:hAnsi="Times New Roman" w:cs="Times New Roman"/>
          <w:color w:val="222222"/>
          <w:shd w:val="clear" w:color="auto" w:fill="FFFFFF"/>
        </w:rPr>
        <w:t xml:space="preserve">breast cancer </w:t>
      </w:r>
      <w:r w:rsidRPr="000709B9">
        <w:rPr>
          <w:rFonts w:ascii="Times New Roman" w:hAnsi="Times New Roman" w:cs="Times New Roman"/>
          <w:color w:val="222222"/>
          <w:shd w:val="clear" w:color="auto" w:fill="FFFFFF"/>
        </w:rPr>
        <w:t>cell</w:t>
      </w:r>
      <w:r>
        <w:rPr>
          <w:rFonts w:ascii="Times New Roman" w:hAnsi="Times New Roman" w:cs="Times New Roman"/>
          <w:color w:val="222222"/>
          <w:shd w:val="clear" w:color="auto" w:fill="FFFFFF"/>
        </w:rPr>
        <w:t>s</w:t>
      </w:r>
      <w:r w:rsidRPr="000709B9">
        <w:rPr>
          <w:rFonts w:ascii="Times New Roman" w:hAnsi="Times New Roman" w:cs="Times New Roman"/>
          <w:color w:val="222222"/>
          <w:shd w:val="clear" w:color="auto" w:fill="FFFFFF"/>
        </w:rPr>
        <w:t>. W</w:t>
      </w:r>
      <w:r w:rsidRPr="000709B9">
        <w:rPr>
          <w:rFonts w:ascii="Times New Roman" w:hAnsi="Times New Roman" w:cs="Times New Roman"/>
          <w:bCs/>
        </w:rPr>
        <w:t xml:space="preserve">e </w:t>
      </w:r>
      <w:r w:rsidRPr="000709B9">
        <w:rPr>
          <w:rFonts w:ascii="Times New Roman" w:hAnsi="Times New Roman" w:cs="Times New Roman"/>
          <w:color w:val="000000" w:themeColor="text1"/>
        </w:rPr>
        <w:t xml:space="preserve">pushed the Orbitrap Fusion Lumos without EMR capabilities to its limit to </w:t>
      </w:r>
      <w:r w:rsidRPr="000709B9">
        <w:rPr>
          <w:rFonts w:ascii="Times New Roman" w:hAnsi="Times New Roman" w:cs="Times New Roman"/>
          <w:bCs/>
          <w:color w:val="000000" w:themeColor="text1"/>
        </w:rPr>
        <w:t>attain optimum transmission and detection of sub-70kDa intact biomolecular complexes. C</w:t>
      </w:r>
      <w:r w:rsidRPr="000709B9">
        <w:rPr>
          <w:rFonts w:ascii="Times New Roman" w:hAnsi="Times New Roman" w:cs="Times New Roman"/>
          <w:bCs/>
        </w:rPr>
        <w:t xml:space="preserve">arbonic anhydrase II (CA II, ~29.1kDa), streptavidin (SA, ~53kDa), and avidin (AV, ~67kDa) were </w:t>
      </w:r>
      <w:r>
        <w:rPr>
          <w:rFonts w:ascii="Times New Roman" w:hAnsi="Times New Roman" w:cs="Times New Roman"/>
          <w:bCs/>
        </w:rPr>
        <w:t>used to</w:t>
      </w:r>
      <w:r w:rsidRPr="000709B9">
        <w:rPr>
          <w:rFonts w:ascii="Times New Roman" w:hAnsi="Times New Roman" w:cs="Times New Roman"/>
          <w:bCs/>
        </w:rPr>
        <w:t xml:space="preserve"> develop and evaluat</w:t>
      </w:r>
      <w:r>
        <w:rPr>
          <w:rFonts w:ascii="Times New Roman" w:hAnsi="Times New Roman" w:cs="Times New Roman"/>
          <w:bCs/>
        </w:rPr>
        <w:t>e</w:t>
      </w:r>
      <w:r w:rsidRPr="000709B9">
        <w:rPr>
          <w:rFonts w:ascii="Times New Roman" w:hAnsi="Times New Roman" w:cs="Times New Roman"/>
          <w:bCs/>
        </w:rPr>
        <w:t xml:space="preserve"> the nTDP method because these </w:t>
      </w:r>
      <w:r>
        <w:rPr>
          <w:rFonts w:ascii="Times New Roman" w:hAnsi="Times New Roman" w:cs="Times New Roman"/>
          <w:bCs/>
        </w:rPr>
        <w:t xml:space="preserve">proteins </w:t>
      </w:r>
      <w:r w:rsidRPr="000709B9">
        <w:rPr>
          <w:rFonts w:ascii="Times New Roman" w:hAnsi="Times New Roman" w:cs="Times New Roman"/>
          <w:bCs/>
        </w:rPr>
        <w:t xml:space="preserve">are examples of protein-metal and protein-protein assemblies that can be found in breast cancer cells, and they span a suitable molecular weight range (~30-70kDa) for the </w:t>
      </w:r>
      <w:r w:rsidRPr="000709B9">
        <w:rPr>
          <w:rFonts w:ascii="Times New Roman" w:hAnsi="Times New Roman" w:cs="Times New Roman"/>
          <w:color w:val="000000" w:themeColor="text1"/>
        </w:rPr>
        <w:t xml:space="preserve">Orbitrap Fusion Lumos </w:t>
      </w:r>
      <w:r w:rsidRPr="000709B9">
        <w:rPr>
          <w:rFonts w:ascii="Times New Roman" w:hAnsi="Times New Roman" w:cs="Times New Roman"/>
          <w:bCs/>
        </w:rPr>
        <w:t xml:space="preserve">(determined through </w:t>
      </w:r>
      <w:r w:rsidRPr="000709B9">
        <w:rPr>
          <w:rFonts w:ascii="Times New Roman" w:hAnsi="Times New Roman" w:cs="Times New Roman"/>
          <w:bCs/>
        </w:rPr>
        <w:lastRenderedPageBreak/>
        <w:t xml:space="preserve">meticulous optimization of key MS parameters). </w:t>
      </w:r>
      <w:r w:rsidRPr="000709B9">
        <w:rPr>
          <w:rFonts w:ascii="Times New Roman" w:hAnsi="Times New Roman" w:cs="Times New Roman"/>
          <w:bCs/>
          <w:color w:val="000000" w:themeColor="text1"/>
        </w:rPr>
        <w:t xml:space="preserve">As </w:t>
      </w:r>
      <w:r w:rsidRPr="000709B9">
        <w:rPr>
          <w:rFonts w:ascii="Times New Roman" w:hAnsi="Times New Roman" w:cs="Times New Roman"/>
          <w:bCs/>
        </w:rPr>
        <w:t xml:space="preserve">shown in Supporting Information </w:t>
      </w:r>
      <w:r w:rsidRPr="000709B9">
        <w:rPr>
          <w:rFonts w:ascii="Times New Roman" w:hAnsi="Times New Roman" w:cs="Times New Roman"/>
          <w:b/>
        </w:rPr>
        <w:t>Figures S1-S3</w:t>
      </w:r>
      <w:r w:rsidRPr="000709B9">
        <w:rPr>
          <w:rFonts w:ascii="Times New Roman" w:hAnsi="Times New Roman" w:cs="Times New Roman"/>
          <w:bCs/>
        </w:rPr>
        <w:t>, a</w:t>
      </w:r>
      <w:r w:rsidRPr="000709B9">
        <w:rPr>
          <w:rFonts w:ascii="Times New Roman" w:hAnsi="Times New Roman" w:cs="Times New Roman"/>
        </w:rPr>
        <w:t>ll these protein systems showed a low charge state distribution, which confirmed that our nano ESI-FAIMS</w:t>
      </w:r>
      <w:r w:rsidRPr="000709B9">
        <w:rPr>
          <w:rFonts w:ascii="Times New Roman" w:hAnsi="Times New Roman" w:cs="Times New Roman"/>
          <w:vertAlign w:val="superscript"/>
        </w:rPr>
        <w:t>n</w:t>
      </w:r>
      <w:r w:rsidRPr="000709B9">
        <w:rPr>
          <w:rFonts w:ascii="Times New Roman" w:hAnsi="Times New Roman" w:cs="Times New Roman"/>
        </w:rPr>
        <w:t xml:space="preserve"> approach can maintain, isolate, and fragment protein-protein/metal assemblies to yield fingerprint spectra</w:t>
      </w:r>
      <w:r>
        <w:rPr>
          <w:rFonts w:ascii="Times New Roman" w:hAnsi="Times New Roman" w:cs="Times New Roman"/>
        </w:rPr>
        <w:t xml:space="preserve"> that can be used</w:t>
      </w:r>
      <w:r w:rsidRPr="000709B9">
        <w:rPr>
          <w:rFonts w:ascii="Times New Roman" w:hAnsi="Times New Roman" w:cs="Times New Roman"/>
        </w:rPr>
        <w:t xml:space="preserve"> to elucidate monomeric proteoform arrangements in protein assemblies. In this nTDP workflow, h</w:t>
      </w:r>
      <w:r w:rsidRPr="000709B9">
        <w:rPr>
          <w:rFonts w:ascii="Times New Roman" w:hAnsi="Times New Roman" w:cs="Times New Roman"/>
          <w:bCs/>
          <w:color w:val="000000" w:themeColor="text1"/>
        </w:rPr>
        <w:t xml:space="preserve">igh pressure (14mTorr) in IRM was necessary to ensure optimal collisional cooling of the intact protein ions from the noncovalent assemblies, which enabled them to be effectively transmitted, trapped, and ejected to the detector </w:t>
      </w:r>
      <w:r w:rsidRPr="00931262">
        <w:rPr>
          <w:rFonts w:ascii="Times New Roman" w:hAnsi="Times New Roman" w:cs="Times New Roman"/>
          <w:bCs/>
          <w:noProof/>
          <w:color w:val="000000" w:themeColor="text1"/>
          <w:vertAlign w:val="superscript"/>
        </w:rPr>
        <w:t>11</w:t>
      </w:r>
      <w:r w:rsidRPr="000709B9">
        <w:rPr>
          <w:rFonts w:ascii="Times New Roman" w:hAnsi="Times New Roman" w:cs="Times New Roman"/>
          <w:bCs/>
          <w:color w:val="000000" w:themeColor="text1"/>
        </w:rPr>
        <w:t>. At higher pressures (e.g., 16mTorr), we noticed collisional gas instability in the mass spectrometer. A high resolving power in the MS</w:t>
      </w:r>
      <w:r w:rsidRPr="000709B9">
        <w:rPr>
          <w:rFonts w:ascii="Times New Roman" w:hAnsi="Times New Roman" w:cs="Times New Roman"/>
          <w:bCs/>
          <w:color w:val="000000" w:themeColor="text1"/>
          <w:vertAlign w:val="superscript"/>
        </w:rPr>
        <w:t>3</w:t>
      </w:r>
      <w:r w:rsidRPr="000709B9">
        <w:rPr>
          <w:rFonts w:ascii="Times New Roman" w:hAnsi="Times New Roman" w:cs="Times New Roman"/>
          <w:bCs/>
          <w:color w:val="000000" w:themeColor="text1"/>
        </w:rPr>
        <w:t xml:space="preserve"> stage was </w:t>
      </w:r>
      <w:r>
        <w:rPr>
          <w:rFonts w:ascii="Times New Roman" w:hAnsi="Times New Roman" w:cs="Times New Roman"/>
          <w:bCs/>
          <w:color w:val="000000" w:themeColor="text1"/>
        </w:rPr>
        <w:t>necessary</w:t>
      </w:r>
      <w:r w:rsidRPr="000709B9">
        <w:rPr>
          <w:rFonts w:ascii="Times New Roman" w:hAnsi="Times New Roman" w:cs="Times New Roman"/>
          <w:bCs/>
          <w:color w:val="000000" w:themeColor="text1"/>
        </w:rPr>
        <w:t xml:space="preserve"> to resolve overlapping isotope patterns, thereby characterizing the constituent proteoforms in protein assemblies. Tandem spectral quality also benefited from the high number of µscans and long ion injection times in the MS</w:t>
      </w:r>
      <w:r w:rsidRPr="000709B9">
        <w:rPr>
          <w:rFonts w:ascii="Times New Roman" w:hAnsi="Times New Roman" w:cs="Times New Roman"/>
          <w:bCs/>
          <w:color w:val="000000" w:themeColor="text1"/>
          <w:vertAlign w:val="superscript"/>
        </w:rPr>
        <w:t>2</w:t>
      </w:r>
      <w:r w:rsidRPr="000709B9">
        <w:rPr>
          <w:rFonts w:ascii="Times New Roman" w:hAnsi="Times New Roman" w:cs="Times New Roman"/>
          <w:bCs/>
          <w:color w:val="000000" w:themeColor="text1"/>
        </w:rPr>
        <w:t xml:space="preserve"> and MS</w:t>
      </w:r>
      <w:r w:rsidRPr="000709B9">
        <w:rPr>
          <w:rFonts w:ascii="Times New Roman" w:hAnsi="Times New Roman" w:cs="Times New Roman"/>
          <w:bCs/>
          <w:color w:val="000000" w:themeColor="text1"/>
          <w:vertAlign w:val="superscript"/>
        </w:rPr>
        <w:t>3</w:t>
      </w:r>
      <w:r w:rsidRPr="000709B9">
        <w:rPr>
          <w:rFonts w:ascii="Times New Roman" w:hAnsi="Times New Roman" w:cs="Times New Roman"/>
          <w:bCs/>
          <w:color w:val="000000" w:themeColor="text1"/>
        </w:rPr>
        <w:t xml:space="preserve"> stages. Importantly, all these instrument parameters are directly associated with scan time. Since our approach is based on direct infusion and gas-phase fractionation, MS acquisition parameters can be set at high</w:t>
      </w:r>
      <w:r>
        <w:rPr>
          <w:rFonts w:ascii="Times New Roman" w:hAnsi="Times New Roman" w:cs="Times New Roman"/>
          <w:bCs/>
          <w:color w:val="000000" w:themeColor="text1"/>
        </w:rPr>
        <w:t>er</w:t>
      </w:r>
      <w:r w:rsidRPr="000709B9">
        <w:rPr>
          <w:rFonts w:ascii="Times New Roman" w:hAnsi="Times New Roman" w:cs="Times New Roman"/>
          <w:bCs/>
          <w:color w:val="000000" w:themeColor="text1"/>
        </w:rPr>
        <w:t xml:space="preserve"> values </w:t>
      </w:r>
      <w:r>
        <w:rPr>
          <w:rFonts w:ascii="Times New Roman" w:hAnsi="Times New Roman" w:cs="Times New Roman"/>
          <w:bCs/>
          <w:color w:val="000000" w:themeColor="text1"/>
        </w:rPr>
        <w:t xml:space="preserve">than are possible for </w:t>
      </w:r>
      <w:r w:rsidRPr="000709B9">
        <w:rPr>
          <w:rFonts w:ascii="Times New Roman" w:hAnsi="Times New Roman" w:cs="Times New Roman"/>
          <w:bCs/>
          <w:color w:val="000000" w:themeColor="text1"/>
        </w:rPr>
        <w:t>online liquid-phase separation strategies</w:t>
      </w:r>
      <w:r w:rsidRPr="004D6D38">
        <w:rPr>
          <w:rFonts w:ascii="Times New Roman" w:hAnsi="Times New Roman" w:cs="Times New Roman"/>
          <w:bCs/>
          <w:color w:val="000000" w:themeColor="text1"/>
        </w:rPr>
        <w:t xml:space="preserve"> </w:t>
      </w:r>
      <w:r w:rsidRPr="000709B9">
        <w:rPr>
          <w:rFonts w:ascii="Times New Roman" w:hAnsi="Times New Roman" w:cs="Times New Roman"/>
          <w:bCs/>
          <w:color w:val="000000" w:themeColor="text1"/>
        </w:rPr>
        <w:t>without affecting data collection. For example, in CZE-MS approaches, scan time must be adjusted according to the short elution time of each protein peak, as spectral quality is driven by real-time peak area of protein precursor ions. Additionally, w</w:t>
      </w:r>
      <w:r w:rsidRPr="000709B9">
        <w:rPr>
          <w:rFonts w:ascii="Times New Roman" w:hAnsi="Times New Roman" w:cs="Times New Roman"/>
        </w:rPr>
        <w:t xml:space="preserve">e evaluated the gas-phase fractionation efficiency of the method by analyzing the standard protein complex mixture, with CVs ranging from −45 to −30 V with 5 V stepping. The base peak ion mobiligram of each protein complex in the mixture is shown in the </w:t>
      </w:r>
      <w:r w:rsidRPr="000709B9">
        <w:rPr>
          <w:rFonts w:ascii="Times New Roman" w:hAnsi="Times New Roman" w:cs="Times New Roman"/>
          <w:b/>
          <w:bCs/>
        </w:rPr>
        <w:t>Figure</w:t>
      </w:r>
      <w:r w:rsidRPr="000709B9">
        <w:rPr>
          <w:rFonts w:ascii="Times New Roman" w:hAnsi="Times New Roman" w:cs="Times New Roman"/>
        </w:rPr>
        <w:t xml:space="preserve"> </w:t>
      </w:r>
      <w:r w:rsidRPr="000709B9">
        <w:rPr>
          <w:rFonts w:ascii="Times New Roman" w:hAnsi="Times New Roman" w:cs="Times New Roman"/>
          <w:b/>
          <w:bCs/>
        </w:rPr>
        <w:t>S4</w:t>
      </w:r>
      <w:r w:rsidRPr="000709B9">
        <w:rPr>
          <w:rFonts w:ascii="Times New Roman" w:hAnsi="Times New Roman" w:cs="Times New Roman"/>
        </w:rPr>
        <w:t xml:space="preserve">, confirming the fractionation efficiency of the method for protein complexes up to 70kDa. Obtaining satisfactory fractionation was particularly important to this MS workflow, not only to reduce ion suppression effects and signal superposition, but also to avoid precursor overlap during quadrupole isolation of ions due to our large quadrupole isolation windows. </w:t>
      </w:r>
    </w:p>
    <w:p w14:paraId="1BD372BE" w14:textId="77777777" w:rsidR="00D02D21" w:rsidRDefault="00D02D21" w:rsidP="002B5CD3">
      <w:pPr>
        <w:spacing w:after="0" w:line="240" w:lineRule="auto"/>
        <w:rPr>
          <w:rFonts w:ascii="Times New Roman" w:hAnsi="Times New Roman" w:cs="Times New Roman"/>
          <w:sz w:val="10"/>
          <w:szCs w:val="10"/>
        </w:rPr>
      </w:pPr>
    </w:p>
    <w:p w14:paraId="19E593A8" w14:textId="77777777" w:rsidR="00D02D21" w:rsidRPr="000709B9" w:rsidRDefault="00D02D21" w:rsidP="002B5CD3">
      <w:pPr>
        <w:autoSpaceDE w:val="0"/>
        <w:autoSpaceDN w:val="0"/>
        <w:adjustRightInd w:val="0"/>
        <w:spacing w:after="0" w:line="240" w:lineRule="auto"/>
        <w:rPr>
          <w:rFonts w:ascii="Times New Roman" w:hAnsi="Times New Roman" w:cs="Times New Roman"/>
          <w:b/>
          <w:bCs/>
        </w:rPr>
      </w:pPr>
      <w:r w:rsidRPr="000709B9">
        <w:rPr>
          <w:rFonts w:ascii="Times New Roman" w:hAnsi="Times New Roman" w:cs="Times New Roman"/>
          <w:b/>
          <w:bCs/>
        </w:rPr>
        <w:t>Protein Complex Standard Preparation.</w:t>
      </w:r>
      <w:r w:rsidRPr="000709B9">
        <w:rPr>
          <w:rFonts w:ascii="Times New Roman" w:hAnsi="Times New Roman" w:cs="Times New Roman"/>
        </w:rPr>
        <w:t xml:space="preserve"> Ammonium acetate solution 7.5M (A2706) and carbonic anhydrase II (C2522) were purchased from Sigma-Aldrich. Avidin (PI21121) and streptavidin (434301) were purchased from Thermo Fisher Scientific</w:t>
      </w:r>
      <w:r w:rsidRPr="000709B9">
        <w:rPr>
          <w:rFonts w:ascii="Times New Roman" w:hAnsi="Times New Roman" w:cs="Times New Roman"/>
          <w:color w:val="000000"/>
          <w:shd w:val="clear" w:color="auto" w:fill="FFFFFF"/>
        </w:rPr>
        <w:t>. Proteins were diluted using 100 mM ammonium acetate,</w:t>
      </w:r>
      <w:r>
        <w:rPr>
          <w:rFonts w:ascii="Times New Roman" w:hAnsi="Times New Roman" w:cs="Times New Roman"/>
          <w:color w:val="000000"/>
          <w:shd w:val="clear" w:color="auto" w:fill="FFFFFF"/>
        </w:rPr>
        <w:t xml:space="preserve"> and were </w:t>
      </w:r>
      <w:r w:rsidRPr="000709B9">
        <w:rPr>
          <w:rFonts w:ascii="Times New Roman" w:hAnsi="Times New Roman" w:cs="Times New Roman"/>
          <w:color w:val="000000"/>
          <w:shd w:val="clear" w:color="auto" w:fill="FFFFFF"/>
        </w:rPr>
        <w:t>desalted and concentrated (</w:t>
      </w:r>
      <w:r w:rsidRPr="000709B9">
        <w:rPr>
          <w:rFonts w:ascii="Times New Roman" w:hAnsi="Times New Roman" w:cs="Times New Roman"/>
        </w:rPr>
        <w:t>~1-30µM</w:t>
      </w:r>
      <w:r w:rsidRPr="000709B9">
        <w:rPr>
          <w:rFonts w:ascii="Times New Roman" w:hAnsi="Times New Roman" w:cs="Times New Roman"/>
          <w:color w:val="000000"/>
          <w:shd w:val="clear" w:color="auto" w:fill="FFFFFF"/>
        </w:rPr>
        <w:t>) using 1</w:t>
      </w:r>
      <w:r w:rsidRPr="000709B9">
        <w:rPr>
          <w:rFonts w:ascii="Times New Roman" w:hAnsi="Times New Roman" w:cs="Times New Roman"/>
        </w:rPr>
        <w:t>0kDa molecular weight cutoff filters (Millipore). The desalting procedure was repeated 10 times (12,000 × g for 5 min at 4°C) to minimize salt effects.</w:t>
      </w:r>
    </w:p>
    <w:p w14:paraId="175E4317" w14:textId="77777777" w:rsidR="00D02D21" w:rsidRPr="000709B9" w:rsidRDefault="00D02D21" w:rsidP="002B5CD3">
      <w:pPr>
        <w:autoSpaceDE w:val="0"/>
        <w:autoSpaceDN w:val="0"/>
        <w:adjustRightInd w:val="0"/>
        <w:spacing w:after="0" w:line="240" w:lineRule="auto"/>
        <w:rPr>
          <w:rFonts w:ascii="Times New Roman" w:hAnsi="Times New Roman" w:cs="Times New Roman"/>
          <w:b/>
          <w:bCs/>
          <w:sz w:val="10"/>
          <w:szCs w:val="10"/>
        </w:rPr>
      </w:pPr>
    </w:p>
    <w:p w14:paraId="16407F88" w14:textId="77777777" w:rsidR="00D02D21" w:rsidRPr="000709B9" w:rsidRDefault="00D02D21" w:rsidP="002B5CD3">
      <w:pPr>
        <w:autoSpaceDE w:val="0"/>
        <w:autoSpaceDN w:val="0"/>
        <w:adjustRightInd w:val="0"/>
        <w:spacing w:after="0" w:line="240" w:lineRule="auto"/>
        <w:rPr>
          <w:rFonts w:ascii="Times New Roman" w:hAnsi="Times New Roman" w:cs="Times New Roman"/>
        </w:rPr>
      </w:pPr>
      <w:r w:rsidRPr="000709B9">
        <w:rPr>
          <w:rFonts w:ascii="Times New Roman" w:hAnsi="Times New Roman" w:cs="Times New Roman"/>
          <w:b/>
          <w:bCs/>
        </w:rPr>
        <w:t>Cell Lines.</w:t>
      </w:r>
      <w:r w:rsidRPr="000709B9">
        <w:rPr>
          <w:rFonts w:ascii="Times New Roman" w:hAnsi="Times New Roman" w:cs="Times New Roman"/>
        </w:rPr>
        <w:t xml:space="preserve"> MCF7-EGFR cells were derived by stably transducing MCF7 cells with a lentivirus expressing wildtype human EGFR </w:t>
      </w:r>
      <w:r w:rsidRPr="00931262">
        <w:rPr>
          <w:rFonts w:ascii="Times New Roman" w:hAnsi="Times New Roman" w:cs="Times New Roman"/>
          <w:noProof/>
          <w:vertAlign w:val="superscript"/>
        </w:rPr>
        <w:t>12</w:t>
      </w:r>
      <w:r w:rsidRPr="000709B9">
        <w:rPr>
          <w:rFonts w:ascii="Times New Roman" w:hAnsi="Times New Roman" w:cs="Times New Roman"/>
        </w:rPr>
        <w:t>. MCF7 cells were also stably transduced with lentiviruses expressing wildtype human NUTF2 with a C-terminal DYKDDDDK (FLAG) or hemagglutinin (HA) epitope tag, or the empty lentiviral vector as a control. The HA epitope-tagged NUTF2-K4M, -K4Q, and -K55R lentiviral vectors were generated from the wildtype NUTF2 vector using the Q5</w:t>
      </w:r>
      <w:r w:rsidRPr="00B12875">
        <w:rPr>
          <w:rFonts w:ascii="Times New Roman" w:hAnsi="Times New Roman" w:cs="Times New Roman"/>
          <w:vertAlign w:val="superscript"/>
        </w:rPr>
        <w:t>®</w:t>
      </w:r>
      <w:r w:rsidRPr="000709B9">
        <w:rPr>
          <w:rFonts w:ascii="Times New Roman" w:hAnsi="Times New Roman" w:cs="Times New Roman"/>
        </w:rPr>
        <w:t xml:space="preserve"> Site-Directed Mutagenesis Kit (New England BioLabs, E0554S). All cells were cultured in Dulbecco’s modified Eagle medium (DMEM) (Thermo Fisher Scientific, 11995073) supplemented with 10% fetal bovine serum (Sigma-Aldrich, F0926), GlutaMAX (Thermo Fisher Scientific, 35050061), non-essential amino acids (Thermo Fisher Scientific; 11140050), penicillin, streptomycin, and neomycin (Thermo Fisher Scientific, 15640055), and maintained at 37°C in a 5% CO</w:t>
      </w:r>
      <w:r w:rsidRPr="000709B9">
        <w:rPr>
          <w:rFonts w:ascii="Times New Roman" w:hAnsi="Times New Roman" w:cs="Times New Roman"/>
          <w:vertAlign w:val="subscript"/>
        </w:rPr>
        <w:t>2</w:t>
      </w:r>
      <w:r w:rsidRPr="000709B9">
        <w:rPr>
          <w:rFonts w:ascii="Times New Roman" w:hAnsi="Times New Roman" w:cs="Times New Roman"/>
        </w:rPr>
        <w:t xml:space="preserve"> incubator.  </w:t>
      </w:r>
    </w:p>
    <w:p w14:paraId="43694465" w14:textId="77777777" w:rsidR="00D02D21" w:rsidRPr="000709B9" w:rsidRDefault="00D02D21" w:rsidP="002B5CD3">
      <w:pPr>
        <w:autoSpaceDE w:val="0"/>
        <w:autoSpaceDN w:val="0"/>
        <w:adjustRightInd w:val="0"/>
        <w:spacing w:after="0" w:line="240" w:lineRule="auto"/>
        <w:rPr>
          <w:rFonts w:ascii="Times New Roman" w:hAnsi="Times New Roman" w:cs="Times New Roman"/>
          <w:b/>
          <w:bCs/>
          <w:sz w:val="10"/>
          <w:szCs w:val="10"/>
        </w:rPr>
      </w:pPr>
    </w:p>
    <w:p w14:paraId="3871B52D" w14:textId="77777777" w:rsidR="00D02D21" w:rsidRPr="000709B9" w:rsidRDefault="00D02D21" w:rsidP="002B5CD3">
      <w:pPr>
        <w:autoSpaceDE w:val="0"/>
        <w:autoSpaceDN w:val="0"/>
        <w:adjustRightInd w:val="0"/>
        <w:spacing w:after="0" w:line="240" w:lineRule="auto"/>
        <w:rPr>
          <w:rFonts w:ascii="Times New Roman" w:hAnsi="Times New Roman" w:cs="Times New Roman"/>
          <w:b/>
          <w:bCs/>
        </w:rPr>
      </w:pPr>
      <w:r w:rsidRPr="000709B9">
        <w:rPr>
          <w:rFonts w:ascii="Times New Roman" w:hAnsi="Times New Roman" w:cs="Times New Roman"/>
          <w:b/>
          <w:bCs/>
        </w:rPr>
        <w:t xml:space="preserve">Protein Extraction. </w:t>
      </w:r>
      <w:r w:rsidRPr="000709B9">
        <w:rPr>
          <w:rFonts w:ascii="Times New Roman" w:hAnsi="Times New Roman" w:cs="Times New Roman"/>
        </w:rPr>
        <w:t>Cells were cultured in 15 cm dishes for 3 days, placed on ice for 5 min, aspirated and rinsed with chilled 1X phosphate-buffered saline (PBS), lifted into 2 ml per dish of PBS, collected in 15 mL conical tubes, and then centrifuged (1,200 rpm for 3 min). The supernatant was carefully removed, and the pellet was stored at -80°C.The cell</w:t>
      </w:r>
      <w:r w:rsidRPr="000709B9">
        <w:rPr>
          <w:rFonts w:ascii="Times New Roman" w:hAnsi="Times New Roman" w:cs="Times New Roman"/>
          <w:b/>
          <w:bCs/>
        </w:rPr>
        <w:t xml:space="preserve"> </w:t>
      </w:r>
      <w:r w:rsidRPr="000709B9">
        <w:rPr>
          <w:rFonts w:ascii="Times New Roman" w:hAnsi="Times New Roman" w:cs="Times New Roman"/>
        </w:rPr>
        <w:t xml:space="preserve">pellet (equivalent to ~100µL) was resuspended in 500µL of ice-cold </w:t>
      </w:r>
      <w:r w:rsidRPr="000709B9">
        <w:rPr>
          <w:rFonts w:ascii="Times New Roman" w:hAnsi="Times New Roman" w:cs="Times New Roman"/>
          <w:bCs/>
        </w:rPr>
        <w:t>200 mM ammonium acetate pH 6.9</w:t>
      </w:r>
      <w:r w:rsidRPr="000709B9">
        <w:rPr>
          <w:rFonts w:ascii="Times New Roman" w:hAnsi="Times New Roman" w:cs="Times New Roman"/>
        </w:rPr>
        <w:t xml:space="preserve"> with protease and phosphatase inhibitors (Thermo Fisher Scientific). Proteins were mechanically extracted from MCF-7 cell lines using a Dounce homogenizer (20 strokes). Cellular debris and intact organelles were pelleted by centrifugation (17,000 × g for 15 min at 4 °C) and the supernatant, which contained proteins, was filtered with a 0.45 µm syringe filter, transferred to a clean microcentrifuge tube, and quantified using a BCA assay kit (Thermo Fisher Scientific). The lysate was immediately fractionated.</w:t>
      </w:r>
    </w:p>
    <w:p w14:paraId="7D405B0E" w14:textId="77777777" w:rsidR="00D02D21" w:rsidRPr="000709B9" w:rsidRDefault="00D02D21" w:rsidP="002B5CD3">
      <w:pPr>
        <w:autoSpaceDE w:val="0"/>
        <w:autoSpaceDN w:val="0"/>
        <w:adjustRightInd w:val="0"/>
        <w:spacing w:after="0" w:line="240" w:lineRule="auto"/>
        <w:rPr>
          <w:rFonts w:ascii="Times New Roman" w:hAnsi="Times New Roman" w:cs="Times New Roman"/>
          <w:b/>
          <w:bCs/>
          <w:sz w:val="10"/>
          <w:szCs w:val="10"/>
        </w:rPr>
      </w:pPr>
    </w:p>
    <w:p w14:paraId="28F234E1" w14:textId="77777777" w:rsidR="00D02D21" w:rsidRPr="000709B9" w:rsidRDefault="00D02D21" w:rsidP="002B5CD3">
      <w:pPr>
        <w:autoSpaceDE w:val="0"/>
        <w:autoSpaceDN w:val="0"/>
        <w:adjustRightInd w:val="0"/>
        <w:spacing w:after="0" w:line="240" w:lineRule="auto"/>
        <w:rPr>
          <w:rFonts w:ascii="Times New Roman" w:hAnsi="Times New Roman" w:cs="Times New Roman"/>
        </w:rPr>
      </w:pPr>
      <w:r w:rsidRPr="000709B9">
        <w:rPr>
          <w:rFonts w:ascii="Times New Roman" w:hAnsi="Times New Roman" w:cs="Times New Roman"/>
          <w:b/>
        </w:rPr>
        <w:t xml:space="preserve">nSEC Conditions. </w:t>
      </w:r>
      <w:r w:rsidRPr="000709B9">
        <w:rPr>
          <w:rFonts w:ascii="Times New Roman" w:hAnsi="Times New Roman" w:cs="Times New Roman"/>
          <w:bCs/>
        </w:rPr>
        <w:t xml:space="preserve">A </w:t>
      </w:r>
      <w:r w:rsidRPr="000709B9">
        <w:rPr>
          <w:rFonts w:ascii="Times New Roman" w:hAnsi="Times New Roman" w:cs="Times New Roman"/>
        </w:rPr>
        <w:t xml:space="preserve">standard protein mixture was used to develop the nSEC strategy and to monitor the performance of the method. This mixture was composed of 3 proteins (bovine serum albumin (BSA), Sigma-Aldrich, A3059), ovalbumin (OV), Sigma-Aldrich, A2512), and myoglobin (M), Sigma-Aldrich, M1882). Five milligrams of each standard protein was placed in a single vial and dissolved in 500uL of ultrapure water. The protein mixture was then filtered using a 0.45 µm syringe filter and </w:t>
      </w:r>
      <w:r w:rsidRPr="000709B9">
        <w:rPr>
          <w:rFonts w:ascii="Times New Roman" w:hAnsi="Times New Roman" w:cs="Times New Roman"/>
          <w:bCs/>
        </w:rPr>
        <w:t>20µL (~600 µg of total protein) was injected (triplicate measurements) into an Agilent 1200 HPLC system</w:t>
      </w:r>
      <w:r w:rsidRPr="000709B9">
        <w:rPr>
          <w:rFonts w:ascii="Times New Roman" w:hAnsi="Times New Roman" w:cs="Times New Roman"/>
        </w:rPr>
        <w:t xml:space="preserve">. Approximately 200µg of total protein (cell lysate) was injected (16 replicates) </w:t>
      </w:r>
      <w:r w:rsidRPr="000709B9">
        <w:rPr>
          <w:rFonts w:ascii="Times New Roman" w:hAnsi="Times New Roman" w:cs="Times New Roman"/>
          <w:bCs/>
        </w:rPr>
        <w:t>using the HPLC system. The mobile phase was 200 mM ammonium acetate pH 6.9. Samples were fractionated in the cold room (~7°C) on a Poly</w:t>
      </w:r>
      <w:r w:rsidRPr="000709B9">
        <w:rPr>
          <w:rStyle w:val="style12"/>
          <w:rFonts w:ascii="Times New Roman" w:hAnsi="Times New Roman" w:cs="Times New Roman"/>
        </w:rPr>
        <w:t>HYDROXYETHYL A</w:t>
      </w:r>
      <w:r w:rsidRPr="000709B9">
        <w:rPr>
          <w:rFonts w:ascii="Times New Roman" w:hAnsi="Times New Roman" w:cs="Times New Roman"/>
          <w:bCs/>
        </w:rPr>
        <w:t xml:space="preserve"> column (200 x 9.4 mm; 3 µm; 300 Å) </w:t>
      </w:r>
      <w:r w:rsidRPr="000709B9">
        <w:rPr>
          <w:rFonts w:ascii="Times New Roman" w:hAnsi="Times New Roman" w:cs="Times New Roman"/>
        </w:rPr>
        <w:t>using isocratic elution at a flow rate of 0.5 mL/min</w:t>
      </w:r>
      <w:r w:rsidRPr="000709B9">
        <w:rPr>
          <w:rFonts w:ascii="Times New Roman" w:hAnsi="Times New Roman" w:cs="Times New Roman"/>
          <w:bCs/>
        </w:rPr>
        <w:t xml:space="preserve">. Fractions were collected from ~9-30 min at 1 min intervals. A 20uL </w:t>
      </w:r>
      <w:r w:rsidRPr="000709B9">
        <w:rPr>
          <w:rFonts w:ascii="Times New Roman" w:hAnsi="Times New Roman" w:cs="Times New Roman"/>
        </w:rPr>
        <w:t xml:space="preserve">injection loop was used for the protein standard mixture and a 200μL injection loop was used for the cell lysates. The elution profile was monitored by UV absorbance at 280 nm using the </w:t>
      </w:r>
      <w:r w:rsidRPr="000709B9">
        <w:rPr>
          <w:rFonts w:ascii="Times New Roman" w:hAnsi="Times New Roman" w:cs="Times New Roman"/>
          <w:bCs/>
        </w:rPr>
        <w:t>Agilent ChemStation Software. Each nSEC f</w:t>
      </w:r>
      <w:r w:rsidRPr="000709B9">
        <w:rPr>
          <w:rFonts w:ascii="Times New Roman" w:hAnsi="Times New Roman" w:cs="Times New Roman"/>
        </w:rPr>
        <w:t>raction was then concentrated/desalted using a 10kDa molecular weight cutoff filter, quantified using a BCA assay kit, and diluted with 100 mM ammonium acetate to approximately ~1µg (total protein) in 18uL for subsequent FAIMS-MS</w:t>
      </w:r>
      <w:r w:rsidRPr="000709B9">
        <w:rPr>
          <w:rFonts w:ascii="Times New Roman" w:hAnsi="Times New Roman" w:cs="Times New Roman"/>
          <w:vertAlign w:val="superscript"/>
        </w:rPr>
        <w:t>n</w:t>
      </w:r>
      <w:r w:rsidRPr="000709B9">
        <w:rPr>
          <w:rFonts w:ascii="Times New Roman" w:hAnsi="Times New Roman" w:cs="Times New Roman"/>
        </w:rPr>
        <w:t xml:space="preserve"> analysis. </w:t>
      </w:r>
      <w:bookmarkStart w:id="1" w:name="_Hlk75107375"/>
    </w:p>
    <w:p w14:paraId="6EE35AE6" w14:textId="77777777" w:rsidR="00D02D21" w:rsidRPr="000709B9" w:rsidRDefault="00D02D21" w:rsidP="002B5CD3">
      <w:pPr>
        <w:autoSpaceDE w:val="0"/>
        <w:autoSpaceDN w:val="0"/>
        <w:adjustRightInd w:val="0"/>
        <w:spacing w:after="0" w:line="240" w:lineRule="auto"/>
        <w:rPr>
          <w:rFonts w:ascii="Times New Roman" w:hAnsi="Times New Roman" w:cs="Times New Roman"/>
          <w:sz w:val="10"/>
          <w:szCs w:val="10"/>
        </w:rPr>
      </w:pPr>
    </w:p>
    <w:p w14:paraId="23232E7B" w14:textId="3FD733AC" w:rsidR="00D02D21" w:rsidRPr="000709B9" w:rsidRDefault="00D02D21" w:rsidP="002B5CD3">
      <w:pPr>
        <w:autoSpaceDE w:val="0"/>
        <w:autoSpaceDN w:val="0"/>
        <w:adjustRightInd w:val="0"/>
        <w:spacing w:after="0" w:line="240" w:lineRule="auto"/>
        <w:rPr>
          <w:rFonts w:ascii="Times New Roman" w:hAnsi="Times New Roman" w:cs="Times New Roman"/>
          <w:bCs/>
        </w:rPr>
      </w:pPr>
      <w:r w:rsidRPr="000709B9">
        <w:rPr>
          <w:rFonts w:ascii="Times New Roman" w:hAnsi="Times New Roman" w:cs="Times New Roman"/>
          <w:b/>
        </w:rPr>
        <w:t xml:space="preserve">One-Dimensional Native Polyacrylamide Gel Electrophoresis </w:t>
      </w:r>
      <w:bookmarkEnd w:id="1"/>
      <w:r w:rsidRPr="000709B9">
        <w:rPr>
          <w:rFonts w:ascii="Times New Roman" w:hAnsi="Times New Roman" w:cs="Times New Roman"/>
          <w:b/>
        </w:rPr>
        <w:t>(Native-PAGE)</w:t>
      </w:r>
      <w:r w:rsidRPr="000709B9">
        <w:rPr>
          <w:rFonts w:ascii="Times New Roman" w:hAnsi="Times New Roman" w:cs="Times New Roman"/>
          <w:bCs/>
        </w:rPr>
        <w:t xml:space="preserve">. Ten microliter aliquots from each </w:t>
      </w:r>
      <w:r>
        <w:rPr>
          <w:rFonts w:ascii="Times New Roman" w:hAnsi="Times New Roman" w:cs="Times New Roman"/>
          <w:bCs/>
        </w:rPr>
        <w:t>n</w:t>
      </w:r>
      <w:r w:rsidRPr="000709B9">
        <w:rPr>
          <w:rFonts w:ascii="Times New Roman" w:hAnsi="Times New Roman" w:cs="Times New Roman"/>
          <w:bCs/>
        </w:rPr>
        <w:t>SEC fraction were added to each lane of a 10-20%</w:t>
      </w:r>
      <w:r w:rsidRPr="000709B9">
        <w:rPr>
          <w:rFonts w:ascii="Times New Roman" w:hAnsi="Times New Roman" w:cs="Times New Roman"/>
          <w:bCs/>
          <w:shd w:val="clear" w:color="auto" w:fill="FFFFFF"/>
        </w:rPr>
        <w:t xml:space="preserve"> tris-glycine</w:t>
      </w:r>
      <w:r w:rsidRPr="000709B9">
        <w:rPr>
          <w:rFonts w:ascii="Times New Roman" w:hAnsi="Times New Roman" w:cs="Times New Roman"/>
          <w:bCs/>
          <w:spacing w:val="8"/>
        </w:rPr>
        <w:t xml:space="preserve"> </w:t>
      </w:r>
      <w:r w:rsidRPr="000709B9">
        <w:rPr>
          <w:rFonts w:ascii="Times New Roman" w:hAnsi="Times New Roman" w:cs="Times New Roman"/>
          <w:bCs/>
        </w:rPr>
        <w:t>polyacrylamide gel (Thermo Fisher Scientific). Five microliters of NativeMark</w:t>
      </w:r>
      <w:r w:rsidRPr="000709B9">
        <w:rPr>
          <w:rFonts w:ascii="Times New Roman" w:hAnsi="Times New Roman" w:cs="Times New Roman"/>
          <w:bCs/>
          <w:vertAlign w:val="superscript"/>
        </w:rPr>
        <w:t xml:space="preserve">™ </w:t>
      </w:r>
      <w:r w:rsidRPr="000709B9">
        <w:rPr>
          <w:rFonts w:ascii="Times New Roman" w:hAnsi="Times New Roman" w:cs="Times New Roman"/>
          <w:bCs/>
        </w:rPr>
        <w:t>Unstained Protein Standard (Thermo Fisher Scientific) was used for molecular weight estimation and the gel was electrophoresed at 225 V for ~37 min. Commassie blue (Invitrogen) was used for visualization.</w:t>
      </w:r>
    </w:p>
    <w:p w14:paraId="17BAE127" w14:textId="77777777" w:rsidR="00D02D21" w:rsidRPr="000709B9" w:rsidRDefault="00D02D21" w:rsidP="002B5CD3">
      <w:pPr>
        <w:spacing w:after="0" w:line="240" w:lineRule="auto"/>
        <w:rPr>
          <w:rFonts w:ascii="Times New Roman" w:hAnsi="Times New Roman" w:cs="Times New Roman"/>
          <w:b/>
          <w:bCs/>
          <w:sz w:val="10"/>
          <w:szCs w:val="10"/>
        </w:rPr>
      </w:pPr>
    </w:p>
    <w:p w14:paraId="775C5F0B" w14:textId="02E5AAD4" w:rsidR="00D02D21" w:rsidRPr="000709B9" w:rsidRDefault="00D02D21" w:rsidP="002B5CD3">
      <w:pPr>
        <w:spacing w:after="0" w:line="240" w:lineRule="auto"/>
        <w:rPr>
          <w:rFonts w:ascii="Times New Roman" w:hAnsi="Times New Roman" w:cs="Times New Roman"/>
          <w:color w:val="000000"/>
        </w:rPr>
      </w:pPr>
      <w:r w:rsidRPr="000709B9">
        <w:rPr>
          <w:rFonts w:ascii="Times New Roman" w:hAnsi="Times New Roman" w:cs="Times New Roman"/>
          <w:b/>
          <w:bCs/>
        </w:rPr>
        <w:t>Nano LC Conditions</w:t>
      </w:r>
      <w:r w:rsidRPr="00EF74B8">
        <w:rPr>
          <w:rFonts w:ascii="Times New Roman" w:hAnsi="Times New Roman" w:cs="Times New Roman"/>
        </w:rPr>
        <w:t xml:space="preserve">. </w:t>
      </w:r>
      <w:r w:rsidRPr="000709B9">
        <w:rPr>
          <w:rFonts w:ascii="Times New Roman" w:hAnsi="Times New Roman" w:cs="Times New Roman"/>
        </w:rPr>
        <w:t xml:space="preserve">The FAIMS Pro device was placed between </w:t>
      </w:r>
      <w:r w:rsidRPr="000709B9">
        <w:rPr>
          <w:rFonts w:ascii="Times New Roman" w:hAnsi="Times New Roman" w:cs="Times New Roman"/>
          <w:bCs/>
        </w:rPr>
        <w:t>an Easy-nLC 1200</w:t>
      </w:r>
      <w:r w:rsidRPr="000709B9">
        <w:rPr>
          <w:rFonts w:ascii="Times New Roman" w:hAnsi="Times New Roman" w:cs="Times New Roman"/>
        </w:rPr>
        <w:t xml:space="preserve"> system and Orbitrap Fusion Lumos mass spectrometer (Thermo Fisher Scientific). Standard protein complexes and nSEC fractions were infused into the mass spectrometer </w:t>
      </w:r>
      <w:r w:rsidRPr="000709B9">
        <w:rPr>
          <w:rFonts w:ascii="Times New Roman" w:hAnsi="Times New Roman" w:cs="Times New Roman"/>
          <w:color w:val="000000"/>
        </w:rPr>
        <w:t>on a fused silica capillary (</w:t>
      </w:r>
      <w:r w:rsidRPr="000709B9">
        <w:rPr>
          <w:rFonts w:ascii="Cambria Math" w:hAnsi="Cambria Math" w:cs="Cambria Math"/>
          <w:color w:val="000000"/>
        </w:rPr>
        <w:t>∼</w:t>
      </w:r>
      <w:r w:rsidRPr="000709B9">
        <w:rPr>
          <w:rFonts w:ascii="Times New Roman" w:hAnsi="Times New Roman" w:cs="Times New Roman"/>
          <w:color w:val="000000"/>
        </w:rPr>
        <w:t xml:space="preserve">5 cm × 75 μm i.d., with a 2 μm pulled tip), </w:t>
      </w:r>
      <w:r w:rsidRPr="000709B9">
        <w:rPr>
          <w:rFonts w:ascii="Times New Roman" w:hAnsi="Times New Roman" w:cs="Times New Roman"/>
        </w:rPr>
        <w:t>using the Easy-</w:t>
      </w:r>
      <w:r w:rsidRPr="000709B9">
        <w:rPr>
          <w:rFonts w:ascii="Times New Roman" w:hAnsi="Times New Roman" w:cs="Times New Roman"/>
          <w:color w:val="000000"/>
        </w:rPr>
        <w:t>nLC platform in direct infusion mode at a constant flow rate of 150nL/min. Ultrapure water was used as a carrier fluid. The auto sampler temperature was set to 4°C. The “i</w:t>
      </w:r>
      <w:r w:rsidRPr="000709B9">
        <w:rPr>
          <w:rFonts w:ascii="Times New Roman" w:hAnsi="Times New Roman" w:cs="Times New Roman"/>
        </w:rPr>
        <w:t xml:space="preserve">njection-infusion” volume was 18µL (~1µg of total protein) for each </w:t>
      </w:r>
      <w:r>
        <w:rPr>
          <w:rFonts w:ascii="Times New Roman" w:hAnsi="Times New Roman" w:cs="Times New Roman"/>
        </w:rPr>
        <w:t>n</w:t>
      </w:r>
      <w:r w:rsidRPr="000709B9">
        <w:rPr>
          <w:rFonts w:ascii="Times New Roman" w:hAnsi="Times New Roman" w:cs="Times New Roman"/>
        </w:rPr>
        <w:t xml:space="preserve">SEC fraction, which was sufficient to acquire data for 90 min for each fraction. All fractions were “injected-infused” in triplicate. </w:t>
      </w:r>
    </w:p>
    <w:p w14:paraId="2DB72CF2" w14:textId="77777777" w:rsidR="00D02D21" w:rsidRPr="000709B9" w:rsidRDefault="00D02D21" w:rsidP="002B5CD3">
      <w:pPr>
        <w:spacing w:after="0" w:line="240" w:lineRule="auto"/>
        <w:rPr>
          <w:rFonts w:ascii="Times New Roman" w:hAnsi="Times New Roman" w:cs="Times New Roman"/>
          <w:b/>
          <w:sz w:val="10"/>
          <w:szCs w:val="10"/>
        </w:rPr>
      </w:pPr>
    </w:p>
    <w:p w14:paraId="674414CE" w14:textId="77777777" w:rsidR="00D02D21" w:rsidRPr="000709B9" w:rsidRDefault="00D02D21" w:rsidP="002B5CD3">
      <w:pPr>
        <w:spacing w:after="0" w:line="240" w:lineRule="auto"/>
        <w:rPr>
          <w:rFonts w:ascii="Times New Roman" w:hAnsi="Times New Roman" w:cs="Times New Roman"/>
        </w:rPr>
      </w:pPr>
      <w:r w:rsidRPr="000709B9">
        <w:rPr>
          <w:rFonts w:ascii="Times New Roman" w:hAnsi="Times New Roman" w:cs="Times New Roman"/>
          <w:b/>
        </w:rPr>
        <w:t>FAIMS Conditions</w:t>
      </w:r>
      <w:r w:rsidRPr="000709B9">
        <w:rPr>
          <w:rFonts w:ascii="Times New Roman" w:hAnsi="Times New Roman" w:cs="Times New Roman"/>
          <w:bCs/>
        </w:rPr>
        <w:t>.</w:t>
      </w:r>
      <w:r w:rsidRPr="000709B9">
        <w:rPr>
          <w:rFonts w:ascii="Times New Roman" w:hAnsi="Times New Roman" w:cs="Times New Roman"/>
          <w:b/>
        </w:rPr>
        <w:t xml:space="preserve"> </w:t>
      </w:r>
      <w:bookmarkStart w:id="2" w:name="_Hlk27350115"/>
      <w:r w:rsidRPr="000709B9">
        <w:rPr>
          <w:rFonts w:ascii="Times New Roman" w:hAnsi="Times New Roman" w:cs="Times New Roman"/>
        </w:rPr>
        <w:t xml:space="preserve">The FAIMS Pro device was connected to an Orbitrap Fusion Lumos mass spectrometer. FAIMS was set to the standard resolution mode (inner and outer electrodes at 100 ºC), with supplementary FAIMS gas flow (nitrogen) of 5L/min. The FAIMS Pro front plate was set to 250 V and the dispersion voltage was -5 kV. FAIMS was operated in static mode. Compensation voltage (CV) scans for the optimization of the transmission of each standard protein complex were individually performed using a scan range of -60 V to -10 V at a rate of -10 V per scan (0.2 seconds each CV transmission). Subsequent FAIMS analyses were performed according to the optimal CV transmissions for the protein complex mixture (-45 V to -30 V at a rate of -5 V per scan (4 minutes for each CV transmission) and fractions (-40 V to -30 V at a rate of -5 V per scan (30 minutes for each CV transmission)).  </w:t>
      </w:r>
    </w:p>
    <w:bookmarkEnd w:id="2"/>
    <w:p w14:paraId="39DF1B52" w14:textId="77777777" w:rsidR="00D02D21" w:rsidRPr="000709B9" w:rsidRDefault="00D02D21" w:rsidP="002B5CD3">
      <w:pPr>
        <w:spacing w:after="0" w:line="240" w:lineRule="auto"/>
        <w:rPr>
          <w:rFonts w:ascii="Times New Roman" w:hAnsi="Times New Roman" w:cs="Times New Roman"/>
          <w:b/>
          <w:sz w:val="10"/>
          <w:szCs w:val="10"/>
        </w:rPr>
      </w:pPr>
    </w:p>
    <w:p w14:paraId="3F27F5A0" w14:textId="77777777" w:rsidR="00D02D21" w:rsidRPr="000709B9" w:rsidRDefault="00D02D21" w:rsidP="002B5CD3">
      <w:pPr>
        <w:spacing w:after="0" w:line="240" w:lineRule="auto"/>
        <w:rPr>
          <w:rFonts w:ascii="Times New Roman" w:hAnsi="Times New Roman" w:cs="Times New Roman"/>
          <w:color w:val="000000"/>
        </w:rPr>
      </w:pPr>
      <w:r w:rsidRPr="000709B9">
        <w:rPr>
          <w:rFonts w:ascii="Times New Roman" w:hAnsi="Times New Roman" w:cs="Times New Roman"/>
          <w:b/>
        </w:rPr>
        <w:t xml:space="preserve">MS Conditions. </w:t>
      </w:r>
      <w:r w:rsidRPr="000709B9">
        <w:rPr>
          <w:rFonts w:ascii="Times New Roman" w:hAnsi="Times New Roman" w:cs="Times New Roman"/>
        </w:rPr>
        <w:t xml:space="preserve">MS measurements were performed on an Orbitrap Fusion Lumos mass spectrometer. Before native top-down experiments were run, a full set of MS calibrations was performed in positive mode in “standard pressure” with the ion-route multipole (IRM) pressure at 8mTorr. The mass spectrometer was then changed to “intact protein mode” and the pressure in the IRM was set to 14mTorr for calibration of the optics in high mass range. The instrument was operated in “intact protein mode”, </w:t>
      </w:r>
      <w:r w:rsidRPr="000709B9">
        <w:rPr>
          <w:rFonts w:ascii="Times New Roman" w:hAnsi="Times New Roman" w:cs="Times New Roman"/>
          <w:color w:val="000000"/>
        </w:rPr>
        <w:t>with a pressure of 14mTorr in the IRM.</w:t>
      </w:r>
      <w:r w:rsidRPr="000709B9">
        <w:rPr>
          <w:rFonts w:ascii="Times New Roman" w:hAnsi="Times New Roman" w:cs="Times New Roman"/>
        </w:rPr>
        <w:t xml:space="preserve"> All calibrations were performed using the Pierce FlexMix Calibration Solution (Pierce). The mass spectrometer was operated in positive mode and spray voltages ranged from 1300 and 2500 V. The mass range was set to “high m/z”. The inlet capillary temperature was 200</w:t>
      </w:r>
      <w:r w:rsidRPr="000709B9">
        <w:rPr>
          <w:rFonts w:ascii="Times New Roman" w:hAnsi="Times New Roman" w:cs="Times New Roman"/>
          <w:vertAlign w:val="superscript"/>
        </w:rPr>
        <w:t>o</w:t>
      </w:r>
      <w:r w:rsidRPr="000709B9">
        <w:rPr>
          <w:rFonts w:ascii="Times New Roman" w:hAnsi="Times New Roman" w:cs="Times New Roman"/>
        </w:rPr>
        <w:t>C and in-source fragmentation voltage was set to 25-50 V. The automatic gain control (AGC) was set to accumulate 4E5-1E6 ions (full MS) and 4.5E5-1E6 ions (MS</w:t>
      </w:r>
      <w:r w:rsidRPr="000709B9">
        <w:rPr>
          <w:rFonts w:ascii="Times New Roman" w:hAnsi="Times New Roman" w:cs="Times New Roman"/>
          <w:vertAlign w:val="superscript"/>
        </w:rPr>
        <w:t>2</w:t>
      </w:r>
      <w:r w:rsidRPr="000709B9">
        <w:rPr>
          <w:rFonts w:ascii="Times New Roman" w:hAnsi="Times New Roman" w:cs="Times New Roman"/>
        </w:rPr>
        <w:t>) in a maximum injection time of 25-200 milliseconds (full MS) and 50-1000 milliseconds (MS</w:t>
      </w:r>
      <w:r w:rsidRPr="000709B9">
        <w:rPr>
          <w:rFonts w:ascii="Times New Roman" w:hAnsi="Times New Roman" w:cs="Times New Roman"/>
          <w:vertAlign w:val="superscript"/>
        </w:rPr>
        <w:t>2</w:t>
      </w:r>
      <w:r w:rsidRPr="000709B9">
        <w:rPr>
          <w:rFonts w:ascii="Times New Roman" w:hAnsi="Times New Roman" w:cs="Times New Roman"/>
        </w:rPr>
        <w:t>). An AGC value of 1E6 ions in 2500-3000 milliseconds was set for the MS</w:t>
      </w:r>
      <w:r w:rsidRPr="000709B9">
        <w:rPr>
          <w:rFonts w:ascii="Times New Roman" w:hAnsi="Times New Roman" w:cs="Times New Roman"/>
          <w:vertAlign w:val="superscript"/>
        </w:rPr>
        <w:t>3</w:t>
      </w:r>
      <w:r w:rsidRPr="000709B9">
        <w:rPr>
          <w:rFonts w:ascii="Times New Roman" w:hAnsi="Times New Roman" w:cs="Times New Roman"/>
        </w:rPr>
        <w:t xml:space="preserve"> stage. </w:t>
      </w:r>
      <w:r w:rsidRPr="000709B9">
        <w:rPr>
          <w:rFonts w:ascii="Times New Roman" w:hAnsi="Times New Roman" w:cs="Times New Roman"/>
          <w:color w:val="000000"/>
        </w:rPr>
        <w:t>Full MS scan and MS</w:t>
      </w:r>
      <w:r w:rsidRPr="000709B9">
        <w:rPr>
          <w:rFonts w:ascii="Times New Roman" w:hAnsi="Times New Roman" w:cs="Times New Roman"/>
          <w:color w:val="000000"/>
          <w:vertAlign w:val="superscript"/>
        </w:rPr>
        <w:t>2</w:t>
      </w:r>
      <w:r w:rsidRPr="000709B9">
        <w:rPr>
          <w:rFonts w:ascii="Times New Roman" w:hAnsi="Times New Roman" w:cs="Times New Roman"/>
          <w:color w:val="000000"/>
        </w:rPr>
        <w:t xml:space="preserve"> spectra were acquired with a resolving power of 7.5-60k and MS</w:t>
      </w:r>
      <w:r w:rsidRPr="000709B9">
        <w:rPr>
          <w:rFonts w:ascii="Times New Roman" w:hAnsi="Times New Roman" w:cs="Times New Roman"/>
          <w:color w:val="000000"/>
          <w:vertAlign w:val="superscript"/>
        </w:rPr>
        <w:t>3</w:t>
      </w:r>
      <w:r w:rsidRPr="000709B9">
        <w:rPr>
          <w:rFonts w:ascii="Times New Roman" w:hAnsi="Times New Roman" w:cs="Times New Roman"/>
          <w:i/>
          <w:iCs/>
          <w:color w:val="000000"/>
          <w:vertAlign w:val="superscript"/>
        </w:rPr>
        <w:t xml:space="preserve"> </w:t>
      </w:r>
      <w:r w:rsidRPr="000709B9">
        <w:rPr>
          <w:rFonts w:ascii="Times New Roman" w:hAnsi="Times New Roman" w:cs="Times New Roman"/>
          <w:color w:val="000000"/>
        </w:rPr>
        <w:t>spectra were acquired using a resolving power of 240k. The full MS and MS</w:t>
      </w:r>
      <w:r w:rsidRPr="000709B9">
        <w:rPr>
          <w:rFonts w:ascii="Times New Roman" w:hAnsi="Times New Roman" w:cs="Times New Roman"/>
          <w:color w:val="000000"/>
          <w:vertAlign w:val="superscript"/>
        </w:rPr>
        <w:t>2</w:t>
      </w:r>
      <w:r w:rsidRPr="000709B9">
        <w:rPr>
          <w:rFonts w:ascii="Times New Roman" w:hAnsi="Times New Roman" w:cs="Times New Roman"/>
          <w:color w:val="000000"/>
        </w:rPr>
        <w:t xml:space="preserve"> spectra were acquired by averaging 3-5 µscans, while the MS</w:t>
      </w:r>
      <w:r w:rsidRPr="000709B9">
        <w:rPr>
          <w:rFonts w:ascii="Times New Roman" w:hAnsi="Times New Roman" w:cs="Times New Roman"/>
          <w:color w:val="000000"/>
          <w:vertAlign w:val="superscript"/>
        </w:rPr>
        <w:t>3</w:t>
      </w:r>
      <w:r w:rsidRPr="000709B9">
        <w:rPr>
          <w:rFonts w:ascii="Times New Roman" w:hAnsi="Times New Roman" w:cs="Times New Roman"/>
          <w:color w:val="000000"/>
        </w:rPr>
        <w:t xml:space="preserve"> spectra were acquired by averaging 7-10 µscans. </w:t>
      </w:r>
      <w:r w:rsidRPr="000709B9">
        <w:rPr>
          <w:rFonts w:ascii="Times New Roman" w:hAnsi="Times New Roman" w:cs="Times New Roman"/>
        </w:rPr>
        <w:t>MS</w:t>
      </w:r>
      <w:r w:rsidRPr="000709B9">
        <w:rPr>
          <w:rFonts w:ascii="Times New Roman" w:hAnsi="Times New Roman" w:cs="Times New Roman"/>
          <w:vertAlign w:val="superscript"/>
        </w:rPr>
        <w:t>2</w:t>
      </w:r>
      <w:r w:rsidRPr="000709B9">
        <w:rPr>
          <w:rFonts w:ascii="Times New Roman" w:hAnsi="Times New Roman" w:cs="Times New Roman"/>
        </w:rPr>
        <w:t xml:space="preserve"> was set to 20 m/z isolation in the quadrupole, and monomeric subunits were ejected from the protein assemblies using normalized higher-energy collisional dissociation (HCD) with a collision energy of 15-20%. In the MS</w:t>
      </w:r>
      <w:r w:rsidRPr="000709B9">
        <w:rPr>
          <w:rFonts w:ascii="Times New Roman" w:hAnsi="Times New Roman" w:cs="Times New Roman"/>
          <w:vertAlign w:val="superscript"/>
        </w:rPr>
        <w:t>3</w:t>
      </w:r>
      <w:r w:rsidRPr="000709B9">
        <w:rPr>
          <w:rFonts w:ascii="Times New Roman" w:hAnsi="Times New Roman" w:cs="Times New Roman"/>
        </w:rPr>
        <w:t xml:space="preserve"> stage, monomeric proteoforms were isolated by the quadrupole (isolation width of 50 m/z) and fragmented using 35% HCD. Precursor ions were dynamically excluded for 6000 seconds after being selected (10-20 m/z) and “exclude isotopes” was enabled. The MS</w:t>
      </w:r>
      <w:r w:rsidRPr="000709B9">
        <w:rPr>
          <w:rFonts w:ascii="Times New Roman" w:hAnsi="Times New Roman" w:cs="Times New Roman"/>
          <w:vertAlign w:val="superscript"/>
        </w:rPr>
        <w:t>3</w:t>
      </w:r>
      <w:r w:rsidRPr="000709B9">
        <w:rPr>
          <w:rFonts w:ascii="Times New Roman" w:hAnsi="Times New Roman" w:cs="Times New Roman"/>
          <w:i/>
          <w:iCs/>
          <w:vertAlign w:val="superscript"/>
        </w:rPr>
        <w:t xml:space="preserve"> </w:t>
      </w:r>
      <w:r w:rsidRPr="000709B9">
        <w:rPr>
          <w:rFonts w:ascii="Times New Roman" w:hAnsi="Times New Roman" w:cs="Times New Roman"/>
          <w:color w:val="000000"/>
        </w:rPr>
        <w:t>spectra were acquired in data-dependent mode (top 3-5).</w:t>
      </w:r>
    </w:p>
    <w:p w14:paraId="7B06D6FC" w14:textId="77777777" w:rsidR="00D02D21" w:rsidRPr="000709B9" w:rsidRDefault="00D02D21" w:rsidP="002B5CD3">
      <w:pPr>
        <w:spacing w:after="0" w:line="240" w:lineRule="auto"/>
        <w:rPr>
          <w:rFonts w:ascii="Times New Roman" w:hAnsi="Times New Roman" w:cs="Times New Roman"/>
          <w:b/>
          <w:sz w:val="10"/>
          <w:szCs w:val="10"/>
        </w:rPr>
      </w:pPr>
    </w:p>
    <w:p w14:paraId="507275E9" w14:textId="77777777" w:rsidR="00D02D21" w:rsidRPr="000709B9" w:rsidRDefault="00D02D21" w:rsidP="002B5CD3">
      <w:pPr>
        <w:spacing w:after="0" w:line="240" w:lineRule="auto"/>
        <w:rPr>
          <w:rFonts w:ascii="Times New Roman" w:hAnsi="Times New Roman" w:cs="Times New Roman"/>
        </w:rPr>
      </w:pPr>
      <w:r w:rsidRPr="000709B9">
        <w:rPr>
          <w:rFonts w:ascii="Times New Roman" w:hAnsi="Times New Roman" w:cs="Times New Roman"/>
          <w:b/>
        </w:rPr>
        <w:t>Data Analysis</w:t>
      </w:r>
      <w:r w:rsidRPr="000709B9">
        <w:rPr>
          <w:rFonts w:ascii="Times New Roman" w:hAnsi="Times New Roman" w:cs="Times New Roman"/>
          <w:bCs/>
        </w:rPr>
        <w:t>.</w:t>
      </w:r>
      <w:r w:rsidRPr="000709B9">
        <w:rPr>
          <w:rFonts w:ascii="Times New Roman" w:hAnsi="Times New Roman" w:cs="Times New Roman"/>
          <w:b/>
        </w:rPr>
        <w:t xml:space="preserve"> </w:t>
      </w:r>
      <w:r w:rsidRPr="000709B9">
        <w:rPr>
          <w:rFonts w:ascii="Times New Roman" w:hAnsi="Times New Roman" w:cs="Times New Roman"/>
          <w:bCs/>
        </w:rPr>
        <w:t>Raw</w:t>
      </w:r>
      <w:r w:rsidRPr="000709B9">
        <w:rPr>
          <w:rFonts w:ascii="Times New Roman" w:hAnsi="Times New Roman" w:cs="Times New Roman"/>
          <w:b/>
        </w:rPr>
        <w:t xml:space="preserve"> </w:t>
      </w:r>
      <w:r w:rsidRPr="000709B9">
        <w:rPr>
          <w:rFonts w:ascii="Times New Roman" w:hAnsi="Times New Roman" w:cs="Times New Roman"/>
          <w:bCs/>
        </w:rPr>
        <w:t>files were processed using ProSight Native (Proteinaceous, Inc.</w:t>
      </w:r>
      <w:r>
        <w:rPr>
          <w:rFonts w:ascii="Times New Roman" w:hAnsi="Times New Roman" w:cs="Times New Roman"/>
          <w:bCs/>
        </w:rPr>
        <w:t>, Evanston, IL</w:t>
      </w:r>
      <w:r w:rsidRPr="000709B9">
        <w:rPr>
          <w:rFonts w:ascii="Times New Roman" w:hAnsi="Times New Roman" w:cs="Times New Roman"/>
          <w:bCs/>
        </w:rPr>
        <w:t xml:space="preserve">). </w:t>
      </w:r>
      <w:r>
        <w:rPr>
          <w:rFonts w:ascii="Times New Roman" w:hAnsi="Times New Roman" w:cs="Times New Roman"/>
          <w:bCs/>
        </w:rPr>
        <w:t>Protein c</w:t>
      </w:r>
      <w:r w:rsidRPr="000709B9">
        <w:rPr>
          <w:rFonts w:ascii="Times New Roman" w:hAnsi="Times New Roman" w:cs="Times New Roman"/>
        </w:rPr>
        <w:t>omplex masses were determined from MS</w:t>
      </w:r>
      <w:r w:rsidRPr="000709B9">
        <w:rPr>
          <w:rFonts w:ascii="Times New Roman" w:hAnsi="Times New Roman" w:cs="Times New Roman"/>
          <w:vertAlign w:val="superscript"/>
        </w:rPr>
        <w:t>1</w:t>
      </w:r>
      <w:r w:rsidRPr="000709B9">
        <w:rPr>
          <w:rFonts w:ascii="Times New Roman" w:hAnsi="Times New Roman" w:cs="Times New Roman"/>
        </w:rPr>
        <w:t xml:space="preserve"> spectra by charge state deconvolution using the kDecon algorithm in ProSight Native. Subunit masses from MS</w:t>
      </w:r>
      <w:r w:rsidRPr="000709B9">
        <w:rPr>
          <w:rFonts w:ascii="Times New Roman" w:hAnsi="Times New Roman" w:cs="Times New Roman"/>
          <w:vertAlign w:val="superscript"/>
        </w:rPr>
        <w:t>2</w:t>
      </w:r>
      <w:r w:rsidRPr="000709B9">
        <w:rPr>
          <w:rFonts w:ascii="Times New Roman" w:hAnsi="Times New Roman" w:cs="Times New Roman"/>
        </w:rPr>
        <w:t xml:space="preserve"> spectra and fragment ions from MS</w:t>
      </w:r>
      <w:r w:rsidRPr="000709B9">
        <w:rPr>
          <w:rFonts w:ascii="Times New Roman" w:hAnsi="Times New Roman" w:cs="Times New Roman"/>
          <w:vertAlign w:val="superscript"/>
        </w:rPr>
        <w:t>3</w:t>
      </w:r>
      <w:r w:rsidRPr="000709B9">
        <w:rPr>
          <w:rFonts w:ascii="Times New Roman" w:hAnsi="Times New Roman" w:cs="Times New Roman"/>
        </w:rPr>
        <w:t xml:space="preserve"> spectra were determined using a modified THRASH algorithm in ProSight Native. Subunit identifications were made via ProSight Annotated Proteoform searches against the full human SwissProt UniProt database containing annotated modifications. Searches were performed using precursor mass tolerance</w:t>
      </w:r>
      <w:r>
        <w:rPr>
          <w:rFonts w:ascii="Times New Roman" w:hAnsi="Times New Roman" w:cs="Times New Roman"/>
        </w:rPr>
        <w:t xml:space="preserve"> windows of </w:t>
      </w:r>
      <w:r w:rsidRPr="000709B9">
        <w:rPr>
          <w:rFonts w:ascii="Times New Roman" w:hAnsi="Times New Roman" w:cs="Times New Roman"/>
        </w:rPr>
        <w:t>100</w:t>
      </w:r>
      <w:r>
        <w:rPr>
          <w:rFonts w:ascii="Times New Roman" w:hAnsi="Times New Roman" w:cs="Times New Roman"/>
        </w:rPr>
        <w:t>-1</w:t>
      </w:r>
      <w:r w:rsidRPr="000709B9">
        <w:rPr>
          <w:rFonts w:ascii="Times New Roman" w:hAnsi="Times New Roman" w:cs="Times New Roman"/>
        </w:rPr>
        <w:t>0 Da and a fragment ion mass tolerance of 10 ppm. Additional complex and subunit analyses were performed by manual analysis in QualBrowser</w:t>
      </w:r>
      <w:r>
        <w:rPr>
          <w:rFonts w:ascii="Times New Roman" w:hAnsi="Times New Roman" w:cs="Times New Roman"/>
        </w:rPr>
        <w:t xml:space="preserve">, </w:t>
      </w:r>
      <w:r w:rsidRPr="000709B9">
        <w:rPr>
          <w:rFonts w:ascii="Times New Roman" w:hAnsi="Times New Roman" w:cs="Times New Roman"/>
        </w:rPr>
        <w:t>Freestyle software (Thermo Fisher Scientific)</w:t>
      </w:r>
      <w:r>
        <w:rPr>
          <w:rFonts w:ascii="Times New Roman" w:hAnsi="Times New Roman" w:cs="Times New Roman"/>
        </w:rPr>
        <w:t xml:space="preserve">, </w:t>
      </w:r>
      <w:r w:rsidRPr="000709B9">
        <w:rPr>
          <w:rFonts w:ascii="Times New Roman" w:hAnsi="Times New Roman" w:cs="Times New Roman"/>
        </w:rPr>
        <w:t>ProSight Lite</w:t>
      </w:r>
      <w:r>
        <w:rPr>
          <w:rFonts w:ascii="Times New Roman" w:hAnsi="Times New Roman" w:cs="Times New Roman"/>
        </w:rPr>
        <w:t xml:space="preserve"> </w:t>
      </w:r>
      <w:r w:rsidRPr="00931262">
        <w:rPr>
          <w:rFonts w:ascii="Times New Roman" w:hAnsi="Times New Roman" w:cs="Times New Roman"/>
          <w:noProof/>
          <w:vertAlign w:val="superscript"/>
        </w:rPr>
        <w:t>13</w:t>
      </w:r>
      <w:r>
        <w:rPr>
          <w:rFonts w:ascii="Times New Roman" w:hAnsi="Times New Roman" w:cs="Times New Roman"/>
        </w:rPr>
        <w:t xml:space="preserve">, and TDValidator </w:t>
      </w:r>
      <w:r w:rsidRPr="000709B9">
        <w:rPr>
          <w:rFonts w:ascii="Times New Roman" w:hAnsi="Times New Roman" w:cs="Times New Roman"/>
          <w:bCs/>
        </w:rPr>
        <w:t>(Proteinaceous, Inc.</w:t>
      </w:r>
      <w:r>
        <w:rPr>
          <w:rFonts w:ascii="Times New Roman" w:hAnsi="Times New Roman" w:cs="Times New Roman"/>
          <w:bCs/>
        </w:rPr>
        <w:t>, Evanston, IL</w:t>
      </w:r>
      <w:r w:rsidRPr="000709B9">
        <w:rPr>
          <w:rFonts w:ascii="Times New Roman" w:hAnsi="Times New Roman" w:cs="Times New Roman"/>
          <w:bCs/>
        </w:rPr>
        <w:t>)</w:t>
      </w:r>
      <w:r>
        <w:rPr>
          <w:rFonts w:ascii="Times New Roman" w:hAnsi="Times New Roman" w:cs="Times New Roman"/>
          <w:bCs/>
        </w:rPr>
        <w:t xml:space="preserve"> </w:t>
      </w:r>
      <w:r w:rsidRPr="00931262">
        <w:rPr>
          <w:rFonts w:ascii="Times New Roman" w:hAnsi="Times New Roman" w:cs="Times New Roman"/>
          <w:bCs/>
          <w:noProof/>
          <w:vertAlign w:val="superscript"/>
        </w:rPr>
        <w:t>14</w:t>
      </w:r>
      <w:r w:rsidRPr="000709B9">
        <w:rPr>
          <w:rFonts w:ascii="Times New Roman" w:hAnsi="Times New Roman" w:cs="Times New Roman"/>
        </w:rPr>
        <w:t>. To obtain fragment ions for ProSight Lite analysis, the MS</w:t>
      </w:r>
      <w:r w:rsidRPr="000709B9">
        <w:rPr>
          <w:rFonts w:ascii="Times New Roman" w:hAnsi="Times New Roman" w:cs="Times New Roman"/>
          <w:vertAlign w:val="superscript"/>
        </w:rPr>
        <w:t>3</w:t>
      </w:r>
      <w:r w:rsidRPr="000709B9">
        <w:rPr>
          <w:rFonts w:ascii="Times New Roman" w:hAnsi="Times New Roman" w:cs="Times New Roman"/>
        </w:rPr>
        <w:t xml:space="preserve"> spectral data were deconvoluted using the QualBrowser. ProSight Lite, with mass tolerance of either 20 or 10 ppm, was utilized to support the assignment of product ions from deconvoluted MS</w:t>
      </w:r>
      <w:r w:rsidRPr="000709B9">
        <w:rPr>
          <w:rFonts w:ascii="Times New Roman" w:hAnsi="Times New Roman" w:cs="Times New Roman"/>
          <w:vertAlign w:val="superscript"/>
        </w:rPr>
        <w:t>3</w:t>
      </w:r>
      <w:r w:rsidRPr="000709B9">
        <w:rPr>
          <w:rFonts w:ascii="Times New Roman" w:hAnsi="Times New Roman" w:cs="Times New Roman"/>
        </w:rPr>
        <w:t xml:space="preserve"> spectra and to produce graphic interpretation of the MS</w:t>
      </w:r>
      <w:r w:rsidRPr="000709B9">
        <w:rPr>
          <w:rFonts w:ascii="Times New Roman" w:hAnsi="Times New Roman" w:cs="Times New Roman"/>
          <w:vertAlign w:val="superscript"/>
        </w:rPr>
        <w:t>3</w:t>
      </w:r>
      <w:r w:rsidRPr="000709B9">
        <w:rPr>
          <w:rFonts w:ascii="Times New Roman" w:hAnsi="Times New Roman" w:cs="Times New Roman"/>
        </w:rPr>
        <w:t xml:space="preserve"> spectra, w</w:t>
      </w:r>
      <w:r>
        <w:rPr>
          <w:rFonts w:ascii="Times New Roman" w:hAnsi="Times New Roman" w:cs="Times New Roman"/>
        </w:rPr>
        <w:t>ith</w:t>
      </w:r>
      <w:r w:rsidRPr="000709B9">
        <w:rPr>
          <w:rFonts w:ascii="Times New Roman" w:hAnsi="Times New Roman" w:cs="Times New Roman"/>
        </w:rPr>
        <w:t xml:space="preserve"> </w:t>
      </w:r>
      <w:r w:rsidRPr="00BE5517">
        <w:rPr>
          <w:rFonts w:ascii="Times New Roman" w:hAnsi="Times New Roman" w:cs="Times New Roman"/>
          <w:i/>
          <w:iCs/>
        </w:rPr>
        <w:t>b/y</w:t>
      </w:r>
      <w:r w:rsidRPr="000709B9">
        <w:rPr>
          <w:rFonts w:ascii="Times New Roman" w:hAnsi="Times New Roman" w:cs="Times New Roman"/>
        </w:rPr>
        <w:t xml:space="preserve"> ion bond cleavages indicated in blue. TDValidator </w:t>
      </w:r>
      <w:r w:rsidRPr="000709B9">
        <w:rPr>
          <w:rFonts w:ascii="Times New Roman" w:hAnsi="Times New Roman" w:cs="Times New Roman"/>
          <w:bCs/>
        </w:rPr>
        <w:t xml:space="preserve">(Proteinaceous, Inc) </w:t>
      </w:r>
      <w:r w:rsidRPr="000709B9">
        <w:rPr>
          <w:rFonts w:ascii="Times New Roman" w:hAnsi="Times New Roman" w:cs="Times New Roman"/>
        </w:rPr>
        <w:t>was used to confirm the location of cofactor ligands and PTMs. Theoretical fragment ion isotopic distributions containing metal cofactors and PTMs were produced using the BRAIN algorithm in TDValidator. The intensity of the protein assemblies was determined by averaging the spectra of the target species for 90 minutes in each of the three replicates. The averaged intensity of each species among the three replicates was calculated. For the monomeric proteoforms, the intensity of each species was obtained by deconvoluting the spectrum of the target species to zero-charge mass spectrum and averaging them in each of the three replicates using the TDValidator software. M</w:t>
      </w:r>
      <w:r w:rsidRPr="000709B9">
        <w:rPr>
          <w:rFonts w:ascii="Times New Roman" w:hAnsi="Times New Roman" w:cs="Times New Roman"/>
          <w:bCs/>
          <w:color w:val="000000" w:themeColor="text1"/>
        </w:rPr>
        <w:t xml:space="preserve">onomeric subunits </w:t>
      </w:r>
      <w:r w:rsidRPr="000709B9">
        <w:rPr>
          <w:rFonts w:ascii="Times New Roman" w:hAnsi="Times New Roman" w:cs="Times New Roman"/>
        </w:rPr>
        <w:t>of the protein assemblies were considered identified when the P-Score was ≤1 × 10</w:t>
      </w:r>
      <w:r w:rsidRPr="000709B9">
        <w:rPr>
          <w:rFonts w:ascii="Times New Roman" w:hAnsi="Times New Roman" w:cs="Times New Roman"/>
          <w:vertAlign w:val="superscript"/>
        </w:rPr>
        <w:t>−0</w:t>
      </w:r>
      <w:r>
        <w:rPr>
          <w:rFonts w:ascii="Times New Roman" w:hAnsi="Times New Roman" w:cs="Times New Roman"/>
          <w:vertAlign w:val="superscript"/>
        </w:rPr>
        <w:t>5</w:t>
      </w:r>
      <w:r w:rsidRPr="000709B9">
        <w:rPr>
          <w:rFonts w:ascii="Times New Roman" w:hAnsi="Times New Roman" w:cs="Times New Roman"/>
          <w:vertAlign w:val="superscript"/>
        </w:rPr>
        <w:t xml:space="preserve"> </w:t>
      </w:r>
      <w:r w:rsidRPr="000709B9">
        <w:rPr>
          <w:rFonts w:ascii="Times New Roman" w:hAnsi="Times New Roman" w:cs="Times New Roman"/>
        </w:rPr>
        <w:t xml:space="preserve">with a minimum of 4 matching fragment ions </w:t>
      </w:r>
      <w:r w:rsidRPr="000709B9">
        <w:rPr>
          <w:rFonts w:ascii="Times New Roman" w:hAnsi="Times New Roman" w:cs="Times New Roman"/>
          <w:b/>
          <w:bCs/>
        </w:rPr>
        <w:t>(Table S1)</w:t>
      </w:r>
      <w:r w:rsidRPr="000709B9">
        <w:rPr>
          <w:rFonts w:ascii="Times New Roman" w:hAnsi="Times New Roman" w:cs="Times New Roman"/>
        </w:rPr>
        <w:t xml:space="preserve">. Protein-metal assemblies were </w:t>
      </w:r>
      <w:r>
        <w:rPr>
          <w:rFonts w:ascii="Times New Roman" w:hAnsi="Times New Roman" w:cs="Times New Roman"/>
        </w:rPr>
        <w:t xml:space="preserve">putatively </w:t>
      </w:r>
      <w:r w:rsidRPr="000709B9">
        <w:rPr>
          <w:rFonts w:ascii="Times New Roman" w:hAnsi="Times New Roman" w:cs="Times New Roman"/>
        </w:rPr>
        <w:t>considered identified when the difference between observed and theoretical masses was ≤ 2 Da and the number of non-covalent ligands bound to the complex was ≤ 4. To expand the list of identifications, the mass shifts from observed masses of the protein assemblies were matched with the mass shifts of metal cofactors and/or PTMs. Protein assemblies were considered identified when they were observed in at least two of the three replicates with a minimum of 2 charge</w:t>
      </w:r>
      <w:r>
        <w:rPr>
          <w:rFonts w:ascii="Times New Roman" w:hAnsi="Times New Roman" w:cs="Times New Roman"/>
        </w:rPr>
        <w:t xml:space="preserve"> state</w:t>
      </w:r>
      <w:r w:rsidRPr="000709B9">
        <w:rPr>
          <w:rFonts w:ascii="Times New Roman" w:hAnsi="Times New Roman" w:cs="Times New Roman"/>
        </w:rPr>
        <w:t xml:space="preserve">s. </w:t>
      </w:r>
    </w:p>
    <w:p w14:paraId="522248EE" w14:textId="77777777" w:rsidR="00D02D21" w:rsidRPr="000709B9" w:rsidRDefault="00D02D21" w:rsidP="002B5CD3">
      <w:pPr>
        <w:spacing w:after="0" w:line="240" w:lineRule="auto"/>
        <w:rPr>
          <w:b/>
          <w:bCs/>
          <w:sz w:val="10"/>
          <w:szCs w:val="10"/>
        </w:rPr>
      </w:pPr>
    </w:p>
    <w:p w14:paraId="0854B1C6" w14:textId="77777777" w:rsidR="00D02D21" w:rsidRPr="000709B9" w:rsidRDefault="00D02D21" w:rsidP="002B5CD3">
      <w:pPr>
        <w:spacing w:after="0" w:line="240" w:lineRule="auto"/>
        <w:rPr>
          <w:rFonts w:ascii="Times New Roman" w:hAnsi="Times New Roman" w:cs="Times New Roman"/>
        </w:rPr>
      </w:pPr>
      <w:r w:rsidRPr="000709B9">
        <w:rPr>
          <w:rFonts w:ascii="Times New Roman" w:hAnsi="Times New Roman" w:cs="Times New Roman"/>
          <w:b/>
          <w:bCs/>
        </w:rPr>
        <w:t xml:space="preserve">Transactivation Assays. </w:t>
      </w:r>
      <w:r w:rsidRPr="000709B9">
        <w:rPr>
          <w:rFonts w:ascii="Times New Roman" w:hAnsi="Times New Roman" w:cs="Times New Roman"/>
        </w:rPr>
        <w:t xml:space="preserve">MCF7 cells in 96-well plates containing phenol red-free DMEM plus 10% charcoal-stripped FBS, </w:t>
      </w:r>
      <w:r w:rsidRPr="000709B9">
        <w:rPr>
          <w:rFonts w:ascii="Times New Roman" w:hAnsi="Times New Roman" w:cs="Times New Roman"/>
          <w:bCs/>
        </w:rPr>
        <w:t>1X GlutaMAX, and 1X nonessential amino acids</w:t>
      </w:r>
      <w:r w:rsidRPr="000709B9">
        <w:rPr>
          <w:rFonts w:ascii="Times New Roman" w:hAnsi="Times New Roman" w:cs="Times New Roman"/>
        </w:rPr>
        <w:t>, were co-transfected with 50 ng per well of 3x estrogen-response element-driven luciferase (3xERE-Luc), mouse mammary tumor virus promoter-driven luciferase (MMTV-Luc), or 5x NF-κB response element-driven luciferase (5xκBRE-Luc) reporter plasmid</w:t>
      </w:r>
      <w:r>
        <w:rPr>
          <w:rFonts w:ascii="Times New Roman" w:hAnsi="Times New Roman" w:cs="Times New Roman"/>
        </w:rPr>
        <w:t>;</w:t>
      </w:r>
      <w:r w:rsidRPr="000709B9">
        <w:rPr>
          <w:rFonts w:ascii="Times New Roman" w:hAnsi="Times New Roman" w:cs="Times New Roman"/>
        </w:rPr>
        <w:t xml:space="preserve"> 10 ng per well of empty vector or human NUTF2 expression vectors</w:t>
      </w:r>
      <w:r>
        <w:rPr>
          <w:rFonts w:ascii="Times New Roman" w:hAnsi="Times New Roman" w:cs="Times New Roman"/>
        </w:rPr>
        <w:t>;</w:t>
      </w:r>
      <w:r w:rsidRPr="000709B9">
        <w:rPr>
          <w:rFonts w:ascii="Times New Roman" w:hAnsi="Times New Roman" w:cs="Times New Roman"/>
        </w:rPr>
        <w:t xml:space="preserve"> and 5 ng per well empty vector, wildtype human Erα (WT) or mutant Erα-Y537S expression vector, using FuGENE® HD transfection reagent (Promega, cat no. ME2311). The next day, the medium was replaced with phenol red-</w:t>
      </w:r>
      <w:r w:rsidRPr="006A6093">
        <w:rPr>
          <w:rFonts w:ascii="Times New Roman" w:hAnsi="Times New Roman" w:cs="Times New Roman"/>
        </w:rPr>
        <w:t>free DMEM plus 10% complete FBS,</w:t>
      </w:r>
      <w:r w:rsidRPr="006A6093">
        <w:rPr>
          <w:rFonts w:ascii="Times New Roman" w:hAnsi="Times New Roman" w:cs="Times New Roman"/>
          <w:bCs/>
        </w:rPr>
        <w:t xml:space="preserve"> 1X GlutaMAX, and 1X nonessential amino acids</w:t>
      </w:r>
      <w:r w:rsidRPr="006A6093">
        <w:rPr>
          <w:rFonts w:ascii="Times New Roman" w:hAnsi="Times New Roman" w:cs="Times New Roman"/>
        </w:rPr>
        <w:t xml:space="preserve"> (complete medium) and treated with vehicle, 1 µM 4-hydroxytamoxifen (4OHT), 100 nM Dexamethasone (Dex), or 20 ng/ml Tumor necrosis factor-alpha (TNFα). After 24 h, luciferase activity was measured using the Britelite™ plus reporter gene assay system (PerkinElmer, cat no. 6066761).</w:t>
      </w:r>
    </w:p>
    <w:p w14:paraId="3434AE34" w14:textId="77777777" w:rsidR="00D02D21" w:rsidRPr="000709B9" w:rsidRDefault="00D02D21" w:rsidP="002B5CD3">
      <w:pPr>
        <w:spacing w:after="0" w:line="240" w:lineRule="auto"/>
        <w:rPr>
          <w:rFonts w:ascii="Times New Roman" w:hAnsi="Times New Roman" w:cs="Times New Roman"/>
          <w:b/>
          <w:sz w:val="10"/>
          <w:szCs w:val="10"/>
        </w:rPr>
      </w:pPr>
    </w:p>
    <w:p w14:paraId="640BE059" w14:textId="77777777" w:rsidR="00D02D21" w:rsidRPr="000709B9" w:rsidRDefault="00D02D21" w:rsidP="002B5CD3">
      <w:pPr>
        <w:spacing w:after="0" w:line="240" w:lineRule="auto"/>
        <w:rPr>
          <w:rFonts w:ascii="Times New Roman" w:hAnsi="Times New Roman" w:cs="Times New Roman"/>
        </w:rPr>
      </w:pPr>
      <w:r w:rsidRPr="000709B9">
        <w:rPr>
          <w:rFonts w:ascii="Times New Roman" w:hAnsi="Times New Roman" w:cs="Times New Roman"/>
          <w:b/>
          <w:bCs/>
        </w:rPr>
        <w:t xml:space="preserve">DNA-binding Assay. </w:t>
      </w:r>
      <w:r w:rsidRPr="000709B9">
        <w:rPr>
          <w:rFonts w:ascii="Times New Roman" w:hAnsi="Times New Roman" w:cs="Times New Roman"/>
        </w:rPr>
        <w:t xml:space="preserve">HEK293T cells in 96-well plates containing phenol red-free DMEM plus 10% charcoal-stripped FBS, </w:t>
      </w:r>
      <w:r w:rsidRPr="000709B9">
        <w:rPr>
          <w:rFonts w:ascii="Times New Roman" w:hAnsi="Times New Roman" w:cs="Times New Roman"/>
          <w:bCs/>
        </w:rPr>
        <w:t>1X GlutaMAX, and 1X nonessential amino acids</w:t>
      </w:r>
      <w:r w:rsidRPr="000709B9">
        <w:rPr>
          <w:rFonts w:ascii="Times New Roman" w:hAnsi="Times New Roman" w:cs="Times New Roman"/>
        </w:rPr>
        <w:t xml:space="preserve">, </w:t>
      </w:r>
      <w:r w:rsidRPr="006A6093">
        <w:rPr>
          <w:rFonts w:ascii="Times New Roman" w:hAnsi="Times New Roman" w:cs="Times New Roman"/>
        </w:rPr>
        <w:t>were co-transfected using FuGENE® HD transfection reagent (Promega, cat no. ME2311) with 50 ng per well of 3x estrogen-response element-driven luciferase (3xERE-Luc), 10 ng per well of empty vector or human NUTF2 expression vectors and 5 ng per well of ERα-VP16 fusion protein expression vector</w:t>
      </w:r>
      <w:r>
        <w:rPr>
          <w:rFonts w:ascii="Times New Roman" w:hAnsi="Times New Roman" w:cs="Times New Roman"/>
          <w:i/>
          <w:iCs/>
        </w:rPr>
        <w:t xml:space="preserve">. </w:t>
      </w:r>
      <w:r w:rsidRPr="000709B9">
        <w:rPr>
          <w:rFonts w:ascii="Times New Roman" w:hAnsi="Times New Roman" w:cs="Times New Roman"/>
        </w:rPr>
        <w:t>The next day, the medium was replaced with complete medium and treated with vehicle or 1 µM 4-hydroxytamoxifen (4OHT). After 24 h, luciferase activity was measured using the Britelite™ plus reporter gene assay system (PerkinElmer, cat no. 6066761).</w:t>
      </w:r>
    </w:p>
    <w:p w14:paraId="36AA9FE8" w14:textId="77777777" w:rsidR="00D02D21" w:rsidRPr="000709B9" w:rsidRDefault="00D02D21" w:rsidP="002B5CD3">
      <w:pPr>
        <w:spacing w:after="0" w:line="240" w:lineRule="auto"/>
        <w:rPr>
          <w:rFonts w:ascii="Times New Roman" w:hAnsi="Times New Roman" w:cs="Times New Roman"/>
          <w:b/>
          <w:sz w:val="10"/>
          <w:szCs w:val="10"/>
        </w:rPr>
      </w:pPr>
    </w:p>
    <w:p w14:paraId="4AC55E7F" w14:textId="77777777" w:rsidR="00D02D21" w:rsidRPr="000709B9" w:rsidRDefault="00D02D21" w:rsidP="002B5CD3">
      <w:pPr>
        <w:spacing w:after="0" w:line="240" w:lineRule="auto"/>
        <w:rPr>
          <w:rFonts w:ascii="Times New Roman" w:hAnsi="Times New Roman" w:cs="Times New Roman"/>
          <w:bCs/>
        </w:rPr>
      </w:pPr>
      <w:r w:rsidRPr="000709B9">
        <w:rPr>
          <w:rFonts w:ascii="Times New Roman" w:hAnsi="Times New Roman" w:cs="Times New Roman"/>
          <w:b/>
        </w:rPr>
        <w:t xml:space="preserve">Western Blot. </w:t>
      </w:r>
      <w:r w:rsidRPr="00B12875">
        <w:rPr>
          <w:rFonts w:ascii="Times New Roman" w:hAnsi="Times New Roman" w:cs="Times New Roman"/>
          <w:bCs/>
          <w:i/>
          <w:iCs/>
        </w:rPr>
        <w:t>Whole cell lysates:</w:t>
      </w:r>
      <w:r w:rsidRPr="000709B9">
        <w:rPr>
          <w:rFonts w:ascii="Times New Roman" w:hAnsi="Times New Roman" w:cs="Times New Roman"/>
          <w:bCs/>
        </w:rPr>
        <w:t xml:space="preserve"> Cells were lysed directly in 4% SDS or 2X sample buffer (Bio-Rad, cat no. 1610737), denatured at 95°C for 10 min, analyzed by SDS-PAGE, and transferred to PVDF membranes.</w:t>
      </w:r>
      <w:r>
        <w:rPr>
          <w:rFonts w:ascii="Times New Roman" w:hAnsi="Times New Roman" w:cs="Times New Roman"/>
          <w:bCs/>
        </w:rPr>
        <w:t xml:space="preserve"> </w:t>
      </w:r>
      <w:r w:rsidRPr="00B12875">
        <w:rPr>
          <w:rFonts w:ascii="Times New Roman" w:hAnsi="Times New Roman" w:cs="Times New Roman"/>
          <w:bCs/>
          <w:i/>
          <w:iCs/>
        </w:rPr>
        <w:t>Soluble fractions:</w:t>
      </w:r>
      <w:r w:rsidRPr="000709B9">
        <w:rPr>
          <w:rFonts w:ascii="Times New Roman" w:hAnsi="Times New Roman" w:cs="Times New Roman"/>
          <w:bCs/>
        </w:rPr>
        <w:t xml:space="preserve"> Cells were place on ice for 5 min, lysed in M-PER™ (Thermo</w:t>
      </w:r>
      <w:r>
        <w:rPr>
          <w:rFonts w:ascii="Times New Roman" w:hAnsi="Times New Roman" w:cs="Times New Roman"/>
          <w:bCs/>
        </w:rPr>
        <w:t xml:space="preserve"> </w:t>
      </w:r>
      <w:r w:rsidRPr="000709B9">
        <w:rPr>
          <w:rFonts w:ascii="Times New Roman" w:hAnsi="Times New Roman" w:cs="Times New Roman"/>
          <w:bCs/>
        </w:rPr>
        <w:t>Fisher Scientific, cat no. 78501) on ice for 15 minutes, and centrifuged at 13,000 rpm for 15 min at 4°C. Supernatants were carefully transferred to fresh tubes, mixed with sample buffer (ThermoFisher Scientific, cat no. J61337-AC), denatured at 95°C for 10 min, analyzed by SDS-PAGE, and transferred to PVDF membranes.</w:t>
      </w:r>
      <w:r>
        <w:rPr>
          <w:rFonts w:ascii="Times New Roman" w:hAnsi="Times New Roman" w:cs="Times New Roman"/>
          <w:bCs/>
        </w:rPr>
        <w:t xml:space="preserve"> </w:t>
      </w:r>
      <w:r w:rsidRPr="000709B9">
        <w:rPr>
          <w:rFonts w:ascii="Times New Roman" w:hAnsi="Times New Roman" w:cs="Times New Roman"/>
          <w:bCs/>
        </w:rPr>
        <w:t>The membrane was incubated for 1 h in blocking solution i.e., 5% bovine serum albumin in 1X Tris-buffered saline plus 0.1% Tween-20 (TBS-T) and probed overnight at 4°C with anti-HA (F-7) mouse IgG</w:t>
      </w:r>
      <w:r w:rsidRPr="000709B9">
        <w:rPr>
          <w:rFonts w:ascii="Times New Roman" w:hAnsi="Times New Roman" w:cs="Times New Roman"/>
          <w:bCs/>
          <w:vertAlign w:val="subscript"/>
        </w:rPr>
        <w:t>2a</w:t>
      </w:r>
      <w:r w:rsidRPr="000709B9">
        <w:rPr>
          <w:rFonts w:ascii="Times New Roman" w:hAnsi="Times New Roman" w:cs="Times New Roman"/>
          <w:bCs/>
        </w:rPr>
        <w:t xml:space="preserve"> monoclonal antibody (mAb) (Santa Cruz Biotechnology, cat no. sc-7392X, 1:2,000), anti-FLAG (D6W5B) rabbit IgG mAb (Cell Signaling Technology, cat no. 14793, 1:1,000), anti-NUTF2 (5A3) mouse IgG</w:t>
      </w:r>
      <w:r w:rsidRPr="00B12875">
        <w:rPr>
          <w:rFonts w:ascii="Times New Roman" w:hAnsi="Times New Roman" w:cs="Times New Roman"/>
          <w:bCs/>
          <w:vertAlign w:val="subscript"/>
        </w:rPr>
        <w:t>2a</w:t>
      </w:r>
      <w:r w:rsidRPr="000709B9">
        <w:rPr>
          <w:rFonts w:ascii="Times New Roman" w:hAnsi="Times New Roman" w:cs="Times New Roman"/>
          <w:bCs/>
        </w:rPr>
        <w:t xml:space="preserve"> mAb (Cell Signaling Technology, cat no. 3053S, 1:1,000),</w:t>
      </w:r>
      <w:r w:rsidRPr="000709B9">
        <w:t xml:space="preserve"> </w:t>
      </w:r>
      <w:r w:rsidRPr="000709B9">
        <w:rPr>
          <w:rFonts w:ascii="Times New Roman" w:hAnsi="Times New Roman" w:cs="Times New Roman"/>
          <w:bCs/>
        </w:rPr>
        <w:t>anti-Ran (A-7) mouse IgG</w:t>
      </w:r>
      <w:r w:rsidRPr="00B12875">
        <w:rPr>
          <w:rFonts w:ascii="Times New Roman" w:hAnsi="Times New Roman" w:cs="Times New Roman"/>
          <w:bCs/>
          <w:vertAlign w:val="subscript"/>
        </w:rPr>
        <w:t>2b</w:t>
      </w:r>
      <w:r w:rsidRPr="000709B9">
        <w:rPr>
          <w:rFonts w:ascii="Times New Roman" w:hAnsi="Times New Roman" w:cs="Times New Roman"/>
          <w:bCs/>
        </w:rPr>
        <w:t xml:space="preserve"> mAb (Santa Cruz Biotechnology, cat no. sc-271376, 1:100), and/or anti-β-actin (C4) mouse IgG</w:t>
      </w:r>
      <w:r w:rsidRPr="000709B9">
        <w:rPr>
          <w:rFonts w:ascii="Times New Roman" w:hAnsi="Times New Roman" w:cs="Times New Roman"/>
          <w:bCs/>
          <w:vertAlign w:val="subscript"/>
        </w:rPr>
        <w:t>1</w:t>
      </w:r>
      <w:r w:rsidRPr="000709B9">
        <w:rPr>
          <w:rFonts w:ascii="Times New Roman" w:hAnsi="Times New Roman" w:cs="Times New Roman"/>
          <w:bCs/>
        </w:rPr>
        <w:t xml:space="preserve"> mAb (Santa Cruz Biotechnology, cat no. sc-47778, 1:500). The next day, the membrane was washed </w:t>
      </w:r>
      <w:r>
        <w:rPr>
          <w:rFonts w:ascii="Times New Roman" w:hAnsi="Times New Roman" w:cs="Times New Roman"/>
          <w:bCs/>
        </w:rPr>
        <w:t xml:space="preserve">4X </w:t>
      </w:r>
      <w:r w:rsidRPr="000709B9">
        <w:rPr>
          <w:rFonts w:ascii="Times New Roman" w:hAnsi="Times New Roman" w:cs="Times New Roman"/>
          <w:bCs/>
        </w:rPr>
        <w:t xml:space="preserve">with 1X TBS-T for 5 minutes per wash, and incubated in the dark for 1 hour </w:t>
      </w:r>
      <w:r>
        <w:rPr>
          <w:rFonts w:ascii="Times New Roman" w:hAnsi="Times New Roman" w:cs="Times New Roman"/>
          <w:bCs/>
        </w:rPr>
        <w:t xml:space="preserve">at room temperature </w:t>
      </w:r>
      <w:r w:rsidRPr="000709B9">
        <w:rPr>
          <w:rFonts w:ascii="Times New Roman" w:hAnsi="Times New Roman" w:cs="Times New Roman"/>
          <w:bCs/>
        </w:rPr>
        <w:t>with blocking solution containing the following fluorescent secondary antibodies: Anti-mouse IgG polyclonal antibody (pAb) DyLight 800 (Cell Signaling Technology, cat no. 5257S, 1:15,000), anti-mouse IgG pAb DyLight 680 (Thermo</w:t>
      </w:r>
      <w:r>
        <w:rPr>
          <w:rFonts w:ascii="Times New Roman" w:hAnsi="Times New Roman" w:cs="Times New Roman"/>
          <w:bCs/>
        </w:rPr>
        <w:t xml:space="preserve"> </w:t>
      </w:r>
      <w:r w:rsidRPr="000709B9">
        <w:rPr>
          <w:rFonts w:ascii="Times New Roman" w:hAnsi="Times New Roman" w:cs="Times New Roman"/>
          <w:bCs/>
        </w:rPr>
        <w:t>Fisher Scientific, cat no. 35519, 1:10,000), anti-mouse IgG</w:t>
      </w:r>
      <w:r w:rsidRPr="00B12875">
        <w:rPr>
          <w:rFonts w:ascii="Times New Roman" w:hAnsi="Times New Roman" w:cs="Times New Roman"/>
          <w:bCs/>
          <w:vertAlign w:val="subscript"/>
        </w:rPr>
        <w:t>2b</w:t>
      </w:r>
      <w:r w:rsidRPr="000709B9">
        <w:rPr>
          <w:rFonts w:ascii="Times New Roman" w:hAnsi="Times New Roman" w:cs="Times New Roman"/>
          <w:bCs/>
        </w:rPr>
        <w:t xml:space="preserve"> pAb IRDye</w:t>
      </w:r>
      <w:r w:rsidRPr="000709B9">
        <w:rPr>
          <w:rFonts w:ascii="Times New Roman" w:hAnsi="Times New Roman" w:cs="Times New Roman"/>
          <w:bCs/>
          <w:vertAlign w:val="superscript"/>
        </w:rPr>
        <w:t>®</w:t>
      </w:r>
      <w:r w:rsidRPr="000709B9">
        <w:rPr>
          <w:rFonts w:ascii="Times New Roman" w:hAnsi="Times New Roman" w:cs="Times New Roman"/>
          <w:bCs/>
        </w:rPr>
        <w:t xml:space="preserve"> 800CW (LI-COR Biosciences, cat no. 926-32352, 1:15,000), and anti-rabbit IgG pAb IRDye</w:t>
      </w:r>
      <w:r w:rsidRPr="00035B0A">
        <w:rPr>
          <w:rFonts w:ascii="Times New Roman" w:hAnsi="Times New Roman" w:cs="Times New Roman"/>
          <w:bCs/>
          <w:vertAlign w:val="superscript"/>
        </w:rPr>
        <w:t>®</w:t>
      </w:r>
      <w:r w:rsidRPr="000709B9">
        <w:rPr>
          <w:rFonts w:ascii="Times New Roman" w:hAnsi="Times New Roman" w:cs="Times New Roman"/>
          <w:bCs/>
        </w:rPr>
        <w:t xml:space="preserve"> 800CW (LI-COR biosciences, cat no. 926-32211, 1:10,000). The membranes were washed again with TBS-T and rinsed twice with 1X TBS. The membranes were then imaged using the Odyssey</w:t>
      </w:r>
      <w:r w:rsidRPr="000709B9">
        <w:rPr>
          <w:rFonts w:ascii="Times New Roman" w:hAnsi="Times New Roman" w:cs="Times New Roman"/>
          <w:bCs/>
          <w:vertAlign w:val="superscript"/>
        </w:rPr>
        <w:t>®</w:t>
      </w:r>
      <w:r w:rsidRPr="000709B9">
        <w:rPr>
          <w:rFonts w:ascii="Times New Roman" w:hAnsi="Times New Roman" w:cs="Times New Roman"/>
          <w:bCs/>
        </w:rPr>
        <w:t xml:space="preserve"> M imaging system (LI-COR Biosciences).</w:t>
      </w:r>
    </w:p>
    <w:p w14:paraId="10C71877" w14:textId="77777777" w:rsidR="00D02D21" w:rsidRPr="000709B9" w:rsidRDefault="00D02D21" w:rsidP="002B5CD3">
      <w:pPr>
        <w:spacing w:after="0" w:line="240" w:lineRule="auto"/>
        <w:rPr>
          <w:rFonts w:ascii="Times New Roman" w:hAnsi="Times New Roman" w:cs="Times New Roman"/>
          <w:bCs/>
          <w:sz w:val="10"/>
          <w:szCs w:val="10"/>
        </w:rPr>
      </w:pPr>
    </w:p>
    <w:p w14:paraId="4102370A" w14:textId="77777777" w:rsidR="00D02D21" w:rsidRPr="000709B9" w:rsidRDefault="00D02D21" w:rsidP="002B5CD3">
      <w:pPr>
        <w:spacing w:after="0" w:line="240" w:lineRule="auto"/>
        <w:rPr>
          <w:rFonts w:ascii="Times New Roman" w:hAnsi="Times New Roman" w:cs="Times New Roman"/>
          <w:b/>
        </w:rPr>
      </w:pPr>
      <w:r w:rsidRPr="000709B9">
        <w:rPr>
          <w:rFonts w:ascii="Times New Roman" w:hAnsi="Times New Roman" w:cs="Times New Roman"/>
          <w:b/>
        </w:rPr>
        <w:t xml:space="preserve">Immunofluorescence. </w:t>
      </w:r>
      <w:r w:rsidRPr="000709B9">
        <w:rPr>
          <w:rFonts w:ascii="Times New Roman" w:hAnsi="Times New Roman" w:cs="Times New Roman"/>
          <w:bCs/>
        </w:rPr>
        <w:t xml:space="preserve">Cells in </w:t>
      </w:r>
      <w:r w:rsidRPr="000709B9">
        <w:rPr>
          <w:rFonts w:ascii="Times New Roman" w:hAnsi="Times New Roman" w:cs="Times New Roman"/>
        </w:rPr>
        <w:t xml:space="preserve">complete medium </w:t>
      </w:r>
      <w:r w:rsidRPr="000709B9">
        <w:rPr>
          <w:rFonts w:ascii="Times New Roman" w:hAnsi="Times New Roman" w:cs="Times New Roman"/>
          <w:bCs/>
        </w:rPr>
        <w:t xml:space="preserve">were cultured </w:t>
      </w:r>
      <w:r w:rsidRPr="000709B9">
        <w:rPr>
          <w:rFonts w:ascii="Times New Roman" w:hAnsi="Times New Roman" w:cs="Times New Roman"/>
        </w:rPr>
        <w:t>on 8-well Millicell</w:t>
      </w:r>
      <w:r w:rsidRPr="000709B9">
        <w:rPr>
          <w:rFonts w:ascii="Times New Roman" w:hAnsi="Times New Roman" w:cs="Times New Roman"/>
          <w:bCs/>
          <w:vertAlign w:val="superscript"/>
        </w:rPr>
        <w:t>®</w:t>
      </w:r>
      <w:r w:rsidRPr="000709B9">
        <w:rPr>
          <w:rFonts w:ascii="Times New Roman" w:hAnsi="Times New Roman" w:cs="Times New Roman"/>
        </w:rPr>
        <w:t xml:space="preserve"> EZ slides (Millipore Sigma, cat no. PEZGS0816). After 3 days, the cells were placed on ice for 5 minutes and fixed in 4% formaldehyde for 15–20 minutes. After a 15-minute permeabilization with 1X PBS plus 0.1% Triton-X100, the cells were rinsed with cold PBS, and incubated in blocking buffer (Rockland Immunochemicals, cat no. MB-070) for 1 hour at room temperature. The cells were then probed with Erα (H222) rat IgG mAb (Santa Cruz </w:t>
      </w:r>
      <w:r w:rsidRPr="000709B9">
        <w:rPr>
          <w:rFonts w:ascii="Times New Roman" w:hAnsi="Times New Roman" w:cs="Times New Roman"/>
          <w:bCs/>
        </w:rPr>
        <w:t>Biotechnology</w:t>
      </w:r>
      <w:r w:rsidRPr="000709B9">
        <w:rPr>
          <w:rFonts w:ascii="Times New Roman" w:hAnsi="Times New Roman" w:cs="Times New Roman"/>
        </w:rPr>
        <w:t xml:space="preserve">. </w:t>
      </w:r>
      <w:r>
        <w:rPr>
          <w:rFonts w:ascii="Times New Roman" w:hAnsi="Times New Roman" w:cs="Times New Roman"/>
        </w:rPr>
        <w:t>c</w:t>
      </w:r>
      <w:r w:rsidRPr="000709B9">
        <w:rPr>
          <w:rFonts w:ascii="Times New Roman" w:hAnsi="Times New Roman" w:cs="Times New Roman"/>
        </w:rPr>
        <w:t xml:space="preserve">at no. sc-53492; 1:50) and </w:t>
      </w:r>
      <w:r w:rsidRPr="000709B9">
        <w:rPr>
          <w:rFonts w:ascii="Times New Roman" w:hAnsi="Times New Roman" w:cs="Times New Roman"/>
          <w:bCs/>
        </w:rPr>
        <w:t>HA (F-7) mouse IgG</w:t>
      </w:r>
      <w:r w:rsidRPr="000709B9">
        <w:rPr>
          <w:rFonts w:ascii="Times New Roman" w:hAnsi="Times New Roman" w:cs="Times New Roman"/>
          <w:bCs/>
          <w:vertAlign w:val="subscript"/>
        </w:rPr>
        <w:t>2a</w:t>
      </w:r>
      <w:r w:rsidRPr="000709B9">
        <w:rPr>
          <w:rFonts w:ascii="Times New Roman" w:hAnsi="Times New Roman" w:cs="Times New Roman"/>
          <w:bCs/>
        </w:rPr>
        <w:t xml:space="preserve"> mAb (Santa Cruz Biotechnology. </w:t>
      </w:r>
      <w:r>
        <w:rPr>
          <w:rFonts w:ascii="Times New Roman" w:hAnsi="Times New Roman" w:cs="Times New Roman"/>
          <w:bCs/>
        </w:rPr>
        <w:t>c</w:t>
      </w:r>
      <w:r w:rsidRPr="000709B9">
        <w:rPr>
          <w:rFonts w:ascii="Times New Roman" w:hAnsi="Times New Roman" w:cs="Times New Roman"/>
          <w:bCs/>
        </w:rPr>
        <w:t>at no. sc-7392X, 1:1,000)</w:t>
      </w:r>
      <w:r w:rsidRPr="000709B9">
        <w:rPr>
          <w:rFonts w:ascii="Times New Roman" w:hAnsi="Times New Roman" w:cs="Times New Roman"/>
        </w:rPr>
        <w:t xml:space="preserve"> overnight at 4°C. The next day, the cells were </w:t>
      </w:r>
      <w:r w:rsidRPr="000709B9">
        <w:rPr>
          <w:rFonts w:ascii="Times New Roman" w:hAnsi="Times New Roman" w:cs="Times New Roman"/>
          <w:bCs/>
        </w:rPr>
        <w:t>washed with 1X TBS-T, 4 times for 5 minutes per wash, and probed for 1 hour in the dark at room temperature, with the following fluorescent secondary antibodies: Anti-rat IgG pAb Alexa Fluor 488 (Thermo</w:t>
      </w:r>
      <w:r>
        <w:rPr>
          <w:rFonts w:ascii="Times New Roman" w:hAnsi="Times New Roman" w:cs="Times New Roman"/>
          <w:bCs/>
        </w:rPr>
        <w:t xml:space="preserve"> </w:t>
      </w:r>
      <w:r w:rsidRPr="000709B9">
        <w:rPr>
          <w:rFonts w:ascii="Times New Roman" w:hAnsi="Times New Roman" w:cs="Times New Roman"/>
          <w:bCs/>
        </w:rPr>
        <w:t xml:space="preserve">Fisher Scientific, cat no. A-11006;1:100) and mouse IgGκ binding protein CruzFluor 594 (Santa Cruz Biotechnology. </w:t>
      </w:r>
      <w:r>
        <w:rPr>
          <w:rFonts w:ascii="Times New Roman" w:hAnsi="Times New Roman" w:cs="Times New Roman"/>
          <w:bCs/>
        </w:rPr>
        <w:t>c</w:t>
      </w:r>
      <w:r w:rsidRPr="000709B9">
        <w:rPr>
          <w:rFonts w:ascii="Times New Roman" w:hAnsi="Times New Roman" w:cs="Times New Roman"/>
          <w:bCs/>
        </w:rPr>
        <w:t>at no. sc-516178, 1:100). The cells were washed again with TBS-T and rinsed twice with 1X TBS. Coverslips were carefully mounted on the slides using EverBrite Hardset Mounting Medium with DAPI (Biotium, cat no. 23004), and cured for 24 hours at room temperature. The slides were imaged on a Zeiss LSM 880 confocal microscope and adjusted for presentation using ImageJ/Fiji software version 1.53t.</w:t>
      </w:r>
    </w:p>
    <w:p w14:paraId="0D06621D" w14:textId="77777777" w:rsidR="00D02D21" w:rsidRPr="000709B9" w:rsidRDefault="00D02D21" w:rsidP="002B5CD3">
      <w:pPr>
        <w:spacing w:after="0" w:line="240" w:lineRule="auto"/>
        <w:rPr>
          <w:rFonts w:ascii="Times New Roman" w:hAnsi="Times New Roman" w:cs="Times New Roman"/>
          <w:b/>
          <w:sz w:val="10"/>
          <w:szCs w:val="10"/>
        </w:rPr>
      </w:pPr>
    </w:p>
    <w:p w14:paraId="48EEA017" w14:textId="77777777" w:rsidR="00D02D21" w:rsidRPr="000709B9" w:rsidRDefault="00D02D21" w:rsidP="002B5CD3">
      <w:pPr>
        <w:spacing w:after="0" w:line="240" w:lineRule="auto"/>
        <w:rPr>
          <w:rFonts w:ascii="Times New Roman" w:hAnsi="Times New Roman" w:cs="Times New Roman"/>
          <w:b/>
        </w:rPr>
      </w:pPr>
      <w:r w:rsidRPr="000709B9">
        <w:rPr>
          <w:rFonts w:ascii="Times New Roman" w:hAnsi="Times New Roman" w:cs="Times New Roman"/>
          <w:b/>
        </w:rPr>
        <w:t xml:space="preserve">Proliferation Assay. </w:t>
      </w:r>
      <w:r w:rsidRPr="000709B9">
        <w:rPr>
          <w:rFonts w:ascii="Times New Roman" w:hAnsi="Times New Roman" w:cs="Times New Roman"/>
          <w:bCs/>
        </w:rPr>
        <w:t>Cell proliferation assays were performed</w:t>
      </w:r>
      <w:r w:rsidRPr="000709B9">
        <w:rPr>
          <w:rFonts w:ascii="Times New Roman" w:hAnsi="Times New Roman" w:cs="Times New Roman"/>
          <w:b/>
        </w:rPr>
        <w:t xml:space="preserve"> </w:t>
      </w:r>
      <w:r w:rsidRPr="000709B9">
        <w:rPr>
          <w:rFonts w:ascii="Times New Roman" w:hAnsi="Times New Roman" w:cs="Times New Roman"/>
        </w:rPr>
        <w:t xml:space="preserve">in 384-well format as previously described </w:t>
      </w:r>
      <w:r w:rsidRPr="00931262">
        <w:rPr>
          <w:rFonts w:ascii="Times New Roman" w:hAnsi="Times New Roman" w:cs="Times New Roman"/>
          <w:noProof/>
          <w:vertAlign w:val="superscript"/>
        </w:rPr>
        <w:t>12</w:t>
      </w:r>
      <w:r w:rsidRPr="000709B9">
        <w:rPr>
          <w:rFonts w:ascii="Times New Roman" w:hAnsi="Times New Roman" w:cs="Times New Roman"/>
        </w:rPr>
        <w:t>. Briefly, cells were cultured for 5 days in complete medium</w:t>
      </w:r>
      <w:r w:rsidRPr="000709B9">
        <w:rPr>
          <w:rFonts w:ascii="Times New Roman" w:hAnsi="Times New Roman" w:cs="Times New Roman"/>
          <w:bCs/>
        </w:rPr>
        <w:t xml:space="preserve"> plus test compounds. Afterwards,</w:t>
      </w:r>
      <w:r w:rsidRPr="000709B9">
        <w:rPr>
          <w:rFonts w:ascii="Times New Roman" w:hAnsi="Times New Roman" w:cs="Times New Roman"/>
        </w:rPr>
        <w:t xml:space="preserve"> the cells were compared using the CellTiter-Glo</w:t>
      </w:r>
      <w:r w:rsidRPr="000709B9">
        <w:rPr>
          <w:rFonts w:ascii="Times New Roman" w:hAnsi="Times New Roman" w:cs="Times New Roman"/>
          <w:bCs/>
          <w:vertAlign w:val="superscript"/>
        </w:rPr>
        <w:t>®</w:t>
      </w:r>
      <w:r w:rsidRPr="000709B9">
        <w:rPr>
          <w:rFonts w:ascii="Times New Roman" w:hAnsi="Times New Roman" w:cs="Times New Roman"/>
        </w:rPr>
        <w:t xml:space="preserve"> luminescent cell viability assay (Promega, cat no. G7573).</w:t>
      </w:r>
      <w:r w:rsidRPr="000709B9">
        <w:t xml:space="preserve"> </w:t>
      </w:r>
      <w:r w:rsidRPr="000709B9">
        <w:rPr>
          <w:rFonts w:ascii="Times New Roman" w:hAnsi="Times New Roman" w:cs="Times New Roman"/>
        </w:rPr>
        <w:t>Luminescence was measured using an Envision plate reader (PerkinElmer).</w:t>
      </w:r>
    </w:p>
    <w:p w14:paraId="05807CFB" w14:textId="77777777" w:rsidR="00D02D21" w:rsidRPr="000709B9" w:rsidRDefault="00D02D21" w:rsidP="002B5CD3">
      <w:pPr>
        <w:spacing w:after="0" w:line="240" w:lineRule="auto"/>
        <w:rPr>
          <w:rFonts w:ascii="Times New Roman" w:hAnsi="Times New Roman" w:cs="Times New Roman"/>
          <w:b/>
          <w:sz w:val="10"/>
          <w:szCs w:val="10"/>
        </w:rPr>
      </w:pPr>
    </w:p>
    <w:p w14:paraId="2D476EDE" w14:textId="77777777" w:rsidR="00D02D21" w:rsidRPr="000709B9" w:rsidRDefault="00D02D21" w:rsidP="002B5CD3">
      <w:pPr>
        <w:spacing w:after="0" w:line="240" w:lineRule="auto"/>
        <w:rPr>
          <w:rFonts w:ascii="Times New Roman" w:hAnsi="Times New Roman" w:cs="Times New Roman"/>
          <w:bCs/>
        </w:rPr>
      </w:pPr>
      <w:r w:rsidRPr="000709B9">
        <w:rPr>
          <w:rFonts w:ascii="Times New Roman" w:hAnsi="Times New Roman" w:cs="Times New Roman"/>
          <w:b/>
        </w:rPr>
        <w:t xml:space="preserve">Quantitative RT-PCR (qPCR). </w:t>
      </w:r>
      <w:r w:rsidRPr="000709B9">
        <w:rPr>
          <w:rFonts w:ascii="Times New Roman" w:hAnsi="Times New Roman" w:cs="Times New Roman"/>
          <w:bCs/>
        </w:rPr>
        <w:t>Cells were cultured for 3 days in 6-well plates containing 2 ml per well of complete medium. After ligand treatment, total RNA was extracted using the Rneasy</w:t>
      </w:r>
      <w:r w:rsidRPr="000709B9">
        <w:rPr>
          <w:rFonts w:ascii="Times New Roman" w:hAnsi="Times New Roman" w:cs="Times New Roman"/>
          <w:bCs/>
          <w:vertAlign w:val="superscript"/>
        </w:rPr>
        <w:t>®</w:t>
      </w:r>
      <w:r w:rsidRPr="000709B9">
        <w:rPr>
          <w:rFonts w:ascii="Times New Roman" w:hAnsi="Times New Roman" w:cs="Times New Roman"/>
          <w:bCs/>
        </w:rPr>
        <w:t xml:space="preserve"> mini kit (QIAGEN, cat no. 74106), and reverse transcribed using the High-Capacity RNA-to-cDNA Kit (Thermo</w:t>
      </w:r>
      <w:r>
        <w:rPr>
          <w:rFonts w:ascii="Times New Roman" w:hAnsi="Times New Roman" w:cs="Times New Roman"/>
          <w:bCs/>
        </w:rPr>
        <w:t xml:space="preserve"> </w:t>
      </w:r>
      <w:r w:rsidRPr="000709B9">
        <w:rPr>
          <w:rFonts w:ascii="Times New Roman" w:hAnsi="Times New Roman" w:cs="Times New Roman"/>
          <w:bCs/>
        </w:rPr>
        <w:t>Fisher Scientific, cat no. 4387406). Real time PCR was performed on a LightCycler 480 system (Roche Diagnostics), using the TaqMan™ Fast Advanced Master Mix (Thermo</w:t>
      </w:r>
      <w:r>
        <w:rPr>
          <w:rFonts w:ascii="Times New Roman" w:hAnsi="Times New Roman" w:cs="Times New Roman"/>
          <w:bCs/>
        </w:rPr>
        <w:t xml:space="preserve"> </w:t>
      </w:r>
      <w:r w:rsidRPr="000709B9">
        <w:rPr>
          <w:rFonts w:ascii="Times New Roman" w:hAnsi="Times New Roman" w:cs="Times New Roman"/>
          <w:bCs/>
        </w:rPr>
        <w:t>Fisher Scientific, cat no. 4444557) and TaqMan™ gene expression assays (Thermo</w:t>
      </w:r>
      <w:r>
        <w:rPr>
          <w:rFonts w:ascii="Times New Roman" w:hAnsi="Times New Roman" w:cs="Times New Roman"/>
          <w:bCs/>
        </w:rPr>
        <w:t xml:space="preserve"> </w:t>
      </w:r>
      <w:r w:rsidRPr="000709B9">
        <w:rPr>
          <w:rFonts w:ascii="Times New Roman" w:hAnsi="Times New Roman" w:cs="Times New Roman"/>
          <w:bCs/>
        </w:rPr>
        <w:t xml:space="preserve">Fisher Scientific, cat no. 4331182) for </w:t>
      </w:r>
      <w:r w:rsidRPr="000709B9">
        <w:rPr>
          <w:rFonts w:ascii="Times New Roman" w:hAnsi="Times New Roman" w:cs="Times New Roman"/>
          <w:bCs/>
          <w:i/>
          <w:iCs/>
        </w:rPr>
        <w:t xml:space="preserve">GREB1 </w:t>
      </w:r>
      <w:r w:rsidRPr="000709B9">
        <w:rPr>
          <w:rFonts w:ascii="Times New Roman" w:hAnsi="Times New Roman" w:cs="Times New Roman"/>
          <w:bCs/>
        </w:rPr>
        <w:t xml:space="preserve">(Hs00536409_m1) and </w:t>
      </w:r>
      <w:r w:rsidRPr="000709B9">
        <w:rPr>
          <w:rFonts w:ascii="Times New Roman" w:hAnsi="Times New Roman" w:cs="Times New Roman"/>
          <w:bCs/>
          <w:i/>
          <w:iCs/>
        </w:rPr>
        <w:t xml:space="preserve">GAPDH </w:t>
      </w:r>
      <w:r w:rsidRPr="000709B9">
        <w:rPr>
          <w:rFonts w:ascii="Times New Roman" w:hAnsi="Times New Roman" w:cs="Times New Roman"/>
          <w:bCs/>
        </w:rPr>
        <w:t>(Hs02758991_g</w:t>
      </w:r>
      <w:r>
        <w:rPr>
          <w:rFonts w:ascii="Times New Roman" w:hAnsi="Times New Roman" w:cs="Times New Roman"/>
          <w:bCs/>
        </w:rPr>
        <w:t>1</w:t>
      </w:r>
      <w:r w:rsidRPr="000709B9">
        <w:rPr>
          <w:rFonts w:ascii="Times New Roman" w:hAnsi="Times New Roman" w:cs="Times New Roman"/>
          <w:bCs/>
        </w:rPr>
        <w:t xml:space="preserve">). Relative mRNA levels were normalized to GAPDH using the previously described ΔΔCT method </w:t>
      </w:r>
      <w:r w:rsidRPr="00931262">
        <w:rPr>
          <w:rFonts w:ascii="Times New Roman" w:hAnsi="Times New Roman" w:cs="Times New Roman"/>
          <w:bCs/>
          <w:noProof/>
          <w:vertAlign w:val="superscript"/>
        </w:rPr>
        <w:t>15</w:t>
      </w:r>
      <w:r w:rsidRPr="000709B9">
        <w:rPr>
          <w:rFonts w:ascii="Times New Roman" w:hAnsi="Times New Roman" w:cs="Times New Roman"/>
          <w:bCs/>
        </w:rPr>
        <w:t xml:space="preserve">. </w:t>
      </w:r>
    </w:p>
    <w:p w14:paraId="287511A4" w14:textId="77777777" w:rsidR="00D02D21" w:rsidRDefault="00D02D21" w:rsidP="002B5CD3">
      <w:pPr>
        <w:spacing w:after="0" w:line="240" w:lineRule="auto"/>
        <w:rPr>
          <w:rFonts w:ascii="Times New Roman" w:hAnsi="Times New Roman" w:cs="Times New Roman"/>
          <w:b/>
          <w:sz w:val="10"/>
          <w:szCs w:val="10"/>
        </w:rPr>
      </w:pPr>
    </w:p>
    <w:p w14:paraId="2E3295FF" w14:textId="77777777" w:rsidR="00D02D21" w:rsidRDefault="00D02D21" w:rsidP="002B5CD3">
      <w:pPr>
        <w:spacing w:after="0" w:line="240" w:lineRule="auto"/>
        <w:rPr>
          <w:rFonts w:ascii="Times New Roman" w:hAnsi="Times New Roman" w:cs="Times New Roman"/>
          <w:bCs/>
        </w:rPr>
      </w:pPr>
      <w:r w:rsidRPr="00EF74B8">
        <w:rPr>
          <w:rFonts w:ascii="Times New Roman" w:hAnsi="Times New Roman" w:cs="Times New Roman"/>
          <w:b/>
        </w:rPr>
        <w:t xml:space="preserve">Quantitative Chromatin Immunoprecipitation (qChIP). </w:t>
      </w:r>
      <w:r w:rsidRPr="00EF74B8">
        <w:rPr>
          <w:rFonts w:ascii="Times New Roman" w:hAnsi="Times New Roman" w:cs="Times New Roman"/>
          <w:bCs/>
        </w:rPr>
        <w:t xml:space="preserve">Cells were cultured for 3 days in 10 cm dishes containing 10 ml per well of complete medium. 1 hour after ligand treatment, the cells were fixed in 1% formaldehyde for 15 min at room temperature. Fixation was stopped with 0.1 M Glycine for 5 min. Cells were placed on ice, rinsed with 1X PBS, and transferred to pre-chilled microfuge tubes. The tubes were centrifuged at 2,000 rpm for 5 min at 4°C, the supernatant was removed, and the cell pellet was resuspended in 500 µl of </w:t>
      </w:r>
      <w:r>
        <w:rPr>
          <w:rFonts w:ascii="Times New Roman" w:hAnsi="Times New Roman" w:cs="Times New Roman"/>
          <w:bCs/>
        </w:rPr>
        <w:t>s</w:t>
      </w:r>
      <w:r w:rsidRPr="00EF74B8">
        <w:rPr>
          <w:rFonts w:ascii="Times New Roman" w:hAnsi="Times New Roman" w:cs="Times New Roman"/>
          <w:bCs/>
        </w:rPr>
        <w:t xml:space="preserve">onication buffer [10 mM Tris pH 8.0, 0.25% SDS, 2 mM EDTA] plus protease inhibitor cocktail (PIC) (Millipore Sigma, cat no. P8340). The samples were sonicated for 15 s and placed on ice for 30 s per cycle. After 5 cycles, the samples were precleared using 25 μl of Dynabeads™ Protein G (Invitrogen, #10004D), rotated at 4°C for 1 h and centrifuged at 12,000 rpm for 15 min at 4°C. The precleared supernatant was carefully transferred to a fresh microfuge tube. 20 μl samples were mixed with 155 μl of </w:t>
      </w:r>
      <w:r>
        <w:rPr>
          <w:rFonts w:ascii="Times New Roman" w:hAnsi="Times New Roman" w:cs="Times New Roman"/>
          <w:bCs/>
        </w:rPr>
        <w:t>s</w:t>
      </w:r>
      <w:r w:rsidRPr="00EF74B8">
        <w:rPr>
          <w:rFonts w:ascii="Times New Roman" w:hAnsi="Times New Roman" w:cs="Times New Roman"/>
          <w:bCs/>
        </w:rPr>
        <w:t>onication buffer</w:t>
      </w:r>
      <w:r>
        <w:rPr>
          <w:rFonts w:ascii="Times New Roman" w:hAnsi="Times New Roman" w:cs="Times New Roman"/>
          <w:bCs/>
        </w:rPr>
        <w:t xml:space="preserve"> </w:t>
      </w:r>
      <w:r w:rsidRPr="00EF74B8">
        <w:rPr>
          <w:rFonts w:ascii="Times New Roman" w:hAnsi="Times New Roman" w:cs="Times New Roman"/>
          <w:bCs/>
        </w:rPr>
        <w:t>+</w:t>
      </w:r>
      <w:r>
        <w:rPr>
          <w:rFonts w:ascii="Times New Roman" w:hAnsi="Times New Roman" w:cs="Times New Roman"/>
          <w:bCs/>
        </w:rPr>
        <w:t xml:space="preserve"> </w:t>
      </w:r>
      <w:r w:rsidRPr="00EF74B8">
        <w:rPr>
          <w:rFonts w:ascii="Times New Roman" w:hAnsi="Times New Roman" w:cs="Times New Roman"/>
          <w:bCs/>
        </w:rPr>
        <w:t xml:space="preserve">PIC, and rotated with 1 μg of HA (F-7) (Santa Cruz Biotech, cat no. sc-7392X), ERα (F-10) (Santa Cruz Biotech, cat no. sc-8002), or Ran (A-7) (Santa Cruz Biotech, cat no. sc-271376) mouse monoclonal antibodies, or normal mouse IgG (Santa Cruz Biotech, sc-2025) at 4°C for 2 h. Antibody complexes were precipitated with 25 μl of Dynabeads™ Protein G, and rotated at 4°C for 1 h. The beads were then washed on ice sequentially with 200 μl of Low-salt wash buffer [0.1% SDS, 1.0 % Triton X-100, 2 mM EDTA, 20 mM Tris-HCl (pH 8.1), 150 mM NaCl], </w:t>
      </w:r>
      <w:r>
        <w:rPr>
          <w:rFonts w:ascii="Times New Roman" w:hAnsi="Times New Roman" w:cs="Times New Roman"/>
          <w:bCs/>
        </w:rPr>
        <w:t>h</w:t>
      </w:r>
      <w:r w:rsidRPr="00EF74B8">
        <w:rPr>
          <w:rFonts w:ascii="Times New Roman" w:hAnsi="Times New Roman" w:cs="Times New Roman"/>
          <w:bCs/>
        </w:rPr>
        <w:t xml:space="preserve">igh-salt wash buffer [0.1% SDS, 1.0 % </w:t>
      </w:r>
      <w:r>
        <w:rPr>
          <w:rFonts w:ascii="Times New Roman" w:hAnsi="Times New Roman" w:cs="Times New Roman"/>
          <w:bCs/>
        </w:rPr>
        <w:t>t</w:t>
      </w:r>
      <w:r w:rsidRPr="00EF74B8">
        <w:rPr>
          <w:rFonts w:ascii="Times New Roman" w:hAnsi="Times New Roman" w:cs="Times New Roman"/>
          <w:bCs/>
        </w:rPr>
        <w:t>riton X-100, 2 mM EDTA, 20 mM Tris-HCl (pH 8.1), 500 mM NaCl], and LiCl wash buffer [0.25 M LiCl, 1% IGEPAL-CA630, 1% sodium deoxycholate, 1 mM EDTA, 10 mM Tris (pH 8.1)]. The samples were rinsed with 200 μl of ice-cold 1X TE buffer. As an “input” control, 20 μl of each sample was incubated at 4°C for 3 h. The input samples and beads were then mixed with 85 μl of 1X TE buffer and 100 μg of proteinase K (Thermo Fisher Scientific, #25530-049), incubated at 55°C for 1 h, and then at 65°C for 10 h to reverse the crosslinks. DNA fragments were isolated using the QIAquick PCR purification kit (QIAGEN, cat. no. 28104) and analyzed by real-time PCR using the TaqMan 2X master mix (Thermo Fisher Scientific, cat. no. 4369016) and the custom GREB1-ERE1 and ROCK2-PRO assays (Thermo</w:t>
      </w:r>
      <w:r>
        <w:rPr>
          <w:rFonts w:ascii="Times New Roman" w:hAnsi="Times New Roman" w:cs="Times New Roman"/>
          <w:bCs/>
        </w:rPr>
        <w:t xml:space="preserve"> </w:t>
      </w:r>
      <w:r w:rsidRPr="00EF74B8">
        <w:rPr>
          <w:rFonts w:ascii="Times New Roman" w:hAnsi="Times New Roman" w:cs="Times New Roman"/>
          <w:bCs/>
        </w:rPr>
        <w:t>Fisher Sci</w:t>
      </w:r>
      <w:r>
        <w:rPr>
          <w:rFonts w:ascii="Times New Roman" w:hAnsi="Times New Roman" w:cs="Times New Roman"/>
          <w:bCs/>
        </w:rPr>
        <w:t>entific</w:t>
      </w:r>
      <w:r w:rsidRPr="00EF74B8">
        <w:rPr>
          <w:rFonts w:ascii="Times New Roman" w:hAnsi="Times New Roman" w:cs="Times New Roman"/>
          <w:bCs/>
        </w:rPr>
        <w:t>, cat. no. 4331348, assay IDs AIQJCJF and APPRUVZ, respectively).</w:t>
      </w:r>
    </w:p>
    <w:p w14:paraId="65B1342C" w14:textId="77777777" w:rsidR="00D02D21" w:rsidRDefault="00D02D21" w:rsidP="00EF1C73">
      <w:pPr>
        <w:spacing w:after="0" w:line="240" w:lineRule="auto"/>
        <w:rPr>
          <w:rFonts w:ascii="Times New Roman" w:hAnsi="Times New Roman" w:cs="Times New Roman"/>
          <w:bCs/>
        </w:rPr>
      </w:pPr>
    </w:p>
    <w:p w14:paraId="5A2B6256" w14:textId="77777777" w:rsidR="00D02D21" w:rsidRPr="0046325A" w:rsidRDefault="00D02D21" w:rsidP="00EF1C73">
      <w:pPr>
        <w:spacing w:after="0" w:line="240" w:lineRule="auto"/>
        <w:rPr>
          <w:rFonts w:ascii="Times New Roman" w:hAnsi="Times New Roman" w:cs="Times New Roman"/>
          <w:b/>
        </w:rPr>
      </w:pPr>
      <w:r w:rsidRPr="0046325A">
        <w:rPr>
          <w:rFonts w:ascii="Times New Roman" w:hAnsi="Times New Roman" w:cs="Times New Roman"/>
          <w:b/>
        </w:rPr>
        <w:t>Gene expression profiling by RNA-seq</w:t>
      </w:r>
      <w:r>
        <w:rPr>
          <w:rFonts w:ascii="Times New Roman" w:hAnsi="Times New Roman" w:cs="Times New Roman"/>
          <w:b/>
        </w:rPr>
        <w:t xml:space="preserve">. </w:t>
      </w:r>
      <w:r>
        <w:rPr>
          <w:rFonts w:ascii="Times New Roman" w:hAnsi="Times New Roman" w:cs="Times New Roman"/>
          <w:bCs/>
        </w:rPr>
        <w:t xml:space="preserve">Total </w:t>
      </w:r>
      <w:r w:rsidRPr="00EF1C73">
        <w:rPr>
          <w:rFonts w:ascii="Times New Roman" w:hAnsi="Times New Roman" w:cs="Times New Roman"/>
          <w:bCs/>
        </w:rPr>
        <w:t xml:space="preserve">RNA was isolated from </w:t>
      </w:r>
      <w:r>
        <w:rPr>
          <w:rFonts w:ascii="Times New Roman" w:hAnsi="Times New Roman" w:cs="Times New Roman"/>
          <w:bCs/>
        </w:rPr>
        <w:t>3</w:t>
      </w:r>
      <w:r w:rsidRPr="00EF1C73">
        <w:rPr>
          <w:rFonts w:ascii="Times New Roman" w:hAnsi="Times New Roman" w:cs="Times New Roman"/>
          <w:bCs/>
        </w:rPr>
        <w:t xml:space="preserve"> separate </w:t>
      </w:r>
      <w:r>
        <w:rPr>
          <w:rFonts w:ascii="Times New Roman" w:hAnsi="Times New Roman" w:cs="Times New Roman"/>
          <w:bCs/>
        </w:rPr>
        <w:t xml:space="preserve">cell </w:t>
      </w:r>
      <w:r w:rsidRPr="00EF1C73">
        <w:rPr>
          <w:rFonts w:ascii="Times New Roman" w:hAnsi="Times New Roman" w:cs="Times New Roman"/>
          <w:bCs/>
        </w:rPr>
        <w:t>passages as biological replicates using the RNeasy kit (Q</w:t>
      </w:r>
      <w:r>
        <w:rPr>
          <w:rFonts w:ascii="Times New Roman" w:hAnsi="Times New Roman" w:cs="Times New Roman"/>
          <w:bCs/>
        </w:rPr>
        <w:t>IAGEN</w:t>
      </w:r>
      <w:r w:rsidRPr="00EF1C73">
        <w:rPr>
          <w:rFonts w:ascii="Times New Roman" w:hAnsi="Times New Roman" w:cs="Times New Roman"/>
          <w:bCs/>
        </w:rPr>
        <w:t xml:space="preserve">) according to the manufacturer’s instructions. RNA was quantified using the Qubit 2.0 Fluorometer (Invitrogen) and run on the Agilent 4200 TapeStation RNA tape (Agilent Technologies) for quality assessment. Only samples with RNA integrity number ≥ 9.5 were used. Messenger RNA was selectively isolated using the NEBNext poly(A) mRNA magnetic isolation module (Cat. #: E7490, NEB) according to the manufacturer’s instructions. Libraries were prepared with </w:t>
      </w:r>
      <w:r w:rsidRPr="0046325A">
        <w:rPr>
          <w:rFonts w:ascii="Times New Roman" w:hAnsi="Times New Roman" w:cs="Times New Roman"/>
          <w:bCs/>
        </w:rPr>
        <w:t xml:space="preserve">NEBNext Ultra II Directional RNA kit (Cat. # E7760, NEB) according to the manufacturer’s instructions. Sequencing data were uploaded to the Galaxy web platform (v2.2.1) </w:t>
      </w:r>
      <w:r w:rsidRPr="00931262">
        <w:rPr>
          <w:rFonts w:ascii="Times New Roman" w:hAnsi="Times New Roman" w:cs="Times New Roman"/>
          <w:bCs/>
          <w:noProof/>
          <w:vertAlign w:val="superscript"/>
        </w:rPr>
        <w:t>16</w:t>
      </w:r>
      <w:r w:rsidRPr="0046325A">
        <w:rPr>
          <w:rFonts w:ascii="Times New Roman" w:hAnsi="Times New Roman" w:cs="Times New Roman"/>
          <w:bCs/>
        </w:rPr>
        <w:t xml:space="preserve">, aligned to the human reference genome hg38 (female) using Hisat2 (v2.2.1) </w:t>
      </w:r>
      <w:r w:rsidRPr="00931262">
        <w:rPr>
          <w:rFonts w:ascii="Times New Roman" w:hAnsi="Times New Roman" w:cs="Times New Roman"/>
          <w:bCs/>
          <w:noProof/>
          <w:vertAlign w:val="superscript"/>
        </w:rPr>
        <w:t>17</w:t>
      </w:r>
      <w:r w:rsidRPr="0046325A">
        <w:rPr>
          <w:rFonts w:ascii="Times New Roman" w:hAnsi="Times New Roman" w:cs="Times New Roman"/>
          <w:bCs/>
        </w:rPr>
        <w:t xml:space="preserve"> and counted using featureCounts in the Subread (v2.0.1) package.</w:t>
      </w:r>
      <w:r w:rsidRPr="0046325A">
        <w:rPr>
          <w:rFonts w:ascii="Times New Roman" w:hAnsi="Times New Roman" w:cs="Times New Roman"/>
          <w:b/>
        </w:rPr>
        <w:t xml:space="preserve"> </w:t>
      </w:r>
      <w:r w:rsidRPr="0046325A">
        <w:rPr>
          <w:rFonts w:ascii="Times New Roman" w:hAnsi="Times New Roman" w:cs="Times New Roman"/>
          <w:bCs/>
        </w:rPr>
        <w:t>Raw and processed RNA-seq datasets were deposited in the gene expression</w:t>
      </w:r>
      <w:r>
        <w:rPr>
          <w:rFonts w:ascii="Times New Roman" w:hAnsi="Times New Roman" w:cs="Times New Roman"/>
          <w:bCs/>
        </w:rPr>
        <w:t xml:space="preserve"> omnibus (GEO), with accession no. </w:t>
      </w:r>
      <w:r w:rsidRPr="00023D00">
        <w:rPr>
          <w:rFonts w:ascii="Times New Roman" w:hAnsi="Times New Roman" w:cs="Times New Roman"/>
          <w:bCs/>
        </w:rPr>
        <w:t>GSE230939</w:t>
      </w:r>
      <w:r>
        <w:rPr>
          <w:rFonts w:ascii="Times New Roman" w:hAnsi="Times New Roman" w:cs="Times New Roman"/>
          <w:bCs/>
        </w:rPr>
        <w:t xml:space="preserve"> and </w:t>
      </w:r>
      <w:r w:rsidRPr="00023D00">
        <w:rPr>
          <w:rFonts w:ascii="Times New Roman" w:hAnsi="Times New Roman" w:cs="Times New Roman"/>
          <w:bCs/>
        </w:rPr>
        <w:t>GSE231397</w:t>
      </w:r>
      <w:r>
        <w:rPr>
          <w:rFonts w:ascii="Times New Roman" w:hAnsi="Times New Roman" w:cs="Times New Roman"/>
          <w:bCs/>
        </w:rPr>
        <w:t xml:space="preserve">. Differential </w:t>
      </w:r>
      <w:r w:rsidRPr="003C1ED3">
        <w:rPr>
          <w:rFonts w:ascii="Times New Roman" w:hAnsi="Times New Roman" w:cs="Times New Roman"/>
          <w:bCs/>
        </w:rPr>
        <w:t xml:space="preserve">expression analysis was performed using DESeq2 (v1.36.0) </w:t>
      </w:r>
      <w:r w:rsidRPr="00931262">
        <w:rPr>
          <w:rFonts w:ascii="Times New Roman" w:hAnsi="Times New Roman" w:cs="Times New Roman"/>
          <w:bCs/>
          <w:noProof/>
          <w:vertAlign w:val="superscript"/>
        </w:rPr>
        <w:t>18</w:t>
      </w:r>
      <w:r w:rsidRPr="003C1ED3">
        <w:rPr>
          <w:rFonts w:ascii="Times New Roman" w:hAnsi="Times New Roman" w:cs="Times New Roman"/>
          <w:bCs/>
        </w:rPr>
        <w:t xml:space="preserve">. Gene set and pathway enrichment analysis was performed using the Search Tool for the Retrieval of Interacting Genes/Protein (STRING) database v12.0 </w:t>
      </w:r>
      <w:r w:rsidRPr="00931262">
        <w:rPr>
          <w:rFonts w:ascii="Times New Roman" w:hAnsi="Times New Roman" w:cs="Times New Roman"/>
          <w:bCs/>
          <w:noProof/>
          <w:vertAlign w:val="superscript"/>
        </w:rPr>
        <w:t>19</w:t>
      </w:r>
      <w:r w:rsidRPr="003C1ED3">
        <w:rPr>
          <w:rFonts w:ascii="Times New Roman" w:hAnsi="Times New Roman" w:cs="Times New Roman"/>
          <w:bCs/>
        </w:rPr>
        <w:t xml:space="preserve">. Upstream transcriptional regulators were predicted from public ChIP-seq datasets using epigenetic landscape in silico analysis </w:t>
      </w:r>
      <w:r w:rsidRPr="003C1ED3">
        <w:rPr>
          <w:rFonts w:ascii="Times New Roman" w:hAnsi="Times New Roman" w:cs="Times New Roman"/>
        </w:rPr>
        <w:t>(LISA; http://</w:t>
      </w:r>
      <w:hyperlink r:id="rId9" w:history="1">
        <w:r w:rsidRPr="003C1ED3">
          <w:rPr>
            <w:rStyle w:val="Hyperlink"/>
          </w:rPr>
          <w:t>www.lisa.cistrome.org</w:t>
        </w:r>
      </w:hyperlink>
      <w:r w:rsidRPr="003C1ED3">
        <w:rPr>
          <w:rFonts w:ascii="Times New Roman" w:hAnsi="Times New Roman" w:cs="Times New Roman"/>
        </w:rPr>
        <w:t xml:space="preserve">) </w:t>
      </w:r>
      <w:r w:rsidRPr="00931262">
        <w:rPr>
          <w:rFonts w:ascii="Times New Roman" w:hAnsi="Times New Roman" w:cs="Times New Roman"/>
          <w:noProof/>
          <w:vertAlign w:val="superscript"/>
        </w:rPr>
        <w:t>20</w:t>
      </w:r>
      <w:r w:rsidRPr="003C1ED3">
        <w:rPr>
          <w:rFonts w:ascii="Times New Roman" w:hAnsi="Times New Roman" w:cs="Times New Roman"/>
          <w:bCs/>
        </w:rPr>
        <w:t>.</w:t>
      </w:r>
      <w:r>
        <w:rPr>
          <w:rFonts w:ascii="Times New Roman" w:hAnsi="Times New Roman" w:cs="Times New Roman"/>
          <w:bCs/>
        </w:rPr>
        <w:t xml:space="preserve"> </w:t>
      </w:r>
    </w:p>
    <w:p w14:paraId="4D685BBA" w14:textId="77777777" w:rsidR="00D02D21" w:rsidRPr="000709B9" w:rsidRDefault="00D02D21" w:rsidP="002B5CD3">
      <w:pPr>
        <w:spacing w:after="0" w:line="240" w:lineRule="auto"/>
        <w:rPr>
          <w:rFonts w:ascii="Times New Roman" w:hAnsi="Times New Roman" w:cs="Times New Roman"/>
          <w:bCs/>
        </w:rPr>
      </w:pPr>
    </w:p>
    <w:p w14:paraId="3793CA49" w14:textId="77777777" w:rsidR="00D02D21" w:rsidRDefault="00D02D21" w:rsidP="00714221">
      <w:pPr>
        <w:spacing w:after="0" w:line="240" w:lineRule="auto"/>
        <w:rPr>
          <w:rFonts w:ascii="Times New Roman" w:hAnsi="Times New Roman" w:cs="Times New Roman"/>
          <w:b/>
        </w:rPr>
      </w:pPr>
      <w:r>
        <w:rPr>
          <w:rFonts w:ascii="Times New Roman" w:hAnsi="Times New Roman" w:cs="Times New Roman"/>
          <w:b/>
        </w:rPr>
        <w:br w:type="page"/>
        <w:t>SUPPLEMENTARY FIGURES</w:t>
      </w:r>
    </w:p>
    <w:p w14:paraId="3BC41295" w14:textId="77777777" w:rsidR="00D02D21" w:rsidRPr="000709B9" w:rsidRDefault="00D02D21" w:rsidP="00714221">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36C9B254" wp14:editId="72CB0B37">
            <wp:extent cx="5234832" cy="5448300"/>
            <wp:effectExtent l="0" t="0" r="4445" b="0"/>
            <wp:docPr id="17734803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45462" cy="5459364"/>
                    </a:xfrm>
                    <a:prstGeom prst="rect">
                      <a:avLst/>
                    </a:prstGeom>
                    <a:noFill/>
                    <a:ln>
                      <a:noFill/>
                    </a:ln>
                  </pic:spPr>
                </pic:pic>
              </a:graphicData>
            </a:graphic>
          </wp:inline>
        </w:drawing>
      </w:r>
    </w:p>
    <w:p w14:paraId="6C09C394" w14:textId="77777777" w:rsidR="00D02D21" w:rsidRDefault="00D02D21" w:rsidP="00714221">
      <w:pPr>
        <w:spacing w:line="240" w:lineRule="auto"/>
        <w:rPr>
          <w:rFonts w:ascii="Times New Roman" w:hAnsi="Times New Roman" w:cs="Times New Roman"/>
          <w:b/>
          <w:bCs/>
        </w:rPr>
      </w:pPr>
    </w:p>
    <w:p w14:paraId="4DA102B8" w14:textId="77777777" w:rsidR="00D02D21" w:rsidRPr="000709B9"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Figure S1. nTDP spectra of CA II and its fragmentation map generated by the</w:t>
      </w:r>
      <w:r>
        <w:rPr>
          <w:rFonts w:ascii="Times New Roman" w:hAnsi="Times New Roman" w:cs="Times New Roman"/>
          <w:b/>
          <w:bCs/>
        </w:rPr>
        <w:t xml:space="preserve"> </w:t>
      </w:r>
      <w:r w:rsidRPr="000709B9">
        <w:rPr>
          <w:rFonts w:ascii="Times New Roman" w:hAnsi="Times New Roman" w:cs="Times New Roman"/>
          <w:b/>
          <w:bCs/>
        </w:rPr>
        <w:t>ProSight Lite.</w:t>
      </w:r>
    </w:p>
    <w:p w14:paraId="34F233B9" w14:textId="77777777" w:rsidR="00D02D21" w:rsidRPr="000709B9" w:rsidRDefault="00D02D21" w:rsidP="00714221">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727A40DA" wp14:editId="5716DF68">
            <wp:extent cx="5866379" cy="5213350"/>
            <wp:effectExtent l="0" t="0" r="1270" b="6350"/>
            <wp:docPr id="11608952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9255" cy="5215906"/>
                    </a:xfrm>
                    <a:prstGeom prst="rect">
                      <a:avLst/>
                    </a:prstGeom>
                    <a:noFill/>
                    <a:ln>
                      <a:noFill/>
                    </a:ln>
                  </pic:spPr>
                </pic:pic>
              </a:graphicData>
            </a:graphic>
          </wp:inline>
        </w:drawing>
      </w:r>
    </w:p>
    <w:p w14:paraId="4AB702BE" w14:textId="77777777" w:rsidR="00D02D21" w:rsidRPr="000709B9" w:rsidRDefault="00D02D21" w:rsidP="00714221">
      <w:pPr>
        <w:spacing w:line="240" w:lineRule="auto"/>
        <w:rPr>
          <w:rFonts w:ascii="Times New Roman" w:hAnsi="Times New Roman" w:cs="Times New Roman"/>
        </w:rPr>
      </w:pPr>
      <w:r w:rsidRPr="000709B9">
        <w:rPr>
          <w:rFonts w:ascii="Times New Roman" w:hAnsi="Times New Roman" w:cs="Times New Roman"/>
          <w:b/>
          <w:bCs/>
        </w:rPr>
        <w:t>Figure S2. nTDP spectra of SA and its fragmentation map generated by the ProSight Lite.</w:t>
      </w:r>
    </w:p>
    <w:p w14:paraId="69F11840" w14:textId="77777777" w:rsidR="00D02D21" w:rsidRPr="000709B9" w:rsidRDefault="00D02D21" w:rsidP="00714221">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23858E7F" wp14:editId="55B85F53">
            <wp:extent cx="5783044" cy="5257800"/>
            <wp:effectExtent l="0" t="0" r="8255" b="0"/>
            <wp:docPr id="18043319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83952" cy="5258626"/>
                    </a:xfrm>
                    <a:prstGeom prst="rect">
                      <a:avLst/>
                    </a:prstGeom>
                    <a:noFill/>
                    <a:ln>
                      <a:noFill/>
                    </a:ln>
                  </pic:spPr>
                </pic:pic>
              </a:graphicData>
            </a:graphic>
          </wp:inline>
        </w:drawing>
      </w:r>
    </w:p>
    <w:p w14:paraId="613C384C" w14:textId="77777777" w:rsidR="00D02D21"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 xml:space="preserve">Figure S3. nTDP spectra of AV and its fragmentation map generated by the ProSight Lite. </w:t>
      </w:r>
    </w:p>
    <w:p w14:paraId="5E48AEC6" w14:textId="77777777" w:rsidR="00D02D21" w:rsidRPr="000709B9" w:rsidRDefault="00D02D21" w:rsidP="00714221">
      <w:pPr>
        <w:spacing w:line="240" w:lineRule="auto"/>
        <w:rPr>
          <w:rFonts w:ascii="Times New Roman" w:hAnsi="Times New Roman" w:cs="Times New Roman"/>
        </w:rPr>
      </w:pPr>
    </w:p>
    <w:p w14:paraId="2565C2BD" w14:textId="77777777" w:rsidR="00D02D21" w:rsidRPr="000709B9" w:rsidRDefault="00D02D21" w:rsidP="00714221">
      <w:pPr>
        <w:spacing w:line="240" w:lineRule="auto"/>
        <w:rPr>
          <w:rFonts w:ascii="Times New Roman" w:hAnsi="Times New Roman" w:cs="Times New Roman"/>
        </w:rPr>
      </w:pPr>
      <w:r w:rsidRPr="000709B9">
        <w:rPr>
          <w:rFonts w:ascii="Times New Roman" w:hAnsi="Times New Roman" w:cs="Times New Roman"/>
          <w:noProof/>
        </w:rPr>
        <w:drawing>
          <wp:inline distT="0" distB="0" distL="0" distR="0" wp14:anchorId="1D2DCE0B" wp14:editId="01463C24">
            <wp:extent cx="6927850" cy="3184716"/>
            <wp:effectExtent l="0" t="0" r="6350" b="0"/>
            <wp:docPr id="22" name="Picture 2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graphical user interfac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63210" cy="3200971"/>
                    </a:xfrm>
                    <a:prstGeom prst="rect">
                      <a:avLst/>
                    </a:prstGeom>
                    <a:noFill/>
                    <a:ln>
                      <a:noFill/>
                    </a:ln>
                  </pic:spPr>
                </pic:pic>
              </a:graphicData>
            </a:graphic>
          </wp:inline>
        </w:drawing>
      </w:r>
    </w:p>
    <w:p w14:paraId="4BEC9A36" w14:textId="77777777" w:rsidR="00D02D21" w:rsidRPr="000709B9"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 xml:space="preserve">Figure S4. Base peak mobiliogram of the standard protein complexes with their CVs. </w:t>
      </w:r>
      <w:r w:rsidRPr="00593652">
        <w:rPr>
          <w:rFonts w:ascii="Times New Roman" w:hAnsi="Times New Roman" w:cs="Times New Roman"/>
          <w:b/>
          <w:bCs/>
        </w:rPr>
        <w:t>(A)</w:t>
      </w:r>
      <w:r w:rsidRPr="000709B9">
        <w:rPr>
          <w:rFonts w:ascii="Times New Roman" w:hAnsi="Times New Roman" w:cs="Times New Roman"/>
        </w:rPr>
        <w:t xml:space="preserve"> Base peak mobiliogram of the standard protein complexes. </w:t>
      </w:r>
      <w:r w:rsidRPr="00593652">
        <w:rPr>
          <w:rFonts w:ascii="Times New Roman" w:hAnsi="Times New Roman" w:cs="Times New Roman"/>
          <w:b/>
          <w:bCs/>
        </w:rPr>
        <w:t>(B)</w:t>
      </w:r>
      <w:r w:rsidRPr="000709B9">
        <w:rPr>
          <w:rFonts w:ascii="Times New Roman" w:hAnsi="Times New Roman" w:cs="Times New Roman"/>
        </w:rPr>
        <w:t xml:space="preserve"> CVs of the standard protein complexes.</w:t>
      </w:r>
      <w:r w:rsidRPr="000709B9">
        <w:rPr>
          <w:rFonts w:ascii="Times New Roman" w:hAnsi="Times New Roman" w:cs="Times New Roman"/>
          <w:b/>
          <w:bCs/>
        </w:rPr>
        <w:t xml:space="preserve">  </w:t>
      </w:r>
    </w:p>
    <w:p w14:paraId="4EE4E361" w14:textId="77777777" w:rsidR="00D02D21" w:rsidRPr="000709B9" w:rsidRDefault="00D02D21" w:rsidP="00714221">
      <w:pPr>
        <w:spacing w:line="240" w:lineRule="auto"/>
        <w:jc w:val="center"/>
        <w:rPr>
          <w:rFonts w:ascii="Times New Roman" w:hAnsi="Times New Roman" w:cs="Times New Roman"/>
        </w:rPr>
      </w:pPr>
      <w:r w:rsidRPr="000709B9">
        <w:rPr>
          <w:rFonts w:ascii="Times New Roman" w:hAnsi="Times New Roman" w:cs="Times New Roman"/>
          <w:noProof/>
        </w:rPr>
        <w:drawing>
          <wp:inline distT="0" distB="0" distL="0" distR="0" wp14:anchorId="7E7DD0C5" wp14:editId="3BBF0F67">
            <wp:extent cx="5308600" cy="4374393"/>
            <wp:effectExtent l="0" t="0" r="6350" b="7620"/>
            <wp:docPr id="23" name="Picture 2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graphical user interfac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1363" cy="4401390"/>
                    </a:xfrm>
                    <a:prstGeom prst="rect">
                      <a:avLst/>
                    </a:prstGeom>
                    <a:noFill/>
                    <a:ln>
                      <a:noFill/>
                    </a:ln>
                  </pic:spPr>
                </pic:pic>
              </a:graphicData>
            </a:graphic>
          </wp:inline>
        </w:drawing>
      </w:r>
    </w:p>
    <w:p w14:paraId="3DF3F14E" w14:textId="77777777" w:rsidR="00D02D21" w:rsidRDefault="00D02D21" w:rsidP="00714221">
      <w:pPr>
        <w:spacing w:line="240" w:lineRule="auto"/>
        <w:rPr>
          <w:rFonts w:ascii="Times New Roman" w:hAnsi="Times New Roman" w:cs="Times New Roman"/>
        </w:rPr>
      </w:pPr>
      <w:r w:rsidRPr="000709B9">
        <w:rPr>
          <w:rFonts w:ascii="Times New Roman" w:hAnsi="Times New Roman" w:cs="Times New Roman"/>
          <w:b/>
          <w:bCs/>
        </w:rPr>
        <w:t>Figure S5. nSEC chromatographic profiles of protein assemblies in MCF-7 and MCF-7-EGFR cells and standard proteins</w:t>
      </w:r>
      <w:r w:rsidRPr="000709B9">
        <w:rPr>
          <w:rFonts w:ascii="Times New Roman" w:hAnsi="Times New Roman" w:cs="Times New Roman"/>
        </w:rPr>
        <w:t xml:space="preserve">. </w:t>
      </w:r>
      <w:r w:rsidRPr="00593652">
        <w:rPr>
          <w:rFonts w:ascii="Times New Roman" w:hAnsi="Times New Roman" w:cs="Times New Roman"/>
          <w:b/>
          <w:bCs/>
        </w:rPr>
        <w:t>(A)</w:t>
      </w:r>
      <w:r w:rsidRPr="000709B9">
        <w:rPr>
          <w:rFonts w:ascii="Times New Roman" w:hAnsi="Times New Roman" w:cs="Times New Roman"/>
        </w:rPr>
        <w:t xml:space="preserve"> Protein assemblies in MCF-7 cells (16 overlapped replicates) and protein standards (3 overlapped replicates). </w:t>
      </w:r>
      <w:r w:rsidRPr="00593652">
        <w:rPr>
          <w:rFonts w:ascii="Times New Roman" w:hAnsi="Times New Roman" w:cs="Times New Roman"/>
          <w:b/>
          <w:bCs/>
        </w:rPr>
        <w:t>(B)</w:t>
      </w:r>
      <w:r w:rsidRPr="000709B9">
        <w:rPr>
          <w:rFonts w:ascii="Times New Roman" w:hAnsi="Times New Roman" w:cs="Times New Roman"/>
        </w:rPr>
        <w:t xml:space="preserve"> Protein assemblies in MCF-7-EGFR cells (16 overlapped replicates) and protein standards (3 overlapped replicates). </w:t>
      </w:r>
    </w:p>
    <w:p w14:paraId="527D1AD8" w14:textId="77777777" w:rsidR="00D02D21" w:rsidRDefault="00D02D21" w:rsidP="00714221">
      <w:pPr>
        <w:spacing w:line="240" w:lineRule="auto"/>
        <w:rPr>
          <w:rFonts w:ascii="Times New Roman" w:hAnsi="Times New Roman" w:cs="Times New Roman"/>
          <w:b/>
          <w:bCs/>
        </w:rPr>
      </w:pPr>
      <w:r>
        <w:rPr>
          <w:rFonts w:ascii="Times New Roman" w:hAnsi="Times New Roman" w:cs="Times New Roman"/>
          <w:b/>
          <w:bCs/>
          <w:noProof/>
        </w:rPr>
        <w:drawing>
          <wp:inline distT="0" distB="0" distL="0" distR="0" wp14:anchorId="2BBEAEC5" wp14:editId="4D4398ED">
            <wp:extent cx="6007906" cy="2076450"/>
            <wp:effectExtent l="0" t="0" r="0" b="0"/>
            <wp:docPr id="30" name="Picture 30"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69130" cy="2097610"/>
                    </a:xfrm>
                    <a:prstGeom prst="rect">
                      <a:avLst/>
                    </a:prstGeom>
                  </pic:spPr>
                </pic:pic>
              </a:graphicData>
            </a:graphic>
          </wp:inline>
        </w:drawing>
      </w:r>
    </w:p>
    <w:p w14:paraId="247BC4AF" w14:textId="77777777" w:rsidR="00D02D21" w:rsidRDefault="00D02D21" w:rsidP="00714221">
      <w:pPr>
        <w:spacing w:after="0" w:line="240" w:lineRule="auto"/>
        <w:rPr>
          <w:rFonts w:ascii="Times New Roman" w:hAnsi="Times New Roman" w:cs="Times New Roman"/>
          <w:b/>
          <w:bCs/>
        </w:rPr>
      </w:pPr>
    </w:p>
    <w:p w14:paraId="3B353CD9" w14:textId="77777777" w:rsidR="00D02D21" w:rsidRPr="0082385A" w:rsidRDefault="00D02D21" w:rsidP="00714221">
      <w:pPr>
        <w:spacing w:after="0" w:line="240" w:lineRule="auto"/>
        <w:rPr>
          <w:rFonts w:ascii="Times New Roman" w:hAnsi="Times New Roman" w:cs="Times New Roman"/>
        </w:rPr>
      </w:pPr>
      <w:r>
        <w:rPr>
          <w:rFonts w:ascii="Times New Roman" w:hAnsi="Times New Roman" w:cs="Times New Roman"/>
          <w:b/>
          <w:bCs/>
        </w:rPr>
        <w:t xml:space="preserve">Figure S6. MCF-7-EGFR cells are resistant to SERMs and grow faster. </w:t>
      </w:r>
      <w:r w:rsidRPr="00593652">
        <w:rPr>
          <w:rFonts w:ascii="Times New Roman" w:hAnsi="Times New Roman" w:cs="Times New Roman"/>
          <w:b/>
          <w:bCs/>
        </w:rPr>
        <w:t>(A)</w:t>
      </w:r>
      <w:r w:rsidRPr="00EF74B8">
        <w:rPr>
          <w:rFonts w:ascii="Times New Roman" w:hAnsi="Times New Roman" w:cs="Times New Roman"/>
        </w:rPr>
        <w:t xml:space="preserve"> MCF-7</w:t>
      </w:r>
      <w:r>
        <w:rPr>
          <w:rFonts w:ascii="Times New Roman" w:hAnsi="Times New Roman" w:cs="Times New Roman"/>
        </w:rPr>
        <w:t>-</w:t>
      </w:r>
      <w:r w:rsidRPr="00EF74B8">
        <w:rPr>
          <w:rFonts w:ascii="Times New Roman" w:hAnsi="Times New Roman" w:cs="Times New Roman"/>
        </w:rPr>
        <w:t>EGFR</w:t>
      </w:r>
      <w:r>
        <w:rPr>
          <w:rFonts w:ascii="Times New Roman" w:hAnsi="Times New Roman" w:cs="Times New Roman"/>
          <w:b/>
          <w:bCs/>
        </w:rPr>
        <w:t xml:space="preserve"> </w:t>
      </w:r>
      <w:r>
        <w:rPr>
          <w:rFonts w:ascii="Times New Roman" w:hAnsi="Times New Roman" w:cs="Times New Roman"/>
        </w:rPr>
        <w:t xml:space="preserve">Cells were treated with the indicated compounds for 5 days and assayed for cell number. Data is normalized to DMSO vehicle and the starting cell number. Mean +SEM of 4 replicates. </w:t>
      </w:r>
      <w:r w:rsidRPr="00593652">
        <w:rPr>
          <w:rFonts w:ascii="Times New Roman" w:hAnsi="Times New Roman" w:cs="Times New Roman"/>
          <w:b/>
          <w:bCs/>
        </w:rPr>
        <w:t>(B)</w:t>
      </w:r>
      <w:r>
        <w:rPr>
          <w:rFonts w:ascii="Times New Roman" w:hAnsi="Times New Roman" w:cs="Times New Roman"/>
        </w:rPr>
        <w:t xml:space="preserve"> MCF-7 and MCF-7-EGFR cells were grown for 5 days and assayed for proliferation. Day 5 EGFR cells grew significantly faster than the MCF-7 (Student’s T test, p = 9 x 10-</w:t>
      </w:r>
      <w:r w:rsidRPr="000069B4">
        <w:rPr>
          <w:rFonts w:ascii="Times New Roman" w:hAnsi="Times New Roman" w:cs="Times New Roman"/>
          <w:vertAlign w:val="superscript"/>
        </w:rPr>
        <w:t>24</w:t>
      </w:r>
      <w:r>
        <w:rPr>
          <w:rFonts w:ascii="Times New Roman" w:hAnsi="Times New Roman" w:cs="Times New Roman"/>
        </w:rPr>
        <w:t xml:space="preserve">). Day 5 was 48 wells per cell type. </w:t>
      </w:r>
    </w:p>
    <w:p w14:paraId="046C316B" w14:textId="77777777" w:rsidR="00D02D21" w:rsidRDefault="00D02D21" w:rsidP="00714221">
      <w:pPr>
        <w:spacing w:after="0" w:line="240" w:lineRule="auto"/>
        <w:rPr>
          <w:rFonts w:ascii="Times New Roman" w:hAnsi="Times New Roman" w:cs="Times New Roman"/>
        </w:rPr>
      </w:pPr>
    </w:p>
    <w:p w14:paraId="45B08E84" w14:textId="77777777" w:rsidR="00D02D21" w:rsidRPr="000709B9" w:rsidRDefault="00D02D21" w:rsidP="00714221">
      <w:pPr>
        <w:shd w:val="clear" w:color="auto" w:fill="FFFFFF"/>
        <w:spacing w:after="0" w:line="240" w:lineRule="auto"/>
        <w:rPr>
          <w:rFonts w:ascii="Times New Roman" w:eastAsia="Times New Roman" w:hAnsi="Times New Roman" w:cs="Times New Roman"/>
          <w:bCs/>
        </w:rPr>
      </w:pPr>
      <w:r w:rsidRPr="000709B9">
        <w:rPr>
          <w:rFonts w:ascii="Times New Roman" w:eastAsia="Times New Roman" w:hAnsi="Times New Roman" w:cs="Times New Roman"/>
          <w:bCs/>
          <w:noProof/>
        </w:rPr>
        <w:drawing>
          <wp:inline distT="0" distB="0" distL="0" distR="0" wp14:anchorId="354EA260" wp14:editId="24B81465">
            <wp:extent cx="4944117" cy="2571750"/>
            <wp:effectExtent l="0" t="0" r="8890" b="0"/>
            <wp:docPr id="24" name="Picture 2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08792" cy="2605392"/>
                    </a:xfrm>
                    <a:prstGeom prst="rect">
                      <a:avLst/>
                    </a:prstGeom>
                    <a:noFill/>
                    <a:ln>
                      <a:noFill/>
                    </a:ln>
                  </pic:spPr>
                </pic:pic>
              </a:graphicData>
            </a:graphic>
          </wp:inline>
        </w:drawing>
      </w:r>
    </w:p>
    <w:p w14:paraId="21584415" w14:textId="77777777" w:rsidR="00D02D21" w:rsidRDefault="00D02D21" w:rsidP="00714221">
      <w:pPr>
        <w:spacing w:line="240" w:lineRule="auto"/>
        <w:rPr>
          <w:rFonts w:ascii="Times New Roman" w:hAnsi="Times New Roman" w:cs="Times New Roman"/>
          <w:b/>
          <w:bCs/>
        </w:rPr>
      </w:pPr>
    </w:p>
    <w:p w14:paraId="5238A335" w14:textId="77777777" w:rsidR="00D02D21" w:rsidRPr="000709B9" w:rsidRDefault="00D02D21" w:rsidP="00714221">
      <w:pPr>
        <w:spacing w:line="240" w:lineRule="auto"/>
        <w:rPr>
          <w:rFonts w:ascii="Times New Roman" w:hAnsi="Times New Roman" w:cs="Times New Roman"/>
        </w:rPr>
      </w:pPr>
      <w:r w:rsidRPr="000709B9">
        <w:rPr>
          <w:rFonts w:ascii="Times New Roman" w:hAnsi="Times New Roman" w:cs="Times New Roman"/>
          <w:b/>
          <w:bCs/>
        </w:rPr>
        <w:t>Figure S</w:t>
      </w:r>
      <w:r>
        <w:rPr>
          <w:rFonts w:ascii="Times New Roman" w:hAnsi="Times New Roman" w:cs="Times New Roman"/>
          <w:b/>
          <w:bCs/>
        </w:rPr>
        <w:t>7</w:t>
      </w:r>
      <w:r w:rsidRPr="000709B9">
        <w:rPr>
          <w:rFonts w:ascii="Times New Roman" w:hAnsi="Times New Roman" w:cs="Times New Roman"/>
          <w:b/>
          <w:bCs/>
        </w:rPr>
        <w:t xml:space="preserve">. </w:t>
      </w:r>
      <w:r w:rsidRPr="000709B9">
        <w:rPr>
          <w:rFonts w:ascii="Times New Roman" w:hAnsi="Times New Roman" w:cs="Times New Roman"/>
          <w:b/>
        </w:rPr>
        <w:t>Native Gels of protein assemblies in MCF-7 and MCF-7-EGFR cells</w:t>
      </w:r>
      <w:r w:rsidRPr="000709B9">
        <w:rPr>
          <w:rFonts w:ascii="Times New Roman" w:hAnsi="Times New Roman" w:cs="Times New Roman"/>
          <w:bCs/>
        </w:rPr>
        <w:t xml:space="preserve">. </w:t>
      </w:r>
      <w:r w:rsidRPr="00593652">
        <w:rPr>
          <w:rFonts w:ascii="Times New Roman" w:hAnsi="Times New Roman" w:cs="Times New Roman"/>
          <w:b/>
        </w:rPr>
        <w:t>(A)</w:t>
      </w:r>
      <w:r w:rsidRPr="000709B9">
        <w:rPr>
          <w:rFonts w:ascii="Times New Roman" w:hAnsi="Times New Roman" w:cs="Times New Roman"/>
          <w:bCs/>
        </w:rPr>
        <w:t xml:space="preserve"> Native gel of MCF-7 cells. </w:t>
      </w:r>
      <w:r w:rsidRPr="00593652">
        <w:rPr>
          <w:rFonts w:ascii="Times New Roman" w:hAnsi="Times New Roman" w:cs="Times New Roman"/>
          <w:b/>
        </w:rPr>
        <w:t>(B)</w:t>
      </w:r>
      <w:r w:rsidRPr="000709B9">
        <w:rPr>
          <w:rFonts w:ascii="Times New Roman" w:hAnsi="Times New Roman" w:cs="Times New Roman"/>
          <w:bCs/>
        </w:rPr>
        <w:t xml:space="preserve"> Native gel of MCF-7-EGFR cells. </w:t>
      </w:r>
    </w:p>
    <w:p w14:paraId="61DA1054" w14:textId="77777777" w:rsidR="00D02D21" w:rsidRPr="000709B9" w:rsidRDefault="00D02D21" w:rsidP="00714221">
      <w:pPr>
        <w:shd w:val="clear" w:color="auto" w:fill="FFFFFF"/>
        <w:spacing w:after="0" w:line="240" w:lineRule="auto"/>
        <w:rPr>
          <w:rFonts w:ascii="Times New Roman" w:eastAsia="Times New Roman" w:hAnsi="Times New Roman" w:cs="Times New Roman"/>
          <w:bCs/>
        </w:rPr>
      </w:pPr>
    </w:p>
    <w:p w14:paraId="05B14BD3" w14:textId="77777777" w:rsidR="00D02D21" w:rsidRPr="000709B9" w:rsidRDefault="00D02D21" w:rsidP="00714221">
      <w:pPr>
        <w:shd w:val="clear" w:color="auto" w:fill="FFFFFF"/>
        <w:spacing w:after="0" w:line="240" w:lineRule="auto"/>
        <w:rPr>
          <w:rFonts w:ascii="Times New Roman" w:eastAsia="Times New Roman" w:hAnsi="Times New Roman" w:cs="Times New Roman"/>
          <w:bCs/>
        </w:rPr>
      </w:pPr>
      <w:r>
        <w:rPr>
          <w:rFonts w:ascii="Times New Roman" w:eastAsia="Times New Roman" w:hAnsi="Times New Roman" w:cs="Times New Roman"/>
          <w:bCs/>
          <w:noProof/>
        </w:rPr>
        <w:drawing>
          <wp:inline distT="0" distB="0" distL="0" distR="0" wp14:anchorId="44F32029" wp14:editId="3E25AAF3">
            <wp:extent cx="6845300" cy="1136650"/>
            <wp:effectExtent l="0" t="0" r="0" b="6350"/>
            <wp:docPr id="15234718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45300" cy="1136650"/>
                    </a:xfrm>
                    <a:prstGeom prst="rect">
                      <a:avLst/>
                    </a:prstGeom>
                    <a:noFill/>
                    <a:ln>
                      <a:noFill/>
                    </a:ln>
                  </pic:spPr>
                </pic:pic>
              </a:graphicData>
            </a:graphic>
          </wp:inline>
        </w:drawing>
      </w:r>
    </w:p>
    <w:p w14:paraId="7DB680F1" w14:textId="77777777" w:rsidR="00D02D21" w:rsidRDefault="00D02D21" w:rsidP="00714221">
      <w:pPr>
        <w:spacing w:line="240" w:lineRule="auto"/>
        <w:rPr>
          <w:rFonts w:ascii="Times New Roman" w:hAnsi="Times New Roman" w:cs="Times New Roman"/>
          <w:b/>
          <w:bCs/>
        </w:rPr>
      </w:pPr>
    </w:p>
    <w:p w14:paraId="5D7D8C98" w14:textId="77777777" w:rsidR="00D02D21" w:rsidRPr="000709B9" w:rsidRDefault="00D02D21" w:rsidP="00714221">
      <w:pPr>
        <w:spacing w:line="240" w:lineRule="auto"/>
        <w:rPr>
          <w:rFonts w:ascii="Times New Roman" w:hAnsi="Times New Roman" w:cs="Times New Roman"/>
        </w:rPr>
      </w:pPr>
      <w:r w:rsidRPr="000709B9">
        <w:rPr>
          <w:rFonts w:ascii="Times New Roman" w:hAnsi="Times New Roman" w:cs="Times New Roman"/>
          <w:b/>
          <w:bCs/>
        </w:rPr>
        <w:t>Figure S</w:t>
      </w:r>
      <w:r>
        <w:rPr>
          <w:rFonts w:ascii="Times New Roman" w:hAnsi="Times New Roman" w:cs="Times New Roman"/>
          <w:b/>
          <w:bCs/>
        </w:rPr>
        <w:t>8</w:t>
      </w:r>
      <w:r w:rsidRPr="000709B9">
        <w:rPr>
          <w:rFonts w:ascii="Times New Roman" w:hAnsi="Times New Roman" w:cs="Times New Roman"/>
          <w:b/>
          <w:bCs/>
        </w:rPr>
        <w:t xml:space="preserve">. Fragmentation map of SOD1 </w:t>
      </w:r>
      <w:r>
        <w:rPr>
          <w:rFonts w:ascii="Times New Roman" w:hAnsi="Times New Roman" w:cs="Times New Roman"/>
          <w:b/>
          <w:bCs/>
        </w:rPr>
        <w:t xml:space="preserve">with apo and holo fragment ions that was generated </w:t>
      </w:r>
      <w:r w:rsidRPr="000709B9">
        <w:rPr>
          <w:rFonts w:ascii="Times New Roman" w:hAnsi="Times New Roman" w:cs="Times New Roman"/>
          <w:b/>
          <w:bCs/>
        </w:rPr>
        <w:t>using TDValidator</w:t>
      </w:r>
      <w:r>
        <w:rPr>
          <w:rFonts w:ascii="Times New Roman" w:hAnsi="Times New Roman" w:cs="Times New Roman"/>
          <w:b/>
          <w:bCs/>
        </w:rPr>
        <w:t xml:space="preserve"> software</w:t>
      </w:r>
      <w:r w:rsidRPr="000709B9">
        <w:rPr>
          <w:rFonts w:ascii="Times New Roman" w:hAnsi="Times New Roman" w:cs="Times New Roman"/>
          <w:b/>
          <w:bCs/>
        </w:rPr>
        <w:t xml:space="preserve">. </w:t>
      </w:r>
    </w:p>
    <w:p w14:paraId="3487848D" w14:textId="77777777" w:rsidR="00D02D21" w:rsidRDefault="00D02D21" w:rsidP="00714221">
      <w:pPr>
        <w:spacing w:line="240" w:lineRule="auto"/>
        <w:rPr>
          <w:rFonts w:ascii="Times New Roman" w:hAnsi="Times New Roman" w:cs="Times New Roman"/>
          <w:b/>
          <w:bCs/>
        </w:rPr>
      </w:pPr>
    </w:p>
    <w:p w14:paraId="4DF4ED30" w14:textId="77777777" w:rsidR="00D02D21" w:rsidRPr="000709B9" w:rsidRDefault="00D02D21" w:rsidP="00714221">
      <w:pPr>
        <w:spacing w:line="240" w:lineRule="auto"/>
        <w:rPr>
          <w:rFonts w:ascii="Times New Roman" w:hAnsi="Times New Roman" w:cs="Times New Roman"/>
          <w:b/>
          <w:bCs/>
        </w:rPr>
      </w:pPr>
    </w:p>
    <w:p w14:paraId="483C2DB8" w14:textId="77777777" w:rsidR="00D02D21" w:rsidRDefault="00D02D21" w:rsidP="00E36802">
      <w:pPr>
        <w:spacing w:line="24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461BEEE3" wp14:editId="38A866A9">
            <wp:extent cx="1448516" cy="1792117"/>
            <wp:effectExtent l="0" t="0" r="0" b="0"/>
            <wp:docPr id="18" name="Picture 1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 schematic&#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85185" cy="1837485"/>
                    </a:xfrm>
                    <a:prstGeom prst="rect">
                      <a:avLst/>
                    </a:prstGeom>
                  </pic:spPr>
                </pic:pic>
              </a:graphicData>
            </a:graphic>
          </wp:inline>
        </w:drawing>
      </w:r>
    </w:p>
    <w:p w14:paraId="47B2B92B" w14:textId="77777777" w:rsidR="00D02D21" w:rsidRDefault="00D02D21" w:rsidP="00714221">
      <w:pPr>
        <w:spacing w:after="0" w:line="240" w:lineRule="auto"/>
        <w:rPr>
          <w:rFonts w:ascii="Times New Roman" w:hAnsi="Times New Roman" w:cs="Times New Roman"/>
          <w:b/>
          <w:bCs/>
        </w:rPr>
      </w:pPr>
    </w:p>
    <w:p w14:paraId="2E7691D8" w14:textId="77777777" w:rsidR="00D02D21" w:rsidRDefault="00D02D21" w:rsidP="00714221">
      <w:pPr>
        <w:spacing w:after="0" w:line="240" w:lineRule="auto"/>
        <w:rPr>
          <w:rFonts w:ascii="Times New Roman" w:hAnsi="Times New Roman" w:cs="Times New Roman"/>
          <w:b/>
          <w:bCs/>
        </w:rPr>
      </w:pPr>
      <w:r>
        <w:rPr>
          <w:rFonts w:ascii="Times New Roman" w:hAnsi="Times New Roman" w:cs="Times New Roman"/>
          <w:b/>
          <w:bCs/>
        </w:rPr>
        <w:t xml:space="preserve">Figure S9. Western blot of NUTF2 protein expression in MCF-7 and MCF-7-EGFR cells. </w:t>
      </w:r>
    </w:p>
    <w:p w14:paraId="15C5E28A" w14:textId="77777777" w:rsidR="00D02D21" w:rsidRPr="000709B9" w:rsidRDefault="00D02D21" w:rsidP="00714221">
      <w:pPr>
        <w:spacing w:line="240" w:lineRule="auto"/>
        <w:rPr>
          <w:rFonts w:ascii="Times New Roman" w:hAnsi="Times New Roman" w:cs="Times New Roman"/>
          <w:b/>
          <w:bCs/>
        </w:rPr>
      </w:pPr>
    </w:p>
    <w:p w14:paraId="63907E27" w14:textId="77777777" w:rsidR="00D02D21" w:rsidRDefault="00D02D21" w:rsidP="00714221">
      <w:pPr>
        <w:spacing w:line="240" w:lineRule="auto"/>
        <w:rPr>
          <w:rFonts w:ascii="Times New Roman" w:hAnsi="Times New Roman" w:cs="Times New Roman"/>
          <w:b/>
          <w:bCs/>
        </w:rPr>
      </w:pPr>
      <w:r w:rsidRPr="000709B9">
        <w:rPr>
          <w:rFonts w:ascii="Times New Roman" w:hAnsi="Times New Roman" w:cs="Times New Roman"/>
          <w:b/>
          <w:bCs/>
          <w:noProof/>
        </w:rPr>
        <w:drawing>
          <wp:inline distT="0" distB="0" distL="0" distR="0" wp14:anchorId="2F774653" wp14:editId="0DD1AB55">
            <wp:extent cx="5015986" cy="3055310"/>
            <wp:effectExtent l="0" t="0" r="0" b="0"/>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43204" cy="3071889"/>
                    </a:xfrm>
                    <a:prstGeom prst="rect">
                      <a:avLst/>
                    </a:prstGeom>
                    <a:noFill/>
                    <a:ln>
                      <a:noFill/>
                    </a:ln>
                  </pic:spPr>
                </pic:pic>
              </a:graphicData>
            </a:graphic>
          </wp:inline>
        </w:drawing>
      </w:r>
    </w:p>
    <w:p w14:paraId="39449CF3" w14:textId="77777777" w:rsidR="00D02D21" w:rsidRPr="000709B9" w:rsidRDefault="00D02D21" w:rsidP="00714221">
      <w:pPr>
        <w:spacing w:line="240" w:lineRule="auto"/>
        <w:rPr>
          <w:rFonts w:ascii="Times New Roman" w:hAnsi="Times New Roman" w:cs="Times New Roman"/>
          <w:b/>
          <w:bCs/>
          <w:noProof/>
        </w:rPr>
      </w:pPr>
      <w:r w:rsidRPr="000709B9">
        <w:rPr>
          <w:rFonts w:ascii="Times New Roman" w:hAnsi="Times New Roman" w:cs="Times New Roman"/>
          <w:b/>
          <w:bCs/>
        </w:rPr>
        <w:t>Figure S</w:t>
      </w:r>
      <w:r>
        <w:rPr>
          <w:rFonts w:ascii="Times New Roman" w:hAnsi="Times New Roman" w:cs="Times New Roman"/>
          <w:b/>
          <w:bCs/>
        </w:rPr>
        <w:t>10</w:t>
      </w:r>
      <w:r w:rsidRPr="000709B9">
        <w:rPr>
          <w:rFonts w:ascii="Times New Roman" w:hAnsi="Times New Roman" w:cs="Times New Roman"/>
          <w:b/>
          <w:bCs/>
        </w:rPr>
        <w:t>. MS2 spectra that were generated by TDValidator with overlayed isotopic distribution of the NUFT2 proteoforms in MCF-7 and MCF-7-EGFR cells</w:t>
      </w:r>
      <w:r w:rsidRPr="000709B9">
        <w:rPr>
          <w:rFonts w:ascii="Times New Roman" w:hAnsi="Times New Roman" w:cs="Times New Roman"/>
          <w:b/>
          <w:bCs/>
          <w:i/>
          <w:iCs/>
        </w:rPr>
        <w:t>.</w:t>
      </w:r>
      <w:r w:rsidRPr="000709B9">
        <w:rPr>
          <w:rFonts w:ascii="Times New Roman" w:hAnsi="Times New Roman" w:cs="Times New Roman"/>
        </w:rPr>
        <w:t xml:space="preserve"> </w:t>
      </w:r>
      <w:r w:rsidRPr="00593652">
        <w:rPr>
          <w:rFonts w:ascii="Times New Roman" w:hAnsi="Times New Roman" w:cs="Times New Roman"/>
          <w:b/>
          <w:bCs/>
        </w:rPr>
        <w:t>(A)</w:t>
      </w:r>
      <w:r w:rsidRPr="000709B9">
        <w:rPr>
          <w:rFonts w:ascii="Times New Roman" w:hAnsi="Times New Roman" w:cs="Times New Roman"/>
        </w:rPr>
        <w:t xml:space="preserve"> NUFT2 proteoforms in MCF-7 cells. </w:t>
      </w:r>
      <w:r w:rsidRPr="00593652">
        <w:rPr>
          <w:rFonts w:ascii="Times New Roman" w:hAnsi="Times New Roman" w:cs="Times New Roman"/>
          <w:b/>
          <w:bCs/>
        </w:rPr>
        <w:t>(B)</w:t>
      </w:r>
      <w:r w:rsidRPr="000709B9">
        <w:rPr>
          <w:rFonts w:ascii="Times New Roman" w:hAnsi="Times New Roman" w:cs="Times New Roman"/>
        </w:rPr>
        <w:t xml:space="preserve"> NUFT2 proteoforms in MCF-7-EGFR cells</w:t>
      </w:r>
      <w:r w:rsidRPr="000709B9">
        <w:rPr>
          <w:rFonts w:ascii="Times New Roman" w:hAnsi="Times New Roman" w:cs="Times New Roman"/>
          <w:i/>
          <w:iCs/>
        </w:rPr>
        <w:t>.</w:t>
      </w:r>
    </w:p>
    <w:p w14:paraId="1845D6A5" w14:textId="77777777" w:rsidR="00D02D21" w:rsidRPr="000709B9" w:rsidRDefault="00D02D21" w:rsidP="00714221">
      <w:pPr>
        <w:spacing w:line="240" w:lineRule="auto"/>
        <w:rPr>
          <w:rFonts w:ascii="Times New Roman" w:hAnsi="Times New Roman" w:cs="Times New Roman"/>
          <w:b/>
          <w:bCs/>
        </w:rPr>
      </w:pPr>
    </w:p>
    <w:p w14:paraId="4A482C8A" w14:textId="77777777" w:rsidR="00D02D21" w:rsidRPr="000709B9" w:rsidRDefault="00D02D21" w:rsidP="00714221">
      <w:pPr>
        <w:spacing w:line="240" w:lineRule="auto"/>
        <w:rPr>
          <w:rFonts w:ascii="Times New Roman" w:hAnsi="Times New Roman" w:cs="Times New Roman"/>
          <w:b/>
          <w:bCs/>
        </w:rPr>
      </w:pPr>
    </w:p>
    <w:p w14:paraId="4DE1979A" w14:textId="77777777" w:rsidR="00D02D21" w:rsidRPr="000709B9" w:rsidRDefault="00D02D21" w:rsidP="00714221">
      <w:pPr>
        <w:spacing w:line="240" w:lineRule="auto"/>
        <w:rPr>
          <w:rFonts w:ascii="Times New Roman" w:hAnsi="Times New Roman" w:cs="Times New Roman"/>
          <w:b/>
          <w:bCs/>
        </w:rPr>
      </w:pPr>
      <w:r>
        <w:rPr>
          <w:rFonts w:ascii="Times New Roman" w:hAnsi="Times New Roman" w:cs="Times New Roman"/>
          <w:b/>
          <w:bCs/>
          <w:noProof/>
        </w:rPr>
        <w:drawing>
          <wp:inline distT="0" distB="0" distL="0" distR="0" wp14:anchorId="3FA692CD" wp14:editId="745AA1C7">
            <wp:extent cx="6438900" cy="2920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53849" cy="2927581"/>
                    </a:xfrm>
                    <a:prstGeom prst="rect">
                      <a:avLst/>
                    </a:prstGeom>
                    <a:noFill/>
                    <a:ln>
                      <a:noFill/>
                    </a:ln>
                  </pic:spPr>
                </pic:pic>
              </a:graphicData>
            </a:graphic>
          </wp:inline>
        </w:drawing>
      </w:r>
    </w:p>
    <w:p w14:paraId="6281D73E" w14:textId="77777777" w:rsidR="00D02D21" w:rsidRPr="000709B9"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Figure S</w:t>
      </w:r>
      <w:r>
        <w:rPr>
          <w:rFonts w:ascii="Times New Roman" w:hAnsi="Times New Roman" w:cs="Times New Roman"/>
          <w:b/>
          <w:bCs/>
        </w:rPr>
        <w:t>11</w:t>
      </w:r>
      <w:r w:rsidRPr="000709B9">
        <w:rPr>
          <w:rFonts w:ascii="Times New Roman" w:hAnsi="Times New Roman" w:cs="Times New Roman"/>
          <w:b/>
          <w:bCs/>
        </w:rPr>
        <w:t xml:space="preserve">. Protein-NUFT2 interactions in MCF-7 and MCF-7-EGFR cells. </w:t>
      </w:r>
      <w:r w:rsidRPr="00EF74B8">
        <w:rPr>
          <w:rFonts w:ascii="Times New Roman" w:hAnsi="Times New Roman" w:cs="Times New Roman"/>
          <w:b/>
          <w:bCs/>
        </w:rPr>
        <w:t>(A)</w:t>
      </w:r>
      <w:r w:rsidRPr="000709B9">
        <w:rPr>
          <w:rFonts w:ascii="Times New Roman" w:hAnsi="Times New Roman" w:cs="Times New Roman"/>
        </w:rPr>
        <w:t xml:space="preserve"> Native MS spectra of the SOD1-NUFT2 and DDT-NUFT2 interactions in MCF-7 and MCF-7-EGFR cells. </w:t>
      </w:r>
      <w:r w:rsidRPr="00EF74B8">
        <w:rPr>
          <w:rFonts w:ascii="Times New Roman" w:hAnsi="Times New Roman" w:cs="Times New Roman"/>
          <w:b/>
          <w:bCs/>
        </w:rPr>
        <w:t>(B)</w:t>
      </w:r>
      <w:r w:rsidRPr="000709B9">
        <w:rPr>
          <w:rFonts w:ascii="Times New Roman" w:hAnsi="Times New Roman" w:cs="Times New Roman"/>
        </w:rPr>
        <w:t xml:space="preserve"> MS2 spectrum of the SOD1, DDT, NUFT2 species in MCF-7 cells. </w:t>
      </w:r>
      <w:r w:rsidRPr="00567EDE">
        <w:rPr>
          <w:rFonts w:ascii="Times New Roman" w:hAnsi="Times New Roman" w:cs="Times New Roman"/>
          <w:b/>
          <w:bCs/>
        </w:rPr>
        <w:t>(C)</w:t>
      </w:r>
      <w:r w:rsidRPr="000709B9">
        <w:rPr>
          <w:rFonts w:ascii="Times New Roman" w:hAnsi="Times New Roman" w:cs="Times New Roman"/>
        </w:rPr>
        <w:t xml:space="preserve"> MS2 spectrum of the SOD1, DDT, NUFT2 monomeric subunits in MCF-7-EGFR cells.</w:t>
      </w:r>
      <w:r w:rsidRPr="000709B9">
        <w:rPr>
          <w:rFonts w:ascii="Times New Roman" w:hAnsi="Times New Roman" w:cs="Times New Roman"/>
          <w:b/>
          <w:bCs/>
        </w:rPr>
        <w:t xml:space="preserve">   </w:t>
      </w:r>
    </w:p>
    <w:p w14:paraId="2A2B5FBC" w14:textId="77777777" w:rsidR="00D02D21" w:rsidRPr="000709B9" w:rsidRDefault="00D02D21" w:rsidP="00714221">
      <w:pPr>
        <w:spacing w:line="240" w:lineRule="auto"/>
        <w:rPr>
          <w:rFonts w:ascii="Times New Roman" w:hAnsi="Times New Roman" w:cs="Times New Roman"/>
          <w:b/>
          <w:bCs/>
        </w:rPr>
      </w:pPr>
      <w:r>
        <w:rPr>
          <w:rFonts w:ascii="Times New Roman" w:hAnsi="Times New Roman" w:cs="Times New Roman"/>
          <w:b/>
          <w:bCs/>
          <w:noProof/>
        </w:rPr>
        <w:drawing>
          <wp:inline distT="0" distB="0" distL="0" distR="0" wp14:anchorId="53FD514B" wp14:editId="382489C8">
            <wp:extent cx="6570625" cy="1111250"/>
            <wp:effectExtent l="0" t="0" r="1905" b="0"/>
            <wp:docPr id="19" name="Picture 1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575504" cy="1112075"/>
                    </a:xfrm>
                    <a:prstGeom prst="rect">
                      <a:avLst/>
                    </a:prstGeom>
                  </pic:spPr>
                </pic:pic>
              </a:graphicData>
            </a:graphic>
          </wp:inline>
        </w:drawing>
      </w:r>
    </w:p>
    <w:p w14:paraId="5D046C96" w14:textId="77777777" w:rsidR="00D02D21" w:rsidRDefault="00D02D21" w:rsidP="00714221">
      <w:pPr>
        <w:spacing w:line="240" w:lineRule="auto"/>
        <w:rPr>
          <w:rFonts w:ascii="Times New Roman" w:hAnsi="Times New Roman" w:cs="Times New Roman"/>
        </w:rPr>
      </w:pPr>
      <w:r w:rsidRPr="000709B9">
        <w:rPr>
          <w:rFonts w:ascii="Times New Roman" w:hAnsi="Times New Roman" w:cs="Times New Roman"/>
          <w:b/>
          <w:bCs/>
        </w:rPr>
        <w:t>Figure S1</w:t>
      </w:r>
      <w:r>
        <w:rPr>
          <w:rFonts w:ascii="Times New Roman" w:hAnsi="Times New Roman" w:cs="Times New Roman"/>
          <w:b/>
          <w:bCs/>
        </w:rPr>
        <w:t>2</w:t>
      </w:r>
      <w:r w:rsidRPr="000709B9">
        <w:rPr>
          <w:rFonts w:ascii="Times New Roman" w:hAnsi="Times New Roman" w:cs="Times New Roman"/>
          <w:b/>
          <w:bCs/>
        </w:rPr>
        <w:t>.</w:t>
      </w:r>
      <w:r w:rsidRPr="000709B9">
        <w:rPr>
          <w:rFonts w:ascii="Times New Roman" w:hAnsi="Times New Roman" w:cs="Times New Roman"/>
        </w:rPr>
        <w:t xml:space="preserve"> </w:t>
      </w:r>
      <w:r w:rsidRPr="00CA0137">
        <w:rPr>
          <w:rFonts w:ascii="Times New Roman" w:hAnsi="Times New Roman" w:cs="Times New Roman"/>
          <w:b/>
          <w:bCs/>
        </w:rPr>
        <w:t>Sequence alignment of NUTF2 homologs.</w:t>
      </w:r>
      <w:r w:rsidRPr="000709B9">
        <w:rPr>
          <w:rFonts w:ascii="Times New Roman" w:hAnsi="Times New Roman" w:cs="Times New Roman"/>
        </w:rPr>
        <w:t xml:space="preserve"> The PTM sites K4, K55, and K63 are highlighted.</w:t>
      </w:r>
    </w:p>
    <w:p w14:paraId="0DC6A6AA" w14:textId="77777777" w:rsidR="00D02D21" w:rsidRDefault="00D02D21" w:rsidP="00714221">
      <w:pPr>
        <w:spacing w:line="240" w:lineRule="auto"/>
        <w:rPr>
          <w:rFonts w:ascii="Times New Roman" w:hAnsi="Times New Roman" w:cs="Times New Roman"/>
        </w:rPr>
      </w:pPr>
    </w:p>
    <w:p w14:paraId="18F47804" w14:textId="77777777" w:rsidR="00D02D21" w:rsidRDefault="00D02D21" w:rsidP="00714221">
      <w:pPr>
        <w:spacing w:line="240" w:lineRule="auto"/>
        <w:rPr>
          <w:rFonts w:ascii="Times New Roman" w:hAnsi="Times New Roman" w:cs="Times New Roman"/>
          <w:b/>
          <w:bCs/>
        </w:rPr>
      </w:pPr>
      <w:r>
        <w:rPr>
          <w:rFonts w:ascii="Times New Roman" w:hAnsi="Times New Roman" w:cs="Times New Roman"/>
          <w:b/>
          <w:bCs/>
          <w:noProof/>
        </w:rPr>
        <w:drawing>
          <wp:inline distT="0" distB="0" distL="0" distR="0" wp14:anchorId="6CC687D5" wp14:editId="1755EFD7">
            <wp:extent cx="5777105" cy="2547851"/>
            <wp:effectExtent l="0" t="0" r="0" b="508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96471" cy="2556392"/>
                    </a:xfrm>
                    <a:prstGeom prst="rect">
                      <a:avLst/>
                    </a:prstGeom>
                  </pic:spPr>
                </pic:pic>
              </a:graphicData>
            </a:graphic>
          </wp:inline>
        </w:drawing>
      </w:r>
    </w:p>
    <w:p w14:paraId="75ACE407" w14:textId="77777777" w:rsidR="00D02D21" w:rsidRDefault="00D02D21" w:rsidP="00714221">
      <w:pPr>
        <w:spacing w:line="240" w:lineRule="auto"/>
        <w:rPr>
          <w:rFonts w:ascii="Times New Roman" w:hAnsi="Times New Roman" w:cs="Times New Roman"/>
        </w:rPr>
      </w:pPr>
      <w:r>
        <w:rPr>
          <w:rFonts w:ascii="Times New Roman" w:hAnsi="Times New Roman" w:cs="Times New Roman"/>
          <w:b/>
          <w:bCs/>
        </w:rPr>
        <w:t xml:space="preserve">Figure S13. Expression of HA-NUTF2 in MCF-7 cells. </w:t>
      </w:r>
      <w:r w:rsidRPr="000709B9">
        <w:rPr>
          <w:rFonts w:ascii="Times New Roman" w:hAnsi="Times New Roman" w:cs="Times New Roman"/>
        </w:rPr>
        <w:t>(</w:t>
      </w:r>
      <w:r>
        <w:rPr>
          <w:rFonts w:ascii="Times New Roman" w:hAnsi="Times New Roman" w:cs="Times New Roman"/>
          <w:b/>
          <w:bCs/>
        </w:rPr>
        <w:t>A</w:t>
      </w:r>
      <w:r w:rsidRPr="000709B9">
        <w:rPr>
          <w:rFonts w:ascii="Times New Roman" w:hAnsi="Times New Roman" w:cs="Times New Roman"/>
        </w:rPr>
        <w:t xml:space="preserve">) Exogenous </w:t>
      </w:r>
      <w:r>
        <w:rPr>
          <w:rFonts w:ascii="Times New Roman" w:hAnsi="Times New Roman" w:cs="Times New Roman"/>
        </w:rPr>
        <w:t xml:space="preserve">and endogenous </w:t>
      </w:r>
      <w:r w:rsidRPr="000709B9">
        <w:rPr>
          <w:rFonts w:ascii="Times New Roman" w:hAnsi="Times New Roman" w:cs="Times New Roman"/>
        </w:rPr>
        <w:t xml:space="preserve">NUTF2 levels in stable </w:t>
      </w:r>
      <w:r w:rsidRPr="004E7233">
        <w:rPr>
          <w:rFonts w:ascii="Times New Roman" w:hAnsi="Times New Roman" w:cs="Times New Roman"/>
        </w:rPr>
        <w:t>MCF7 cells</w:t>
      </w:r>
      <w:r w:rsidRPr="000709B9">
        <w:rPr>
          <w:rFonts w:ascii="Times New Roman" w:hAnsi="Times New Roman" w:cs="Times New Roman"/>
        </w:rPr>
        <w:t>.</w:t>
      </w:r>
      <w:r w:rsidRPr="004E7233">
        <w:rPr>
          <w:rFonts w:ascii="Times New Roman" w:hAnsi="Times New Roman" w:cs="Times New Roman"/>
        </w:rPr>
        <w:t xml:space="preserve"> </w:t>
      </w:r>
      <w:r w:rsidRPr="000709B9">
        <w:rPr>
          <w:rFonts w:ascii="Times New Roman" w:hAnsi="Times New Roman" w:cs="Times New Roman"/>
        </w:rPr>
        <w:t xml:space="preserve">Whole cell lysates </w:t>
      </w:r>
      <w:r w:rsidRPr="004E7233">
        <w:rPr>
          <w:rFonts w:ascii="Times New Roman" w:hAnsi="Times New Roman" w:cs="Times New Roman"/>
        </w:rPr>
        <w:t>were analyzed by western blot.</w:t>
      </w:r>
      <w:r>
        <w:rPr>
          <w:rFonts w:ascii="Times New Roman" w:hAnsi="Times New Roman" w:cs="Times New Roman"/>
        </w:rPr>
        <w:t xml:space="preserve"> </w:t>
      </w:r>
      <w:r w:rsidRPr="004E7233">
        <w:rPr>
          <w:rFonts w:ascii="Times New Roman" w:hAnsi="Times New Roman" w:cs="Times New Roman"/>
        </w:rPr>
        <w:t>(</w:t>
      </w:r>
      <w:r>
        <w:rPr>
          <w:rFonts w:ascii="Times New Roman" w:hAnsi="Times New Roman" w:cs="Times New Roman"/>
          <w:b/>
          <w:bCs/>
        </w:rPr>
        <w:t>B-C</w:t>
      </w:r>
      <w:r w:rsidRPr="004E7233">
        <w:rPr>
          <w:rFonts w:ascii="Times New Roman" w:hAnsi="Times New Roman" w:cs="Times New Roman"/>
        </w:rPr>
        <w:t xml:space="preserve">) </w:t>
      </w:r>
      <w:r>
        <w:rPr>
          <w:rFonts w:ascii="Times New Roman" w:hAnsi="Times New Roman" w:cs="Times New Roman"/>
        </w:rPr>
        <w:t>Ex</w:t>
      </w:r>
      <w:r w:rsidRPr="000709B9">
        <w:rPr>
          <w:rFonts w:ascii="Times New Roman" w:hAnsi="Times New Roman" w:cs="Times New Roman"/>
        </w:rPr>
        <w:t xml:space="preserve">ogenous NUTF2 levels in stable MCF7 cells. </w:t>
      </w:r>
      <w:r w:rsidRPr="000709B9">
        <w:rPr>
          <w:rFonts w:ascii="Times New Roman" w:hAnsi="Times New Roman" w:cs="Times New Roman"/>
          <w:bCs/>
        </w:rPr>
        <w:t xml:space="preserve">Whole cell lysates </w:t>
      </w:r>
      <w:r w:rsidRPr="004E7233">
        <w:rPr>
          <w:rFonts w:ascii="Times New Roman" w:hAnsi="Times New Roman" w:cs="Times New Roman"/>
          <w:bCs/>
        </w:rPr>
        <w:t>were analyzed by western blot.</w:t>
      </w:r>
      <w:r>
        <w:rPr>
          <w:rFonts w:ascii="Times New Roman" w:hAnsi="Times New Roman" w:cs="Times New Roman"/>
          <w:bCs/>
        </w:rPr>
        <w:t xml:space="preserve"> For the HA tag. Empty, empty vector</w:t>
      </w:r>
      <w:r>
        <w:rPr>
          <w:rFonts w:ascii="Times New Roman" w:hAnsi="Times New Roman" w:cs="Times New Roman"/>
        </w:rPr>
        <w:t xml:space="preserve">. Quantitation was performed with Image J. </w:t>
      </w:r>
      <w:r w:rsidRPr="000709B9">
        <w:rPr>
          <w:rFonts w:ascii="Times New Roman" w:hAnsi="Times New Roman" w:cs="Times New Roman"/>
        </w:rPr>
        <w:t>(</w:t>
      </w:r>
      <w:r>
        <w:rPr>
          <w:rFonts w:ascii="Times New Roman" w:hAnsi="Times New Roman" w:cs="Times New Roman"/>
          <w:b/>
          <w:bCs/>
        </w:rPr>
        <w:t>D</w:t>
      </w:r>
      <w:r w:rsidRPr="000709B9">
        <w:rPr>
          <w:rFonts w:ascii="Times New Roman" w:hAnsi="Times New Roman" w:cs="Times New Roman"/>
        </w:rPr>
        <w:t>) Endogenous Ran levels in stable MCF7 cells. Whole cell lysates were analyzed by western blot. (</w:t>
      </w:r>
      <w:r>
        <w:rPr>
          <w:rFonts w:ascii="Times New Roman" w:hAnsi="Times New Roman" w:cs="Times New Roman"/>
          <w:b/>
          <w:bCs/>
        </w:rPr>
        <w:t>E</w:t>
      </w:r>
      <w:r w:rsidRPr="000709B9">
        <w:rPr>
          <w:rFonts w:ascii="Times New Roman" w:hAnsi="Times New Roman" w:cs="Times New Roman"/>
        </w:rPr>
        <w:t xml:space="preserve">) </w:t>
      </w:r>
      <w:r>
        <w:rPr>
          <w:rFonts w:ascii="Times New Roman" w:hAnsi="Times New Roman" w:cs="Times New Roman"/>
        </w:rPr>
        <w:t xml:space="preserve">ChIP-PCR at the </w:t>
      </w:r>
      <w:r w:rsidRPr="007F4A87">
        <w:rPr>
          <w:rFonts w:ascii="Times New Roman" w:hAnsi="Times New Roman" w:cs="Times New Roman"/>
          <w:i/>
          <w:iCs/>
        </w:rPr>
        <w:t>ROCK2</w:t>
      </w:r>
      <w:r>
        <w:rPr>
          <w:rFonts w:ascii="Times New Roman" w:hAnsi="Times New Roman" w:cs="Times New Roman"/>
        </w:rPr>
        <w:t xml:space="preserve"> promoter: NUTF2 expressing</w:t>
      </w:r>
      <w:r w:rsidRPr="006B2EEA">
        <w:rPr>
          <w:rFonts w:ascii="Times New Roman" w:hAnsi="Times New Roman" w:cs="Times New Roman"/>
        </w:rPr>
        <w:t xml:space="preserve"> MCF-7 cells treated for 1 h with vehicle or 1 µM 4OH were compared by qChIP assay using ERα</w:t>
      </w:r>
      <w:r>
        <w:rPr>
          <w:rFonts w:ascii="Times New Roman" w:hAnsi="Times New Roman" w:cs="Times New Roman"/>
        </w:rPr>
        <w:t xml:space="preserve"> and </w:t>
      </w:r>
      <w:r w:rsidRPr="006B2EEA">
        <w:rPr>
          <w:rFonts w:ascii="Times New Roman" w:hAnsi="Times New Roman" w:cs="Times New Roman"/>
        </w:rPr>
        <w:t>HA-tag antibodies.</w:t>
      </w:r>
    </w:p>
    <w:p w14:paraId="04B4D1B0" w14:textId="77777777" w:rsidR="00D02D21" w:rsidRDefault="00D02D21" w:rsidP="00714221">
      <w:pPr>
        <w:spacing w:line="240" w:lineRule="auto"/>
        <w:rPr>
          <w:rFonts w:ascii="Times New Roman" w:hAnsi="Times New Roman" w:cs="Times New Roman"/>
          <w:b/>
        </w:rPr>
      </w:pPr>
      <w:r>
        <w:rPr>
          <w:rFonts w:ascii="Times New Roman" w:hAnsi="Times New Roman" w:cs="Times New Roman"/>
          <w:b/>
          <w:noProof/>
        </w:rPr>
        <w:drawing>
          <wp:inline distT="0" distB="0" distL="0" distR="0" wp14:anchorId="56DECF84" wp14:editId="3CCBCE93">
            <wp:extent cx="6253475" cy="5676900"/>
            <wp:effectExtent l="0" t="0" r="0" b="0"/>
            <wp:docPr id="13" name="Picture 13"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Background pattern&#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295055" cy="5714646"/>
                    </a:xfrm>
                    <a:prstGeom prst="rect">
                      <a:avLst/>
                    </a:prstGeom>
                  </pic:spPr>
                </pic:pic>
              </a:graphicData>
            </a:graphic>
          </wp:inline>
        </w:drawing>
      </w:r>
    </w:p>
    <w:p w14:paraId="27DD0B34" w14:textId="77777777" w:rsidR="00D02D21" w:rsidRDefault="00D02D21" w:rsidP="00714221">
      <w:pPr>
        <w:spacing w:line="240" w:lineRule="auto"/>
        <w:rPr>
          <w:rFonts w:ascii="Times New Roman" w:hAnsi="Times New Roman" w:cs="Times New Roman"/>
          <w:b/>
        </w:rPr>
      </w:pPr>
      <w:r>
        <w:rPr>
          <w:rFonts w:ascii="Times New Roman" w:hAnsi="Times New Roman" w:cs="Times New Roman"/>
          <w:b/>
        </w:rPr>
        <w:t>Figure S14. Confocal Microscopy of MCF-7</w:t>
      </w:r>
      <w:r>
        <w:rPr>
          <w:rFonts w:ascii="Times New Roman" w:hAnsi="Times New Roman" w:cs="Times New Roman"/>
          <w:b/>
        </w:rPr>
        <w:softHyphen/>
        <w:t>–NUTF2 stable cell lines</w:t>
      </w:r>
      <w:r>
        <w:rPr>
          <w:rFonts w:ascii="Times New Roman" w:hAnsi="Times New Roman" w:cs="Times New Roman"/>
          <w:bCs/>
        </w:rPr>
        <w:t>. Cells were fixed, permeabilized and stained with DAPI or antibodies against the HA-tagged NUTF2 plasmid or ER</w:t>
      </w:r>
      <w:r>
        <w:rPr>
          <w:rFonts w:ascii="Times New Roman" w:hAnsi="Times New Roman" w:cs="Times New Roman"/>
          <w:bCs/>
        </w:rPr>
        <w:sym w:font="Symbol" w:char="F061"/>
      </w:r>
      <w:r>
        <w:rPr>
          <w:rFonts w:ascii="Times New Roman" w:hAnsi="Times New Roman" w:cs="Times New Roman"/>
          <w:bCs/>
        </w:rPr>
        <w:t xml:space="preserve">. </w:t>
      </w:r>
      <w:r>
        <w:rPr>
          <w:rFonts w:ascii="Times New Roman" w:hAnsi="Times New Roman" w:cs="Times New Roman"/>
          <w:b/>
        </w:rPr>
        <w:br w:type="page"/>
      </w:r>
    </w:p>
    <w:p w14:paraId="6603A18E" w14:textId="77777777" w:rsidR="00D02D21" w:rsidRDefault="00D02D21" w:rsidP="00714221">
      <w:pPr>
        <w:spacing w:line="240" w:lineRule="auto"/>
      </w:pPr>
      <w:r>
        <w:rPr>
          <w:noProof/>
        </w:rPr>
        <w:drawing>
          <wp:inline distT="0" distB="0" distL="0" distR="0" wp14:anchorId="71C0AC26" wp14:editId="07992A57">
            <wp:extent cx="5619750" cy="5035560"/>
            <wp:effectExtent l="0" t="0" r="0" b="0"/>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30809" cy="5045469"/>
                    </a:xfrm>
                    <a:prstGeom prst="rect">
                      <a:avLst/>
                    </a:prstGeom>
                  </pic:spPr>
                </pic:pic>
              </a:graphicData>
            </a:graphic>
          </wp:inline>
        </w:drawing>
      </w:r>
    </w:p>
    <w:p w14:paraId="3459B25B" w14:textId="77777777" w:rsidR="00D02D21" w:rsidRPr="00EF74B8" w:rsidRDefault="00D02D21" w:rsidP="00714221">
      <w:pPr>
        <w:spacing w:line="240" w:lineRule="auto"/>
        <w:rPr>
          <w:rFonts w:ascii="Times New Roman" w:hAnsi="Times New Roman" w:cs="Times New Roman"/>
        </w:rPr>
      </w:pPr>
      <w:r w:rsidRPr="00EF74B8">
        <w:rPr>
          <w:rFonts w:ascii="Times New Roman" w:hAnsi="Times New Roman" w:cs="Times New Roman"/>
          <w:b/>
          <w:bCs/>
        </w:rPr>
        <w:t>Figure S15</w:t>
      </w:r>
      <w:r>
        <w:rPr>
          <w:rFonts w:ascii="Times New Roman" w:hAnsi="Times New Roman" w:cs="Times New Roman"/>
          <w:b/>
          <w:bCs/>
        </w:rPr>
        <w:t>.</w:t>
      </w:r>
      <w:r w:rsidRPr="00EF74B8">
        <w:rPr>
          <w:rFonts w:ascii="Times New Roman" w:hAnsi="Times New Roman" w:cs="Times New Roman"/>
          <w:b/>
          <w:bCs/>
        </w:rPr>
        <w:t xml:space="preserve"> Gene set enrichment analysis of NUTF2 expressing/empty vector expressing MCF-7 cells. </w:t>
      </w:r>
    </w:p>
    <w:p w14:paraId="701C2ADE" w14:textId="77777777" w:rsidR="00D02D21" w:rsidRDefault="00D02D21" w:rsidP="00714221">
      <w:pPr>
        <w:spacing w:line="240" w:lineRule="auto"/>
      </w:pPr>
    </w:p>
    <w:p w14:paraId="03A57060" w14:textId="77777777" w:rsidR="00D02D21" w:rsidRDefault="00D02D21" w:rsidP="00714221">
      <w:pPr>
        <w:spacing w:line="240" w:lineRule="auto"/>
      </w:pPr>
    </w:p>
    <w:p w14:paraId="7CD4D1BD" w14:textId="77777777" w:rsidR="00D02D21" w:rsidRDefault="00D02D21" w:rsidP="00714221">
      <w:pPr>
        <w:spacing w:line="240" w:lineRule="auto"/>
        <w:rPr>
          <w:b/>
          <w:bCs/>
        </w:rPr>
      </w:pPr>
      <w:r>
        <w:rPr>
          <w:b/>
          <w:bCs/>
          <w:noProof/>
        </w:rPr>
        <w:drawing>
          <wp:inline distT="0" distB="0" distL="0" distR="0" wp14:anchorId="19F9FAE3" wp14:editId="261AA18B">
            <wp:extent cx="5943600" cy="2039620"/>
            <wp:effectExtent l="0" t="0" r="1905" b="0"/>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2039620"/>
                    </a:xfrm>
                    <a:prstGeom prst="rect">
                      <a:avLst/>
                    </a:prstGeom>
                  </pic:spPr>
                </pic:pic>
              </a:graphicData>
            </a:graphic>
          </wp:inline>
        </w:drawing>
      </w:r>
    </w:p>
    <w:p w14:paraId="0B7F28B7" w14:textId="77777777" w:rsidR="00D02D21" w:rsidRDefault="00D02D21" w:rsidP="00714221">
      <w:pPr>
        <w:spacing w:line="240" w:lineRule="auto"/>
        <w:rPr>
          <w:rFonts w:ascii="Times New Roman" w:hAnsi="Times New Roman" w:cs="Times New Roman"/>
        </w:rPr>
      </w:pPr>
      <w:r w:rsidRPr="00EF74B8">
        <w:rPr>
          <w:rFonts w:ascii="Times New Roman" w:hAnsi="Times New Roman" w:cs="Times New Roman"/>
          <w:b/>
          <w:bCs/>
        </w:rPr>
        <w:t xml:space="preserve">Figure S16. Genes regulated by NUTF2 and estradiol (E2). </w:t>
      </w:r>
      <w:r w:rsidRPr="00EF74B8">
        <w:rPr>
          <w:rFonts w:ascii="Times New Roman" w:hAnsi="Times New Roman" w:cs="Times New Roman"/>
        </w:rPr>
        <w:t>Hierarchical clustering was used to compare gene sets. MCF-7 cells were grown in steroid depleted media for three days and treated with E2, fulvestrant, or E2+ fulvestrant for 24 hrs. Three biological replicates from different passages of cells were used for each condition.</w:t>
      </w:r>
    </w:p>
    <w:p w14:paraId="28499B12" w14:textId="77777777" w:rsidR="00D02D21" w:rsidRDefault="00D02D21" w:rsidP="00714221">
      <w:pPr>
        <w:spacing w:line="240" w:lineRule="auto"/>
        <w:rPr>
          <w:rFonts w:ascii="Times New Roman" w:hAnsi="Times New Roman" w:cs="Times New Roman"/>
          <w:b/>
          <w:bCs/>
        </w:rPr>
      </w:pPr>
    </w:p>
    <w:p w14:paraId="2ACEC9EC" w14:textId="77777777" w:rsidR="00D02D21" w:rsidRDefault="00D02D21" w:rsidP="00714221">
      <w:pPr>
        <w:spacing w:line="240" w:lineRule="auto"/>
        <w:rPr>
          <w:rFonts w:ascii="Times New Roman" w:hAnsi="Times New Roman" w:cs="Times New Roman"/>
          <w:b/>
          <w:bCs/>
        </w:rPr>
      </w:pPr>
      <w:r>
        <w:rPr>
          <w:rFonts w:ascii="Times New Roman" w:hAnsi="Times New Roman" w:cs="Times New Roman"/>
          <w:b/>
          <w:bCs/>
          <w:noProof/>
        </w:rPr>
        <w:drawing>
          <wp:inline distT="0" distB="0" distL="0" distR="0" wp14:anchorId="66B42B7C" wp14:editId="28F513A8">
            <wp:extent cx="6858000" cy="1701800"/>
            <wp:effectExtent l="0" t="0" r="0" b="0"/>
            <wp:docPr id="1351189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0" cy="1701800"/>
                    </a:xfrm>
                    <a:prstGeom prst="rect">
                      <a:avLst/>
                    </a:prstGeom>
                    <a:noFill/>
                    <a:ln>
                      <a:noFill/>
                    </a:ln>
                  </pic:spPr>
                </pic:pic>
              </a:graphicData>
            </a:graphic>
          </wp:inline>
        </w:drawing>
      </w:r>
    </w:p>
    <w:p w14:paraId="5A25280B" w14:textId="77777777" w:rsidR="00D02D21" w:rsidRPr="000709B9"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Table S2. Intensity of the NUFT2 complexoforms (averaged in the three replicates).</w:t>
      </w:r>
    </w:p>
    <w:p w14:paraId="5E7E0882" w14:textId="77777777" w:rsidR="00D02D21" w:rsidRDefault="00D02D21" w:rsidP="00714221">
      <w:pPr>
        <w:spacing w:line="240" w:lineRule="auto"/>
        <w:rPr>
          <w:rFonts w:ascii="Times New Roman" w:hAnsi="Times New Roman" w:cs="Times New Roman"/>
          <w:b/>
          <w:bCs/>
        </w:rPr>
      </w:pPr>
    </w:p>
    <w:p w14:paraId="24194D41" w14:textId="77777777" w:rsidR="00D02D21" w:rsidRPr="000709B9" w:rsidRDefault="00D02D21" w:rsidP="00714221">
      <w:pPr>
        <w:spacing w:line="240" w:lineRule="auto"/>
        <w:rPr>
          <w:rFonts w:ascii="Times New Roman" w:hAnsi="Times New Roman" w:cs="Times New Roman"/>
          <w:b/>
          <w:bCs/>
        </w:rPr>
      </w:pPr>
    </w:p>
    <w:p w14:paraId="79B56AE9" w14:textId="77777777" w:rsidR="00D02D21"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 xml:space="preserve"> </w:t>
      </w:r>
      <w:r>
        <w:rPr>
          <w:rFonts w:ascii="Times New Roman" w:hAnsi="Times New Roman" w:cs="Times New Roman"/>
          <w:b/>
          <w:bCs/>
          <w:noProof/>
        </w:rPr>
        <w:drawing>
          <wp:inline distT="0" distB="0" distL="0" distR="0" wp14:anchorId="5CFFE52D" wp14:editId="6007E4AF">
            <wp:extent cx="6858000" cy="1549400"/>
            <wp:effectExtent l="0" t="0" r="0" b="0"/>
            <wp:docPr id="14542394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858000" cy="1549400"/>
                    </a:xfrm>
                    <a:prstGeom prst="rect">
                      <a:avLst/>
                    </a:prstGeom>
                    <a:noFill/>
                    <a:ln>
                      <a:noFill/>
                    </a:ln>
                  </pic:spPr>
                </pic:pic>
              </a:graphicData>
            </a:graphic>
          </wp:inline>
        </w:drawing>
      </w:r>
    </w:p>
    <w:p w14:paraId="3FD3649B" w14:textId="77777777" w:rsidR="00D02D21" w:rsidRPr="000709B9" w:rsidRDefault="00D02D21" w:rsidP="00714221">
      <w:pPr>
        <w:spacing w:line="240" w:lineRule="auto"/>
        <w:rPr>
          <w:rFonts w:ascii="Times New Roman" w:hAnsi="Times New Roman" w:cs="Times New Roman"/>
          <w:b/>
          <w:bCs/>
        </w:rPr>
      </w:pPr>
      <w:r w:rsidRPr="000709B9">
        <w:rPr>
          <w:rFonts w:ascii="Times New Roman" w:hAnsi="Times New Roman" w:cs="Times New Roman"/>
          <w:b/>
          <w:bCs/>
        </w:rPr>
        <w:t>Table S3. Intensity of the NUFT2 proteoforms (averaged in the three replicates).</w:t>
      </w:r>
    </w:p>
    <w:p w14:paraId="2BC760CE" w14:textId="77777777" w:rsidR="00D02D21" w:rsidRDefault="00D02D21" w:rsidP="00714221">
      <w:pPr>
        <w:spacing w:line="240" w:lineRule="auto"/>
        <w:rPr>
          <w:b/>
          <w:bCs/>
        </w:rPr>
      </w:pPr>
      <w:r>
        <w:rPr>
          <w:b/>
          <w:bCs/>
        </w:rPr>
        <w:t xml:space="preserve"> </w:t>
      </w:r>
    </w:p>
    <w:p w14:paraId="1AD99827" w14:textId="77777777" w:rsidR="00D02D21" w:rsidRDefault="00D02D21" w:rsidP="00714221">
      <w:pPr>
        <w:spacing w:line="240" w:lineRule="auto"/>
        <w:rPr>
          <w:b/>
          <w:bCs/>
          <w:noProof/>
        </w:rPr>
      </w:pPr>
    </w:p>
    <w:p w14:paraId="28AED76D" w14:textId="77777777" w:rsidR="00D02D21" w:rsidRDefault="00D02D21" w:rsidP="00714221">
      <w:pPr>
        <w:spacing w:line="240" w:lineRule="auto"/>
        <w:rPr>
          <w:b/>
          <w:bCs/>
        </w:rPr>
      </w:pPr>
      <w:r>
        <w:rPr>
          <w:b/>
          <w:bCs/>
          <w:noProof/>
        </w:rPr>
        <w:drawing>
          <wp:inline distT="0" distB="0" distL="0" distR="0" wp14:anchorId="29DCF8A6" wp14:editId="1D3BC170">
            <wp:extent cx="5417149" cy="1879600"/>
            <wp:effectExtent l="0" t="0" r="0" b="6350"/>
            <wp:docPr id="34" name="Picture 3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chart&#10;&#10;Description automatically generated"/>
                    <pic:cNvPicPr/>
                  </pic:nvPicPr>
                  <pic:blipFill rotWithShape="1">
                    <a:blip r:embed="rId28" cstate="print">
                      <a:extLst>
                        <a:ext uri="{28A0092B-C50C-407E-A947-70E740481C1C}">
                          <a14:useLocalDpi xmlns:a14="http://schemas.microsoft.com/office/drawing/2010/main" val="0"/>
                        </a:ext>
                      </a:extLst>
                    </a:blip>
                    <a:srcRect b="53338"/>
                    <a:stretch/>
                  </pic:blipFill>
                  <pic:spPr bwMode="auto">
                    <a:xfrm>
                      <a:off x="0" y="0"/>
                      <a:ext cx="5509490" cy="1911640"/>
                    </a:xfrm>
                    <a:prstGeom prst="rect">
                      <a:avLst/>
                    </a:prstGeom>
                    <a:ln>
                      <a:noFill/>
                    </a:ln>
                    <a:extLst>
                      <a:ext uri="{53640926-AAD7-44D8-BBD7-CCE9431645EC}">
                        <a14:shadowObscured xmlns:a14="http://schemas.microsoft.com/office/drawing/2010/main"/>
                      </a:ext>
                    </a:extLst>
                  </pic:spPr>
                </pic:pic>
              </a:graphicData>
            </a:graphic>
          </wp:inline>
        </w:drawing>
      </w:r>
    </w:p>
    <w:p w14:paraId="568B4078" w14:textId="77777777" w:rsidR="00D02D21" w:rsidRDefault="00D02D21" w:rsidP="002B5CD3">
      <w:pPr>
        <w:spacing w:line="240" w:lineRule="auto"/>
        <w:rPr>
          <w:rFonts w:ascii="Times New Roman" w:hAnsi="Times New Roman" w:cs="Times New Roman"/>
          <w:b/>
        </w:rPr>
      </w:pPr>
      <w:r w:rsidRPr="00EF74B8">
        <w:rPr>
          <w:rFonts w:ascii="Times New Roman" w:hAnsi="Times New Roman" w:cs="Times New Roman"/>
          <w:b/>
          <w:bCs/>
        </w:rPr>
        <w:t xml:space="preserve">Table S4. </w:t>
      </w:r>
      <w:r>
        <w:rPr>
          <w:rFonts w:ascii="Times New Roman" w:hAnsi="Times New Roman" w:cs="Times New Roman"/>
          <w:b/>
          <w:bCs/>
        </w:rPr>
        <w:t>G</w:t>
      </w:r>
      <w:r w:rsidRPr="00EF74B8">
        <w:rPr>
          <w:rFonts w:ascii="Times New Roman" w:hAnsi="Times New Roman" w:cs="Times New Roman"/>
          <w:b/>
          <w:bCs/>
        </w:rPr>
        <w:t>ene set enrichment analysis</w:t>
      </w:r>
      <w:r>
        <w:rPr>
          <w:rFonts w:ascii="Times New Roman" w:hAnsi="Times New Roman" w:cs="Times New Roman"/>
          <w:b/>
          <w:bCs/>
        </w:rPr>
        <w:t>.</w:t>
      </w:r>
    </w:p>
    <w:p w14:paraId="183101D3" w14:textId="77777777" w:rsidR="00D02D21" w:rsidRDefault="00D02D21" w:rsidP="002B5CD3">
      <w:pPr>
        <w:spacing w:line="240" w:lineRule="auto"/>
        <w:rPr>
          <w:rFonts w:ascii="Times New Roman" w:hAnsi="Times New Roman" w:cs="Times New Roman"/>
          <w:b/>
        </w:rPr>
      </w:pPr>
      <w:r>
        <w:rPr>
          <w:rFonts w:ascii="Times New Roman" w:hAnsi="Times New Roman" w:cs="Times New Roman"/>
          <w:b/>
        </w:rPr>
        <w:t>References</w:t>
      </w:r>
    </w:p>
    <w:p w14:paraId="2B1FB1C1" w14:textId="77777777" w:rsidR="00D02D21" w:rsidRPr="00294335" w:rsidRDefault="00D02D21" w:rsidP="00931262">
      <w:pPr>
        <w:pStyle w:val="EndNoteBibliography"/>
        <w:spacing w:after="0"/>
        <w:ind w:left="720" w:hanging="720"/>
        <w:rPr>
          <w:rFonts w:ascii="Times New Roman" w:hAnsi="Times New Roman" w:cs="Times New Roman"/>
        </w:rPr>
      </w:pPr>
      <w:r w:rsidRPr="00931262">
        <w:t>1</w:t>
      </w:r>
      <w:r w:rsidRPr="00931262">
        <w:tab/>
      </w:r>
      <w:r w:rsidRPr="00294335">
        <w:rPr>
          <w:rFonts w:ascii="Times New Roman" w:hAnsi="Times New Roman" w:cs="Times New Roman"/>
        </w:rPr>
        <w:t>Skinner, O. S.</w:t>
      </w:r>
      <w:r w:rsidRPr="00294335">
        <w:rPr>
          <w:rFonts w:ascii="Times New Roman" w:hAnsi="Times New Roman" w:cs="Times New Roman"/>
          <w:i/>
        </w:rPr>
        <w:t xml:space="preserve"> et al.</w:t>
      </w:r>
      <w:r w:rsidRPr="00294335">
        <w:rPr>
          <w:rFonts w:ascii="Times New Roman" w:hAnsi="Times New Roman" w:cs="Times New Roman"/>
        </w:rPr>
        <w:t xml:space="preserve"> Top-down characterization of endogenous protein complexes with native proteomics. </w:t>
      </w:r>
      <w:r w:rsidRPr="00294335">
        <w:rPr>
          <w:rFonts w:ascii="Times New Roman" w:hAnsi="Times New Roman" w:cs="Times New Roman"/>
          <w:i/>
        </w:rPr>
        <w:t>Nat Chem Biol</w:t>
      </w:r>
      <w:r w:rsidRPr="00294335">
        <w:rPr>
          <w:rFonts w:ascii="Times New Roman" w:hAnsi="Times New Roman" w:cs="Times New Roman"/>
        </w:rPr>
        <w:t xml:space="preserve"> </w:t>
      </w:r>
      <w:r w:rsidRPr="00294335">
        <w:rPr>
          <w:rFonts w:ascii="Times New Roman" w:hAnsi="Times New Roman" w:cs="Times New Roman"/>
          <w:b/>
        </w:rPr>
        <w:t>14</w:t>
      </w:r>
      <w:r w:rsidRPr="00294335">
        <w:rPr>
          <w:rFonts w:ascii="Times New Roman" w:hAnsi="Times New Roman" w:cs="Times New Roman"/>
        </w:rPr>
        <w:t>, 36-41, doi:10.1038/nchembio.2515 (2018).</w:t>
      </w:r>
    </w:p>
    <w:p w14:paraId="79F2F221"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2</w:t>
      </w:r>
      <w:r w:rsidRPr="00294335">
        <w:rPr>
          <w:rFonts w:ascii="Times New Roman" w:hAnsi="Times New Roman" w:cs="Times New Roman"/>
        </w:rPr>
        <w:tab/>
        <w:t xml:space="preserve">Mehaffey, M. R., Xia, Q. &amp; Brodbelt, J. S. Uniting Native Capillary Electrophoresis and Multistage Ultraviolet Photodissociation Mass Spectrometry for Online Separation and Characterization of Escherichia coli Ribosomal Proteins and Protein Complexes.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92</w:t>
      </w:r>
      <w:r w:rsidRPr="00294335">
        <w:rPr>
          <w:rFonts w:ascii="Times New Roman" w:hAnsi="Times New Roman" w:cs="Times New Roman"/>
        </w:rPr>
        <w:t>, 15202-15211, doi:10.1021/acs.analchem.0c03784 (2020).</w:t>
      </w:r>
    </w:p>
    <w:p w14:paraId="783FE4F4"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3</w:t>
      </w:r>
      <w:r w:rsidRPr="00294335">
        <w:rPr>
          <w:rFonts w:ascii="Times New Roman" w:hAnsi="Times New Roman" w:cs="Times New Roman"/>
        </w:rPr>
        <w:tab/>
        <w:t>Shen, X.</w:t>
      </w:r>
      <w:r w:rsidRPr="00294335">
        <w:rPr>
          <w:rFonts w:ascii="Times New Roman" w:hAnsi="Times New Roman" w:cs="Times New Roman"/>
          <w:i/>
        </w:rPr>
        <w:t xml:space="preserve"> et al.</w:t>
      </w:r>
      <w:r w:rsidRPr="00294335">
        <w:rPr>
          <w:rFonts w:ascii="Times New Roman" w:hAnsi="Times New Roman" w:cs="Times New Roman"/>
        </w:rPr>
        <w:t xml:space="preserve"> Native Proteomics in Discovery Mode Using Size-Exclusion Chromatography–Capillary Zone Electrophoresis–Tandem Mass Spectrometry.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90</w:t>
      </w:r>
      <w:r w:rsidRPr="00294335">
        <w:rPr>
          <w:rFonts w:ascii="Times New Roman" w:hAnsi="Times New Roman" w:cs="Times New Roman"/>
        </w:rPr>
        <w:t>, 10095-10099, doi:10.1021/acs.analchem.8b02725 (2018).</w:t>
      </w:r>
    </w:p>
    <w:p w14:paraId="463F6657"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4</w:t>
      </w:r>
      <w:r w:rsidRPr="00294335">
        <w:rPr>
          <w:rFonts w:ascii="Times New Roman" w:hAnsi="Times New Roman" w:cs="Times New Roman"/>
        </w:rPr>
        <w:tab/>
        <w:t>Jooß, K.</w:t>
      </w:r>
      <w:r w:rsidRPr="00294335">
        <w:rPr>
          <w:rFonts w:ascii="Times New Roman" w:hAnsi="Times New Roman" w:cs="Times New Roman"/>
          <w:i/>
        </w:rPr>
        <w:t xml:space="preserve"> et al.</w:t>
      </w:r>
      <w:r w:rsidRPr="00294335">
        <w:rPr>
          <w:rFonts w:ascii="Times New Roman" w:hAnsi="Times New Roman" w:cs="Times New Roman"/>
        </w:rPr>
        <w:t xml:space="preserve"> Separation and Characterization of Endogenous Nucleosomes by Native Capillary Zone Electrophoresis–Top-Down Mass Spectrometry. </w:t>
      </w:r>
      <w:r w:rsidRPr="00294335">
        <w:rPr>
          <w:rFonts w:ascii="Times New Roman" w:hAnsi="Times New Roman" w:cs="Times New Roman"/>
          <w:i/>
        </w:rPr>
        <w:t>Analytical Chemistry</w:t>
      </w:r>
      <w:r w:rsidRPr="00294335">
        <w:rPr>
          <w:rFonts w:ascii="Times New Roman" w:hAnsi="Times New Roman" w:cs="Times New Roman"/>
        </w:rPr>
        <w:t>, doi:10.1021/acs.analchem.0c04975 (2021).</w:t>
      </w:r>
    </w:p>
    <w:p w14:paraId="094601A2"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5</w:t>
      </w:r>
      <w:r w:rsidRPr="00294335">
        <w:rPr>
          <w:rFonts w:ascii="Times New Roman" w:hAnsi="Times New Roman" w:cs="Times New Roman"/>
        </w:rPr>
        <w:tab/>
        <w:t>Shen, X.</w:t>
      </w:r>
      <w:r w:rsidRPr="00294335">
        <w:rPr>
          <w:rFonts w:ascii="Times New Roman" w:hAnsi="Times New Roman" w:cs="Times New Roman"/>
          <w:i/>
        </w:rPr>
        <w:t xml:space="preserve"> et al.</w:t>
      </w:r>
      <w:r w:rsidRPr="00294335">
        <w:rPr>
          <w:rFonts w:ascii="Times New Roman" w:hAnsi="Times New Roman" w:cs="Times New Roman"/>
        </w:rPr>
        <w:t xml:space="preserve"> Investigating native capillary zone electrophoresis-mass spectrometry on a high-end quadrupole-time-of-flight mass spectrometer for the characterization of monoclonal antibodies. </w:t>
      </w:r>
      <w:r w:rsidRPr="00294335">
        <w:rPr>
          <w:rFonts w:ascii="Times New Roman" w:hAnsi="Times New Roman" w:cs="Times New Roman"/>
          <w:i/>
        </w:rPr>
        <w:t>Int J Mass Spectrom</w:t>
      </w:r>
      <w:r w:rsidRPr="00294335">
        <w:rPr>
          <w:rFonts w:ascii="Times New Roman" w:hAnsi="Times New Roman" w:cs="Times New Roman"/>
        </w:rPr>
        <w:t xml:space="preserve"> </w:t>
      </w:r>
      <w:r w:rsidRPr="00294335">
        <w:rPr>
          <w:rFonts w:ascii="Times New Roman" w:hAnsi="Times New Roman" w:cs="Times New Roman"/>
          <w:b/>
        </w:rPr>
        <w:t>462</w:t>
      </w:r>
      <w:r w:rsidRPr="00294335">
        <w:rPr>
          <w:rFonts w:ascii="Times New Roman" w:hAnsi="Times New Roman" w:cs="Times New Roman"/>
        </w:rPr>
        <w:t>, doi:10.1016/j.ijms.2021.116541 (2021).</w:t>
      </w:r>
    </w:p>
    <w:p w14:paraId="5DB95826"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6</w:t>
      </w:r>
      <w:r w:rsidRPr="00294335">
        <w:rPr>
          <w:rFonts w:ascii="Times New Roman" w:hAnsi="Times New Roman" w:cs="Times New Roman"/>
        </w:rPr>
        <w:tab/>
        <w:t xml:space="preserve">Hale, O. J., Illes-Toth, E., Mize, T. H. &amp; Cooper, H. J. High-Field Asymmetric Waveform Ion Mobility Spectrometry and Native Mass Spectrometry: Analysis of Intact Protein Assemblies and Protein Complexes.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92</w:t>
      </w:r>
      <w:r w:rsidRPr="00294335">
        <w:rPr>
          <w:rFonts w:ascii="Times New Roman" w:hAnsi="Times New Roman" w:cs="Times New Roman"/>
        </w:rPr>
        <w:t>, 6811-6816, doi:10.1021/acs.analchem.0c00649 (2020).</w:t>
      </w:r>
    </w:p>
    <w:p w14:paraId="2A77A1C4"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7</w:t>
      </w:r>
      <w:r w:rsidRPr="00294335">
        <w:rPr>
          <w:rFonts w:ascii="Times New Roman" w:hAnsi="Times New Roman" w:cs="Times New Roman"/>
        </w:rPr>
        <w:tab/>
        <w:t>Gerbasi, V. R.</w:t>
      </w:r>
      <w:r w:rsidRPr="00294335">
        <w:rPr>
          <w:rFonts w:ascii="Times New Roman" w:hAnsi="Times New Roman" w:cs="Times New Roman"/>
          <w:i/>
        </w:rPr>
        <w:t xml:space="preserve"> et al.</w:t>
      </w:r>
      <w:r w:rsidRPr="00294335">
        <w:rPr>
          <w:rFonts w:ascii="Times New Roman" w:hAnsi="Times New Roman" w:cs="Times New Roman"/>
        </w:rPr>
        <w:t xml:space="preserve"> Deeper Protein Identification Using Field Asymmetric Ion Mobility Spectrometry in Top-Down Proteomics. </w:t>
      </w:r>
      <w:r w:rsidRPr="00294335">
        <w:rPr>
          <w:rFonts w:ascii="Times New Roman" w:hAnsi="Times New Roman" w:cs="Times New Roman"/>
          <w:i/>
        </w:rPr>
        <w:t>Anal Chem</w:t>
      </w:r>
      <w:r w:rsidRPr="00294335">
        <w:rPr>
          <w:rFonts w:ascii="Times New Roman" w:hAnsi="Times New Roman" w:cs="Times New Roman"/>
        </w:rPr>
        <w:t xml:space="preserve"> </w:t>
      </w:r>
      <w:r w:rsidRPr="00294335">
        <w:rPr>
          <w:rFonts w:ascii="Times New Roman" w:hAnsi="Times New Roman" w:cs="Times New Roman"/>
          <w:b/>
        </w:rPr>
        <w:t>93</w:t>
      </w:r>
      <w:r w:rsidRPr="00294335">
        <w:rPr>
          <w:rFonts w:ascii="Times New Roman" w:hAnsi="Times New Roman" w:cs="Times New Roman"/>
        </w:rPr>
        <w:t>, 6323-6328, doi:10.1021/acs.analchem.1c00402 (2021).</w:t>
      </w:r>
    </w:p>
    <w:p w14:paraId="4A85AEA0"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8</w:t>
      </w:r>
      <w:r w:rsidRPr="00294335">
        <w:rPr>
          <w:rFonts w:ascii="Times New Roman" w:hAnsi="Times New Roman" w:cs="Times New Roman"/>
        </w:rPr>
        <w:tab/>
        <w:t>VanAernum, Z. L.</w:t>
      </w:r>
      <w:r w:rsidRPr="00294335">
        <w:rPr>
          <w:rFonts w:ascii="Times New Roman" w:hAnsi="Times New Roman" w:cs="Times New Roman"/>
          <w:i/>
        </w:rPr>
        <w:t xml:space="preserve"> et al.</w:t>
      </w:r>
      <w:r w:rsidRPr="00294335">
        <w:rPr>
          <w:rFonts w:ascii="Times New Roman" w:hAnsi="Times New Roman" w:cs="Times New Roman"/>
        </w:rPr>
        <w:t xml:space="preserve"> Surface-Induced Dissociation of Noncovalent Protein Complexes in an Extended Mass Range Orbitrap Mass Spectrometer.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91</w:t>
      </w:r>
      <w:r w:rsidRPr="00294335">
        <w:rPr>
          <w:rFonts w:ascii="Times New Roman" w:hAnsi="Times New Roman" w:cs="Times New Roman"/>
        </w:rPr>
        <w:t>, 3611-3618, doi:10.1021/acs.analchem.8b05605 (2019).</w:t>
      </w:r>
    </w:p>
    <w:p w14:paraId="0589027A"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9</w:t>
      </w:r>
      <w:r w:rsidRPr="00294335">
        <w:rPr>
          <w:rFonts w:ascii="Times New Roman" w:hAnsi="Times New Roman" w:cs="Times New Roman"/>
        </w:rPr>
        <w:tab/>
        <w:t>Larson, E. J.</w:t>
      </w:r>
      <w:r w:rsidRPr="00294335">
        <w:rPr>
          <w:rFonts w:ascii="Times New Roman" w:hAnsi="Times New Roman" w:cs="Times New Roman"/>
          <w:i/>
        </w:rPr>
        <w:t xml:space="preserve"> et al.</w:t>
      </w:r>
      <w:r w:rsidRPr="00294335">
        <w:rPr>
          <w:rFonts w:ascii="Times New Roman" w:hAnsi="Times New Roman" w:cs="Times New Roman"/>
        </w:rPr>
        <w:t xml:space="preserve"> High-Throughput Multi-attribute Analysis of Antibody-Drug Conjugates Enabled by Trapped Ion Mobility Spectrometry and Top-Down Mass Spectrometry.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93</w:t>
      </w:r>
      <w:r w:rsidRPr="00294335">
        <w:rPr>
          <w:rFonts w:ascii="Times New Roman" w:hAnsi="Times New Roman" w:cs="Times New Roman"/>
        </w:rPr>
        <w:t>, 10013-10021, doi:10.1021/acs.analchem.1c00150 (2021).</w:t>
      </w:r>
    </w:p>
    <w:p w14:paraId="7430A755"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10</w:t>
      </w:r>
      <w:r w:rsidRPr="00294335">
        <w:rPr>
          <w:rFonts w:ascii="Times New Roman" w:hAnsi="Times New Roman" w:cs="Times New Roman"/>
        </w:rPr>
        <w:tab/>
        <w:t xml:space="preserve">Li, H., Nguyen, H. H., Ogorzalek Loo, R. R., Campuzano, I. D. G. &amp; Loo, J. A. An integrated native mass spectrometry and top-down proteomics method that connects sequence to structure and function of macromolecular complexes. </w:t>
      </w:r>
      <w:r w:rsidRPr="00294335">
        <w:rPr>
          <w:rFonts w:ascii="Times New Roman" w:hAnsi="Times New Roman" w:cs="Times New Roman"/>
          <w:i/>
        </w:rPr>
        <w:t>Nature chemistry</w:t>
      </w:r>
      <w:r w:rsidRPr="00294335">
        <w:rPr>
          <w:rFonts w:ascii="Times New Roman" w:hAnsi="Times New Roman" w:cs="Times New Roman"/>
        </w:rPr>
        <w:t xml:space="preserve"> </w:t>
      </w:r>
      <w:r w:rsidRPr="00294335">
        <w:rPr>
          <w:rFonts w:ascii="Times New Roman" w:hAnsi="Times New Roman" w:cs="Times New Roman"/>
          <w:b/>
        </w:rPr>
        <w:t>10</w:t>
      </w:r>
      <w:r w:rsidRPr="00294335">
        <w:rPr>
          <w:rFonts w:ascii="Times New Roman" w:hAnsi="Times New Roman" w:cs="Times New Roman"/>
        </w:rPr>
        <w:t>, 139-148, doi:10.1038/nchem.2908 (2018).</w:t>
      </w:r>
    </w:p>
    <w:p w14:paraId="09905DBF"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11</w:t>
      </w:r>
      <w:r w:rsidRPr="00294335">
        <w:rPr>
          <w:rFonts w:ascii="Times New Roman" w:hAnsi="Times New Roman" w:cs="Times New Roman"/>
        </w:rPr>
        <w:tab/>
        <w:t xml:space="preserve">Chernushevich, I. V. &amp; Thomson, B. A. Collisional Cooling of Large Ions in Electrospray Mass Spectrometry.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76</w:t>
      </w:r>
      <w:r w:rsidRPr="00294335">
        <w:rPr>
          <w:rFonts w:ascii="Times New Roman" w:hAnsi="Times New Roman" w:cs="Times New Roman"/>
        </w:rPr>
        <w:t>, 1754-1760, doi:10.1021/ac035406j (2004).</w:t>
      </w:r>
    </w:p>
    <w:p w14:paraId="0269113A"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12</w:t>
      </w:r>
      <w:r w:rsidRPr="00294335">
        <w:rPr>
          <w:rFonts w:ascii="Times New Roman" w:hAnsi="Times New Roman" w:cs="Times New Roman"/>
        </w:rPr>
        <w:tab/>
        <w:t>Min, J.</w:t>
      </w:r>
      <w:r w:rsidRPr="00294335">
        <w:rPr>
          <w:rFonts w:ascii="Times New Roman" w:hAnsi="Times New Roman" w:cs="Times New Roman"/>
          <w:i/>
        </w:rPr>
        <w:t xml:space="preserve"> et al.</w:t>
      </w:r>
      <w:r w:rsidRPr="00294335">
        <w:rPr>
          <w:rFonts w:ascii="Times New Roman" w:hAnsi="Times New Roman" w:cs="Times New Roman"/>
        </w:rPr>
        <w:t xml:space="preserve"> Dual-mechanism estrogen receptor inhibitors. </w:t>
      </w:r>
      <w:r w:rsidRPr="00294335">
        <w:rPr>
          <w:rFonts w:ascii="Times New Roman" w:hAnsi="Times New Roman" w:cs="Times New Roman"/>
          <w:i/>
        </w:rPr>
        <w:t>Proc Natl Acad Sci U S A</w:t>
      </w:r>
      <w:r w:rsidRPr="00294335">
        <w:rPr>
          <w:rFonts w:ascii="Times New Roman" w:hAnsi="Times New Roman" w:cs="Times New Roman"/>
        </w:rPr>
        <w:t xml:space="preserve"> </w:t>
      </w:r>
      <w:r w:rsidRPr="00294335">
        <w:rPr>
          <w:rFonts w:ascii="Times New Roman" w:hAnsi="Times New Roman" w:cs="Times New Roman"/>
          <w:b/>
        </w:rPr>
        <w:t>118</w:t>
      </w:r>
      <w:r w:rsidRPr="00294335">
        <w:rPr>
          <w:rFonts w:ascii="Times New Roman" w:hAnsi="Times New Roman" w:cs="Times New Roman"/>
        </w:rPr>
        <w:t>, doi:10.1073/pnas.2101657118 (2021).</w:t>
      </w:r>
    </w:p>
    <w:p w14:paraId="13C69153"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13</w:t>
      </w:r>
      <w:r w:rsidRPr="00294335">
        <w:rPr>
          <w:rFonts w:ascii="Times New Roman" w:hAnsi="Times New Roman" w:cs="Times New Roman"/>
        </w:rPr>
        <w:tab/>
        <w:t>Fellers, R. T.</w:t>
      </w:r>
      <w:r w:rsidRPr="00294335">
        <w:rPr>
          <w:rFonts w:ascii="Times New Roman" w:hAnsi="Times New Roman" w:cs="Times New Roman"/>
          <w:i/>
        </w:rPr>
        <w:t xml:space="preserve"> et al.</w:t>
      </w:r>
      <w:r w:rsidRPr="00294335">
        <w:rPr>
          <w:rFonts w:ascii="Times New Roman" w:hAnsi="Times New Roman" w:cs="Times New Roman"/>
        </w:rPr>
        <w:t xml:space="preserve"> ProSight Lite: graphical software to analyze top-down mass spectrometry data. </w:t>
      </w:r>
      <w:r w:rsidRPr="00294335">
        <w:rPr>
          <w:rFonts w:ascii="Times New Roman" w:hAnsi="Times New Roman" w:cs="Times New Roman"/>
          <w:i/>
        </w:rPr>
        <w:t>Proteomics</w:t>
      </w:r>
      <w:r w:rsidRPr="00294335">
        <w:rPr>
          <w:rFonts w:ascii="Times New Roman" w:hAnsi="Times New Roman" w:cs="Times New Roman"/>
        </w:rPr>
        <w:t xml:space="preserve"> </w:t>
      </w:r>
      <w:r w:rsidRPr="00294335">
        <w:rPr>
          <w:rFonts w:ascii="Times New Roman" w:hAnsi="Times New Roman" w:cs="Times New Roman"/>
          <w:b/>
        </w:rPr>
        <w:t>15</w:t>
      </w:r>
      <w:r w:rsidRPr="00294335">
        <w:rPr>
          <w:rFonts w:ascii="Times New Roman" w:hAnsi="Times New Roman" w:cs="Times New Roman"/>
        </w:rPr>
        <w:t>, 1235-1238, doi:10.1002/pmic.201570050 (2015).</w:t>
      </w:r>
    </w:p>
    <w:p w14:paraId="43C1D9EC"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14</w:t>
      </w:r>
      <w:r w:rsidRPr="00294335">
        <w:rPr>
          <w:rFonts w:ascii="Times New Roman" w:hAnsi="Times New Roman" w:cs="Times New Roman"/>
        </w:rPr>
        <w:tab/>
        <w:t>Fornelli, L.</w:t>
      </w:r>
      <w:r w:rsidRPr="00294335">
        <w:rPr>
          <w:rFonts w:ascii="Times New Roman" w:hAnsi="Times New Roman" w:cs="Times New Roman"/>
          <w:i/>
        </w:rPr>
        <w:t xml:space="preserve"> et al.</w:t>
      </w:r>
      <w:r w:rsidRPr="00294335">
        <w:rPr>
          <w:rFonts w:ascii="Times New Roman" w:hAnsi="Times New Roman" w:cs="Times New Roman"/>
        </w:rPr>
        <w:t xml:space="preserve"> Accurate Sequence Analysis of a Monoclonal Antibody by Top-Down and Middle-Down Orbitrap Mass Spectrometry Applying Multiple Ion Activation Techniques. </w:t>
      </w:r>
      <w:r w:rsidRPr="00294335">
        <w:rPr>
          <w:rFonts w:ascii="Times New Roman" w:hAnsi="Times New Roman" w:cs="Times New Roman"/>
          <w:i/>
        </w:rPr>
        <w:t>Analytical Chemistry</w:t>
      </w:r>
      <w:r w:rsidRPr="00294335">
        <w:rPr>
          <w:rFonts w:ascii="Times New Roman" w:hAnsi="Times New Roman" w:cs="Times New Roman"/>
        </w:rPr>
        <w:t xml:space="preserve"> </w:t>
      </w:r>
      <w:r w:rsidRPr="00294335">
        <w:rPr>
          <w:rFonts w:ascii="Times New Roman" w:hAnsi="Times New Roman" w:cs="Times New Roman"/>
          <w:b/>
        </w:rPr>
        <w:t>90</w:t>
      </w:r>
      <w:r w:rsidRPr="00294335">
        <w:rPr>
          <w:rFonts w:ascii="Times New Roman" w:hAnsi="Times New Roman" w:cs="Times New Roman"/>
        </w:rPr>
        <w:t>, 8421-8429, doi:10.1021/acs.analchem.8b00984 (2018).</w:t>
      </w:r>
    </w:p>
    <w:p w14:paraId="7ED20920"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15</w:t>
      </w:r>
      <w:r w:rsidRPr="00294335">
        <w:rPr>
          <w:rFonts w:ascii="Times New Roman" w:hAnsi="Times New Roman" w:cs="Times New Roman"/>
        </w:rPr>
        <w:tab/>
        <w:t xml:space="preserve">Bookout, A. L., Cummins, C. L., Mangelsdorf, D. J., Pesola, J. M. &amp; Kramer, M. F. High-throughput real-time quantitative reverse transcription PCR. </w:t>
      </w:r>
      <w:r w:rsidRPr="00294335">
        <w:rPr>
          <w:rFonts w:ascii="Times New Roman" w:hAnsi="Times New Roman" w:cs="Times New Roman"/>
          <w:i/>
        </w:rPr>
        <w:t>Curr Protoc Mol Biol</w:t>
      </w:r>
      <w:r w:rsidRPr="00294335">
        <w:rPr>
          <w:rFonts w:ascii="Times New Roman" w:hAnsi="Times New Roman" w:cs="Times New Roman"/>
        </w:rPr>
        <w:t xml:space="preserve"> </w:t>
      </w:r>
      <w:r w:rsidRPr="00294335">
        <w:rPr>
          <w:rFonts w:ascii="Times New Roman" w:hAnsi="Times New Roman" w:cs="Times New Roman"/>
          <w:b/>
        </w:rPr>
        <w:t>Chapter 15</w:t>
      </w:r>
      <w:r w:rsidRPr="00294335">
        <w:rPr>
          <w:rFonts w:ascii="Times New Roman" w:hAnsi="Times New Roman" w:cs="Times New Roman"/>
        </w:rPr>
        <w:t>, Unit 15.18, doi:10.1002/0471142727.mb1508s73 (2006).</w:t>
      </w:r>
    </w:p>
    <w:p w14:paraId="5AB4FB06"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16</w:t>
      </w:r>
      <w:r w:rsidRPr="00294335">
        <w:rPr>
          <w:rFonts w:ascii="Times New Roman" w:hAnsi="Times New Roman" w:cs="Times New Roman"/>
        </w:rPr>
        <w:tab/>
        <w:t xml:space="preserve">The Galaxy platform for accessible, reproducible and collaborative biomedical analyses: 2022 update. </w:t>
      </w:r>
      <w:r w:rsidRPr="00294335">
        <w:rPr>
          <w:rFonts w:ascii="Times New Roman" w:hAnsi="Times New Roman" w:cs="Times New Roman"/>
          <w:i/>
        </w:rPr>
        <w:t>Nucleic Acids Res</w:t>
      </w:r>
      <w:r w:rsidRPr="00294335">
        <w:rPr>
          <w:rFonts w:ascii="Times New Roman" w:hAnsi="Times New Roman" w:cs="Times New Roman"/>
        </w:rPr>
        <w:t xml:space="preserve"> </w:t>
      </w:r>
      <w:r w:rsidRPr="00294335">
        <w:rPr>
          <w:rFonts w:ascii="Times New Roman" w:hAnsi="Times New Roman" w:cs="Times New Roman"/>
          <w:b/>
        </w:rPr>
        <w:t>50</w:t>
      </w:r>
      <w:r w:rsidRPr="00294335">
        <w:rPr>
          <w:rFonts w:ascii="Times New Roman" w:hAnsi="Times New Roman" w:cs="Times New Roman"/>
        </w:rPr>
        <w:t>, W345-w351, doi:10.1093/nar/gkac247 (2022).</w:t>
      </w:r>
    </w:p>
    <w:p w14:paraId="6C0EEC52"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17</w:t>
      </w:r>
      <w:r w:rsidRPr="00294335">
        <w:rPr>
          <w:rFonts w:ascii="Times New Roman" w:hAnsi="Times New Roman" w:cs="Times New Roman"/>
        </w:rPr>
        <w:tab/>
        <w:t xml:space="preserve">Kim, D., Langmead, B. &amp; Salzberg, S. L. HISAT: a fast spliced aligner with low memory requirements. </w:t>
      </w:r>
      <w:r w:rsidRPr="00294335">
        <w:rPr>
          <w:rFonts w:ascii="Times New Roman" w:hAnsi="Times New Roman" w:cs="Times New Roman"/>
          <w:i/>
        </w:rPr>
        <w:t>Nature methods</w:t>
      </w:r>
      <w:r w:rsidRPr="00294335">
        <w:rPr>
          <w:rFonts w:ascii="Times New Roman" w:hAnsi="Times New Roman" w:cs="Times New Roman"/>
        </w:rPr>
        <w:t xml:space="preserve"> </w:t>
      </w:r>
      <w:r w:rsidRPr="00294335">
        <w:rPr>
          <w:rFonts w:ascii="Times New Roman" w:hAnsi="Times New Roman" w:cs="Times New Roman"/>
          <w:b/>
        </w:rPr>
        <w:t>12</w:t>
      </w:r>
      <w:r w:rsidRPr="00294335">
        <w:rPr>
          <w:rFonts w:ascii="Times New Roman" w:hAnsi="Times New Roman" w:cs="Times New Roman"/>
        </w:rPr>
        <w:t>, 357-360, doi:10.1038/nmeth.3317 (2015).</w:t>
      </w:r>
    </w:p>
    <w:p w14:paraId="138CE926"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18</w:t>
      </w:r>
      <w:r w:rsidRPr="00294335">
        <w:rPr>
          <w:rFonts w:ascii="Times New Roman" w:hAnsi="Times New Roman" w:cs="Times New Roman"/>
        </w:rPr>
        <w:tab/>
        <w:t xml:space="preserve">Love, M. I., Huber, W. &amp; Anders, S. Moderated estimation of fold change and dispersion for RNA-seq data with DESeq2. </w:t>
      </w:r>
      <w:r w:rsidRPr="00294335">
        <w:rPr>
          <w:rFonts w:ascii="Times New Roman" w:hAnsi="Times New Roman" w:cs="Times New Roman"/>
          <w:i/>
        </w:rPr>
        <w:t>Genome Biol</w:t>
      </w:r>
      <w:r w:rsidRPr="00294335">
        <w:rPr>
          <w:rFonts w:ascii="Times New Roman" w:hAnsi="Times New Roman" w:cs="Times New Roman"/>
        </w:rPr>
        <w:t xml:space="preserve"> </w:t>
      </w:r>
      <w:r w:rsidRPr="00294335">
        <w:rPr>
          <w:rFonts w:ascii="Times New Roman" w:hAnsi="Times New Roman" w:cs="Times New Roman"/>
          <w:b/>
        </w:rPr>
        <w:t>15</w:t>
      </w:r>
      <w:r w:rsidRPr="00294335">
        <w:rPr>
          <w:rFonts w:ascii="Times New Roman" w:hAnsi="Times New Roman" w:cs="Times New Roman"/>
        </w:rPr>
        <w:t>, 550, doi:10.1186/s13059-014-0550-8 (2014).</w:t>
      </w:r>
    </w:p>
    <w:p w14:paraId="1FD904E3" w14:textId="77777777" w:rsidR="00D02D21" w:rsidRPr="00294335" w:rsidRDefault="00D02D21" w:rsidP="00931262">
      <w:pPr>
        <w:pStyle w:val="EndNoteBibliography"/>
        <w:spacing w:after="0"/>
        <w:ind w:left="720" w:hanging="720"/>
        <w:rPr>
          <w:rFonts w:ascii="Times New Roman" w:hAnsi="Times New Roman" w:cs="Times New Roman"/>
        </w:rPr>
      </w:pPr>
      <w:r w:rsidRPr="00294335">
        <w:rPr>
          <w:rFonts w:ascii="Times New Roman" w:hAnsi="Times New Roman" w:cs="Times New Roman"/>
        </w:rPr>
        <w:t>19</w:t>
      </w:r>
      <w:r w:rsidRPr="00294335">
        <w:rPr>
          <w:rFonts w:ascii="Times New Roman" w:hAnsi="Times New Roman" w:cs="Times New Roman"/>
        </w:rPr>
        <w:tab/>
        <w:t>Szklarczyk, D.</w:t>
      </w:r>
      <w:r w:rsidRPr="00294335">
        <w:rPr>
          <w:rFonts w:ascii="Times New Roman" w:hAnsi="Times New Roman" w:cs="Times New Roman"/>
          <w:i/>
        </w:rPr>
        <w:t xml:space="preserve"> et al.</w:t>
      </w:r>
      <w:r w:rsidRPr="00294335">
        <w:rPr>
          <w:rFonts w:ascii="Times New Roman" w:hAnsi="Times New Roman" w:cs="Times New Roman"/>
        </w:rPr>
        <w:t xml:space="preserve"> STRING v11: protein-protein association networks with increased coverage, supporting functional discovery in genome-wide experimental datasets. </w:t>
      </w:r>
      <w:r w:rsidRPr="00294335">
        <w:rPr>
          <w:rFonts w:ascii="Times New Roman" w:hAnsi="Times New Roman" w:cs="Times New Roman"/>
          <w:i/>
        </w:rPr>
        <w:t>Nucleic Acids Res</w:t>
      </w:r>
      <w:r w:rsidRPr="00294335">
        <w:rPr>
          <w:rFonts w:ascii="Times New Roman" w:hAnsi="Times New Roman" w:cs="Times New Roman"/>
        </w:rPr>
        <w:t xml:space="preserve"> </w:t>
      </w:r>
      <w:r w:rsidRPr="00294335">
        <w:rPr>
          <w:rFonts w:ascii="Times New Roman" w:hAnsi="Times New Roman" w:cs="Times New Roman"/>
          <w:b/>
        </w:rPr>
        <w:t>47</w:t>
      </w:r>
      <w:r w:rsidRPr="00294335">
        <w:rPr>
          <w:rFonts w:ascii="Times New Roman" w:hAnsi="Times New Roman" w:cs="Times New Roman"/>
        </w:rPr>
        <w:t>, D607-d613, doi:10.1093/nar/gky1131 (2019).</w:t>
      </w:r>
    </w:p>
    <w:p w14:paraId="639D4723" w14:textId="77777777" w:rsidR="00D02D21" w:rsidRPr="00294335" w:rsidRDefault="00D02D21" w:rsidP="00931262">
      <w:pPr>
        <w:pStyle w:val="EndNoteBibliography"/>
        <w:ind w:left="720" w:hanging="720"/>
        <w:rPr>
          <w:rFonts w:ascii="Times New Roman" w:hAnsi="Times New Roman" w:cs="Times New Roman"/>
        </w:rPr>
      </w:pPr>
      <w:r w:rsidRPr="00294335">
        <w:rPr>
          <w:rFonts w:ascii="Times New Roman" w:hAnsi="Times New Roman" w:cs="Times New Roman"/>
        </w:rPr>
        <w:t>20</w:t>
      </w:r>
      <w:r w:rsidRPr="00294335">
        <w:rPr>
          <w:rFonts w:ascii="Times New Roman" w:hAnsi="Times New Roman" w:cs="Times New Roman"/>
        </w:rPr>
        <w:tab/>
        <w:t>Qin, Q.</w:t>
      </w:r>
      <w:r w:rsidRPr="00294335">
        <w:rPr>
          <w:rFonts w:ascii="Times New Roman" w:hAnsi="Times New Roman" w:cs="Times New Roman"/>
          <w:i/>
        </w:rPr>
        <w:t xml:space="preserve"> et al.</w:t>
      </w:r>
      <w:r w:rsidRPr="00294335">
        <w:rPr>
          <w:rFonts w:ascii="Times New Roman" w:hAnsi="Times New Roman" w:cs="Times New Roman"/>
        </w:rPr>
        <w:t xml:space="preserve"> Lisa: inferring transcriptional regulators through integrative modeling of public chromatin accessibility and ChIP-seq data. </w:t>
      </w:r>
      <w:r w:rsidRPr="00294335">
        <w:rPr>
          <w:rFonts w:ascii="Times New Roman" w:hAnsi="Times New Roman" w:cs="Times New Roman"/>
          <w:i/>
        </w:rPr>
        <w:t>Genome Biol</w:t>
      </w:r>
      <w:r w:rsidRPr="00294335">
        <w:rPr>
          <w:rFonts w:ascii="Times New Roman" w:hAnsi="Times New Roman" w:cs="Times New Roman"/>
        </w:rPr>
        <w:t xml:space="preserve"> </w:t>
      </w:r>
      <w:r w:rsidRPr="00294335">
        <w:rPr>
          <w:rFonts w:ascii="Times New Roman" w:hAnsi="Times New Roman" w:cs="Times New Roman"/>
          <w:b/>
        </w:rPr>
        <w:t>21</w:t>
      </w:r>
      <w:r w:rsidRPr="00294335">
        <w:rPr>
          <w:rFonts w:ascii="Times New Roman" w:hAnsi="Times New Roman" w:cs="Times New Roman"/>
        </w:rPr>
        <w:t>, 32, doi:10.1186/s13059-020-1934-6 (2020).</w:t>
      </w:r>
    </w:p>
    <w:p w14:paraId="23BEFF48" w14:textId="77777777" w:rsidR="00D02D21" w:rsidRDefault="00D02D21" w:rsidP="002B5CD3">
      <w:pPr>
        <w:spacing w:line="240" w:lineRule="auto"/>
        <w:rPr>
          <w:rFonts w:ascii="Times New Roman" w:hAnsi="Times New Roman" w:cs="Times New Roman"/>
          <w:b/>
        </w:rPr>
      </w:pPr>
    </w:p>
    <w:p w14:paraId="71542068" w14:textId="77777777" w:rsidR="00EA67CB" w:rsidRDefault="00EA67CB"/>
    <w:sectPr w:rsidR="00EA67CB" w:rsidSect="00D02D21">
      <w:footerReference w:type="even" r:id="rId29"/>
      <w:footerReference w:type="default" r:id="rId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F2B56" w14:textId="77777777" w:rsidR="00C10D70" w:rsidRDefault="00C10D70">
      <w:pPr>
        <w:spacing w:after="0" w:line="240" w:lineRule="auto"/>
      </w:pPr>
      <w:r>
        <w:separator/>
      </w:r>
    </w:p>
  </w:endnote>
  <w:endnote w:type="continuationSeparator" w:id="0">
    <w:p w14:paraId="6A57C0B2" w14:textId="77777777" w:rsidR="00C10D70" w:rsidRDefault="00C10D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 Pro Light">
    <w:altName w:val="Times New Roman"/>
    <w:panose1 w:val="00000000000000000000"/>
    <w:charset w:val="00"/>
    <w:family w:val="swiss"/>
    <w:notTrueType/>
    <w:pitch w:val="variable"/>
    <w:sig w:usb0="A00002AF" w:usb1="5000204B"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4314451"/>
      <w:docPartObj>
        <w:docPartGallery w:val="Page Numbers (Bottom of Page)"/>
        <w:docPartUnique/>
      </w:docPartObj>
    </w:sdtPr>
    <w:sdtContent>
      <w:p w14:paraId="1878A3F5" w14:textId="77777777" w:rsidR="006726DD" w:rsidRDefault="00000000" w:rsidP="00ED39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369F4E" w14:textId="77777777" w:rsidR="006726DD"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5529540"/>
      <w:docPartObj>
        <w:docPartGallery w:val="Page Numbers (Bottom of Page)"/>
        <w:docPartUnique/>
      </w:docPartObj>
    </w:sdtPr>
    <w:sdtContent>
      <w:p w14:paraId="18BC269F" w14:textId="77777777" w:rsidR="006726DD" w:rsidRDefault="00000000" w:rsidP="00ED39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226520" w14:textId="77777777" w:rsidR="006726DD"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F5734" w14:textId="77777777" w:rsidR="00C10D70" w:rsidRDefault="00C10D70">
      <w:pPr>
        <w:spacing w:after="0" w:line="240" w:lineRule="auto"/>
      </w:pPr>
      <w:r>
        <w:separator/>
      </w:r>
    </w:p>
  </w:footnote>
  <w:footnote w:type="continuationSeparator" w:id="0">
    <w:p w14:paraId="06C1E939" w14:textId="77777777" w:rsidR="00C10D70" w:rsidRDefault="00C10D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A416A4"/>
    <w:multiLevelType w:val="hybridMultilevel"/>
    <w:tmpl w:val="7F821928"/>
    <w:lvl w:ilvl="0" w:tplc="2B56D4C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8192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D02D21"/>
    <w:rsid w:val="00080ED6"/>
    <w:rsid w:val="00294335"/>
    <w:rsid w:val="00537E35"/>
    <w:rsid w:val="00605D09"/>
    <w:rsid w:val="00692DB7"/>
    <w:rsid w:val="007B5982"/>
    <w:rsid w:val="00885C7D"/>
    <w:rsid w:val="008F7DFC"/>
    <w:rsid w:val="00B81D70"/>
    <w:rsid w:val="00C10D70"/>
    <w:rsid w:val="00C76CE7"/>
    <w:rsid w:val="00D02D21"/>
    <w:rsid w:val="00DA2134"/>
    <w:rsid w:val="00DC1B58"/>
    <w:rsid w:val="00EA67CB"/>
    <w:rsid w:val="00F37A6D"/>
    <w:rsid w:val="00F54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9CABA"/>
  <w15:chartTrackingRefBased/>
  <w15:docId w15:val="{15319C3D-625B-4147-856B-1C547C28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D21"/>
    <w:rPr>
      <w:kern w:val="0"/>
      <w14:ligatures w14:val="none"/>
    </w:rPr>
  </w:style>
  <w:style w:type="paragraph" w:styleId="Heading4">
    <w:name w:val="heading 4"/>
    <w:basedOn w:val="Normal"/>
    <w:link w:val="Heading4Char"/>
    <w:uiPriority w:val="9"/>
    <w:qFormat/>
    <w:rsid w:val="00D02D2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2D21"/>
    <w:rPr>
      <w:rFonts w:ascii="Times New Roman" w:eastAsia="Times New Roman" w:hAnsi="Times New Roman" w:cs="Times New Roman"/>
      <w:b/>
      <w:bCs/>
      <w:kern w:val="0"/>
      <w:sz w:val="24"/>
      <w:szCs w:val="24"/>
      <w14:ligatures w14:val="none"/>
    </w:rPr>
  </w:style>
  <w:style w:type="character" w:styleId="Hyperlink">
    <w:name w:val="Hyperlink"/>
    <w:basedOn w:val="DefaultParagraphFont"/>
    <w:uiPriority w:val="99"/>
    <w:unhideWhenUsed/>
    <w:rsid w:val="00D02D21"/>
    <w:rPr>
      <w:color w:val="0000FF"/>
      <w:u w:val="single"/>
    </w:rPr>
  </w:style>
  <w:style w:type="paragraph" w:customStyle="1" w:styleId="FAAuthorInfoSubtitle">
    <w:name w:val="FA_Author_Info_Subtitle"/>
    <w:basedOn w:val="Normal"/>
    <w:link w:val="FAAuthorInfoSubtitleChar"/>
    <w:autoRedefine/>
    <w:rsid w:val="00D02D21"/>
    <w:pPr>
      <w:spacing w:before="120" w:after="60" w:line="240" w:lineRule="auto"/>
    </w:pPr>
    <w:rPr>
      <w:rFonts w:ascii="Times New Roman" w:eastAsia="Times New Roman" w:hAnsi="Times New Roman" w:cs="Times New Roman"/>
      <w:b/>
      <w:kern w:val="21"/>
    </w:rPr>
  </w:style>
  <w:style w:type="character" w:customStyle="1" w:styleId="FAAuthorInfoSubtitleChar">
    <w:name w:val="FA_Author_Info_Subtitle Char"/>
    <w:link w:val="FAAuthorInfoSubtitle"/>
    <w:rsid w:val="00D02D21"/>
    <w:rPr>
      <w:rFonts w:ascii="Times New Roman" w:eastAsia="Times New Roman" w:hAnsi="Times New Roman" w:cs="Times New Roman"/>
      <w:b/>
      <w:kern w:val="21"/>
      <w14:ligatures w14:val="none"/>
    </w:rPr>
  </w:style>
  <w:style w:type="paragraph" w:customStyle="1" w:styleId="AuthorInformationTitle">
    <w:name w:val="Author_Information_Title"/>
    <w:basedOn w:val="Normal"/>
    <w:rsid w:val="00D02D21"/>
    <w:pPr>
      <w:spacing w:before="180" w:after="60" w:line="240" w:lineRule="auto"/>
      <w:jc w:val="both"/>
    </w:pPr>
    <w:rPr>
      <w:rFonts w:ascii="Myriad Pro Light" w:eastAsia="Times New Roman" w:hAnsi="Myriad Pro Light" w:cs="Times New Roman"/>
      <w:b/>
      <w:kern w:val="23"/>
      <w:sz w:val="21"/>
      <w:szCs w:val="20"/>
    </w:rPr>
  </w:style>
  <w:style w:type="character" w:customStyle="1" w:styleId="style12">
    <w:name w:val="style12"/>
    <w:basedOn w:val="DefaultParagraphFont"/>
    <w:rsid w:val="00D02D21"/>
  </w:style>
  <w:style w:type="character" w:customStyle="1" w:styleId="current-selection">
    <w:name w:val="current-selection"/>
    <w:basedOn w:val="DefaultParagraphFont"/>
    <w:rsid w:val="00D02D21"/>
  </w:style>
  <w:style w:type="paragraph" w:styleId="ListParagraph">
    <w:name w:val="List Paragraph"/>
    <w:basedOn w:val="Normal"/>
    <w:uiPriority w:val="34"/>
    <w:qFormat/>
    <w:rsid w:val="00D02D21"/>
    <w:pPr>
      <w:ind w:left="720"/>
      <w:contextualSpacing/>
    </w:pPr>
  </w:style>
  <w:style w:type="paragraph" w:styleId="Header">
    <w:name w:val="header"/>
    <w:basedOn w:val="Normal"/>
    <w:link w:val="HeaderChar"/>
    <w:uiPriority w:val="99"/>
    <w:unhideWhenUsed/>
    <w:rsid w:val="00D02D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D21"/>
    <w:rPr>
      <w:kern w:val="0"/>
      <w14:ligatures w14:val="none"/>
    </w:rPr>
  </w:style>
  <w:style w:type="paragraph" w:styleId="Footer">
    <w:name w:val="footer"/>
    <w:basedOn w:val="Normal"/>
    <w:link w:val="FooterChar"/>
    <w:uiPriority w:val="99"/>
    <w:unhideWhenUsed/>
    <w:rsid w:val="00D02D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D21"/>
    <w:rPr>
      <w:kern w:val="0"/>
      <w14:ligatures w14:val="none"/>
    </w:rPr>
  </w:style>
  <w:style w:type="character" w:styleId="PageNumber">
    <w:name w:val="page number"/>
    <w:basedOn w:val="DefaultParagraphFont"/>
    <w:uiPriority w:val="99"/>
    <w:semiHidden/>
    <w:unhideWhenUsed/>
    <w:rsid w:val="00D02D21"/>
  </w:style>
  <w:style w:type="character" w:styleId="FollowedHyperlink">
    <w:name w:val="FollowedHyperlink"/>
    <w:basedOn w:val="DefaultParagraphFont"/>
    <w:uiPriority w:val="99"/>
    <w:semiHidden/>
    <w:unhideWhenUsed/>
    <w:rsid w:val="00D02D21"/>
    <w:rPr>
      <w:color w:val="954F72" w:themeColor="followedHyperlink"/>
      <w:u w:val="single"/>
    </w:rPr>
  </w:style>
  <w:style w:type="paragraph" w:styleId="Revision">
    <w:name w:val="Revision"/>
    <w:hidden/>
    <w:uiPriority w:val="99"/>
    <w:semiHidden/>
    <w:rsid w:val="00D02D21"/>
    <w:pPr>
      <w:spacing w:after="0" w:line="240" w:lineRule="auto"/>
    </w:pPr>
    <w:rPr>
      <w:kern w:val="0"/>
      <w14:ligatures w14:val="none"/>
    </w:rPr>
  </w:style>
  <w:style w:type="paragraph" w:customStyle="1" w:styleId="EndNoteBibliographyTitle">
    <w:name w:val="EndNote Bibliography Title"/>
    <w:basedOn w:val="Normal"/>
    <w:link w:val="EndNoteBibliographyTitleChar"/>
    <w:rsid w:val="00D02D2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02D21"/>
    <w:rPr>
      <w:rFonts w:ascii="Calibri" w:hAnsi="Calibri" w:cs="Calibri"/>
      <w:noProof/>
      <w:kern w:val="0"/>
      <w14:ligatures w14:val="none"/>
    </w:rPr>
  </w:style>
  <w:style w:type="paragraph" w:customStyle="1" w:styleId="EndNoteBibliography">
    <w:name w:val="EndNote Bibliography"/>
    <w:basedOn w:val="Normal"/>
    <w:link w:val="EndNoteBibliographyChar"/>
    <w:rsid w:val="00D02D2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02D21"/>
    <w:rPr>
      <w:rFonts w:ascii="Calibri" w:hAnsi="Calibri" w:cs="Calibri"/>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nettles@ufl.edu" TargetMode="Externa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mailto:jyates@scripps.edu"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isa.cistrome.org" TargetMode="Externa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16</Pages>
  <Words>5360</Words>
  <Characters>30552</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Gomes</dc:creator>
  <cp:keywords/>
  <dc:description/>
  <cp:lastModifiedBy>Fabio Gomes</cp:lastModifiedBy>
  <cp:revision>12</cp:revision>
  <dcterms:created xsi:type="dcterms:W3CDTF">2023-06-14T21:54:00Z</dcterms:created>
  <dcterms:modified xsi:type="dcterms:W3CDTF">2023-06-22T19:03:00Z</dcterms:modified>
</cp:coreProperties>
</file>