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6BD966" w14:textId="77777777" w:rsidR="00493EB9" w:rsidRDefault="00493EB9" w:rsidP="00493EB9">
      <w:pPr>
        <w:pStyle w:val="Heading2"/>
        <w:spacing w:line="360" w:lineRule="auto"/>
        <w:jc w:val="both"/>
      </w:pPr>
      <w:r>
        <w:t>SUPPLEMENTARY TABLES</w:t>
      </w:r>
    </w:p>
    <w:p w14:paraId="777FFD96" w14:textId="77777777" w:rsidR="00493EB9" w:rsidRDefault="00493EB9" w:rsidP="00493EB9">
      <w:pPr>
        <w:jc w:val="both"/>
        <w:rPr>
          <w:sz w:val="24"/>
          <w:szCs w:val="24"/>
        </w:rPr>
      </w:pPr>
    </w:p>
    <w:p w14:paraId="0430540A" w14:textId="77777777" w:rsidR="00493EB9" w:rsidRDefault="00493EB9" w:rsidP="00493EB9">
      <w:pPr>
        <w:spacing w:line="360" w:lineRule="auto"/>
        <w:jc w:val="both"/>
        <w:rPr>
          <w:b/>
          <w:sz w:val="24"/>
          <w:szCs w:val="24"/>
        </w:rPr>
      </w:pPr>
      <w:r>
        <w:rPr>
          <w:b/>
          <w:sz w:val="24"/>
          <w:szCs w:val="24"/>
        </w:rPr>
        <w:t>Table S1</w:t>
      </w:r>
      <w:r>
        <w:rPr>
          <w:sz w:val="24"/>
          <w:szCs w:val="24"/>
        </w:rPr>
        <w:t>. Summary of the sequence data used in this study</w:t>
      </w:r>
      <w:r>
        <w:rPr>
          <w:sz w:val="24"/>
          <w:szCs w:val="24"/>
          <w:highlight w:val="white"/>
        </w:rPr>
        <w:t>.</w:t>
      </w:r>
    </w:p>
    <w:p w14:paraId="4D14B084" w14:textId="77777777" w:rsidR="00493EB9" w:rsidRDefault="00493EB9" w:rsidP="00493EB9">
      <w:pPr>
        <w:spacing w:line="360" w:lineRule="auto"/>
        <w:jc w:val="both"/>
        <w:rPr>
          <w:sz w:val="24"/>
          <w:szCs w:val="24"/>
        </w:rPr>
      </w:pPr>
      <w:r>
        <w:rPr>
          <w:b/>
          <w:sz w:val="24"/>
          <w:szCs w:val="24"/>
        </w:rPr>
        <w:t>Table S2</w:t>
      </w:r>
      <w:r>
        <w:rPr>
          <w:sz w:val="24"/>
          <w:szCs w:val="24"/>
        </w:rPr>
        <w:t xml:space="preserve">. </w:t>
      </w:r>
      <w:r>
        <w:rPr>
          <w:sz w:val="24"/>
          <w:szCs w:val="24"/>
          <w:highlight w:val="white"/>
        </w:rPr>
        <w:t>Demographics among WGS datasets.</w:t>
      </w:r>
    </w:p>
    <w:p w14:paraId="2DC48A3A" w14:textId="77777777" w:rsidR="00493EB9" w:rsidRDefault="00493EB9" w:rsidP="00493EB9">
      <w:pPr>
        <w:spacing w:line="360" w:lineRule="auto"/>
        <w:jc w:val="both"/>
        <w:rPr>
          <w:sz w:val="24"/>
          <w:szCs w:val="24"/>
        </w:rPr>
      </w:pPr>
      <w:r>
        <w:rPr>
          <w:b/>
          <w:sz w:val="24"/>
          <w:szCs w:val="24"/>
        </w:rPr>
        <w:t>Table S3</w:t>
      </w:r>
      <w:r>
        <w:rPr>
          <w:sz w:val="24"/>
          <w:szCs w:val="24"/>
        </w:rPr>
        <w:t xml:space="preserve">. </w:t>
      </w:r>
      <w:r>
        <w:rPr>
          <w:sz w:val="24"/>
          <w:szCs w:val="24"/>
          <w:highlight w:val="white"/>
        </w:rPr>
        <w:t>Repeat-size thresholds for premutations and full-mutations.</w:t>
      </w:r>
    </w:p>
    <w:p w14:paraId="67F7977A" w14:textId="77777777" w:rsidR="00493EB9" w:rsidRDefault="00493EB9" w:rsidP="00493EB9">
      <w:pPr>
        <w:spacing w:line="360" w:lineRule="auto"/>
        <w:jc w:val="both"/>
        <w:rPr>
          <w:sz w:val="24"/>
          <w:szCs w:val="24"/>
          <w:highlight w:val="white"/>
        </w:rPr>
      </w:pPr>
      <w:r>
        <w:rPr>
          <w:b/>
          <w:sz w:val="24"/>
          <w:szCs w:val="24"/>
        </w:rPr>
        <w:t>Table S4</w:t>
      </w:r>
      <w:r>
        <w:rPr>
          <w:sz w:val="24"/>
          <w:szCs w:val="24"/>
        </w:rPr>
        <w:t xml:space="preserve">. </w:t>
      </w:r>
      <w:r>
        <w:rPr>
          <w:sz w:val="24"/>
          <w:szCs w:val="24"/>
          <w:highlight w:val="white"/>
        </w:rPr>
        <w:t>Curated coordinates for json files used for genotyping with ExpansionHunter.</w:t>
      </w:r>
    </w:p>
    <w:p w14:paraId="207B1D4E" w14:textId="77777777" w:rsidR="00493EB9" w:rsidRDefault="00493EB9" w:rsidP="00493EB9">
      <w:pPr>
        <w:spacing w:line="360" w:lineRule="auto"/>
        <w:jc w:val="both"/>
        <w:rPr>
          <w:sz w:val="24"/>
          <w:szCs w:val="24"/>
          <w:highlight w:val="white"/>
        </w:rPr>
      </w:pPr>
      <w:r>
        <w:rPr>
          <w:b/>
          <w:sz w:val="24"/>
          <w:szCs w:val="24"/>
        </w:rPr>
        <w:t>Table S5</w:t>
      </w:r>
      <w:r>
        <w:rPr>
          <w:sz w:val="24"/>
          <w:szCs w:val="24"/>
        </w:rPr>
        <w:t xml:space="preserve">. Number of </w:t>
      </w:r>
      <w:r>
        <w:rPr>
          <w:sz w:val="24"/>
          <w:szCs w:val="24"/>
          <w:highlight w:val="white"/>
        </w:rPr>
        <w:t>repeat-sizes before and after visual curation.</w:t>
      </w:r>
    </w:p>
    <w:p w14:paraId="2E200816" w14:textId="77777777" w:rsidR="00493EB9" w:rsidRDefault="00493EB9" w:rsidP="00493EB9">
      <w:pPr>
        <w:spacing w:line="360" w:lineRule="auto"/>
        <w:jc w:val="both"/>
        <w:rPr>
          <w:sz w:val="24"/>
          <w:szCs w:val="24"/>
          <w:highlight w:val="white"/>
        </w:rPr>
      </w:pPr>
      <w:r>
        <w:rPr>
          <w:b/>
          <w:sz w:val="24"/>
          <w:szCs w:val="24"/>
        </w:rPr>
        <w:t>Table S6</w:t>
      </w:r>
      <w:r>
        <w:rPr>
          <w:sz w:val="24"/>
          <w:szCs w:val="24"/>
        </w:rPr>
        <w:t xml:space="preserve">. Summary of </w:t>
      </w:r>
      <w:r>
        <w:rPr>
          <w:sz w:val="24"/>
          <w:szCs w:val="24"/>
          <w:highlight w:val="white"/>
        </w:rPr>
        <w:t>de-identified participants in the 100K GP and TOPMed cohorts carrying a repeat allele larger than full-mutation range.</w:t>
      </w:r>
    </w:p>
    <w:p w14:paraId="1DE30A2A" w14:textId="77777777" w:rsidR="00493EB9" w:rsidRDefault="00493EB9" w:rsidP="00493EB9">
      <w:pPr>
        <w:spacing w:line="360" w:lineRule="auto"/>
        <w:jc w:val="both"/>
        <w:rPr>
          <w:sz w:val="24"/>
          <w:szCs w:val="24"/>
          <w:highlight w:val="white"/>
        </w:rPr>
      </w:pPr>
      <w:r>
        <w:rPr>
          <w:b/>
          <w:sz w:val="24"/>
          <w:szCs w:val="24"/>
          <w:highlight w:val="white"/>
        </w:rPr>
        <w:t>Table S7.</w:t>
      </w:r>
      <w:r>
        <w:rPr>
          <w:sz w:val="24"/>
          <w:szCs w:val="24"/>
          <w:highlight w:val="white"/>
        </w:rPr>
        <w:t xml:space="preserve"> PCR and ExpansionHunter sizes for comparison assessment. </w:t>
      </w:r>
    </w:p>
    <w:p w14:paraId="2A099C64" w14:textId="77777777" w:rsidR="00493EB9" w:rsidRDefault="00493EB9" w:rsidP="00493EB9">
      <w:pPr>
        <w:spacing w:line="360" w:lineRule="auto"/>
        <w:jc w:val="both"/>
        <w:rPr>
          <w:sz w:val="24"/>
          <w:szCs w:val="24"/>
          <w:highlight w:val="white"/>
        </w:rPr>
      </w:pPr>
      <w:r>
        <w:rPr>
          <w:b/>
          <w:sz w:val="24"/>
          <w:szCs w:val="24"/>
        </w:rPr>
        <w:t>Table S8</w:t>
      </w:r>
      <w:r>
        <w:rPr>
          <w:sz w:val="24"/>
          <w:szCs w:val="24"/>
        </w:rPr>
        <w:t xml:space="preserve">. </w:t>
      </w:r>
      <w:r>
        <w:rPr>
          <w:sz w:val="24"/>
          <w:szCs w:val="24"/>
          <w:highlight w:val="white"/>
        </w:rPr>
        <w:t>Overall carrier frequency and per global ancestry split within the 100K GP and TOPMed cohorts.</w:t>
      </w:r>
    </w:p>
    <w:p w14:paraId="4DC16578" w14:textId="77777777" w:rsidR="00493EB9" w:rsidRDefault="00493EB9" w:rsidP="00493EB9">
      <w:pPr>
        <w:spacing w:line="360" w:lineRule="auto"/>
        <w:jc w:val="both"/>
        <w:rPr>
          <w:sz w:val="24"/>
          <w:szCs w:val="24"/>
          <w:highlight w:val="white"/>
        </w:rPr>
      </w:pPr>
      <w:r>
        <w:rPr>
          <w:b/>
          <w:sz w:val="24"/>
          <w:szCs w:val="24"/>
        </w:rPr>
        <w:t>Table S9</w:t>
      </w:r>
      <w:r>
        <w:rPr>
          <w:sz w:val="24"/>
          <w:szCs w:val="24"/>
        </w:rPr>
        <w:t>. Total number (percentage) of repeat-sizes beyond the premutation threshold across all super populations and loci.</w:t>
      </w:r>
    </w:p>
    <w:p w14:paraId="0F5E8ED4" w14:textId="77777777" w:rsidR="00493EB9" w:rsidRDefault="00493EB9" w:rsidP="00493EB9">
      <w:pPr>
        <w:spacing w:line="360" w:lineRule="auto"/>
        <w:jc w:val="both"/>
        <w:rPr>
          <w:sz w:val="24"/>
          <w:szCs w:val="24"/>
        </w:rPr>
      </w:pPr>
      <w:r>
        <w:rPr>
          <w:b/>
          <w:sz w:val="24"/>
          <w:szCs w:val="24"/>
          <w:highlight w:val="white"/>
        </w:rPr>
        <w:t>Table S10</w:t>
      </w:r>
      <w:r>
        <w:rPr>
          <w:sz w:val="24"/>
          <w:szCs w:val="24"/>
          <w:highlight w:val="white"/>
        </w:rPr>
        <w:t>. Repeat-size median (Q1-Q3) among all ancestries across 13 repeats within the 1K GP3.</w:t>
      </w:r>
    </w:p>
    <w:p w14:paraId="399A1383" w14:textId="77777777" w:rsidR="00493EB9" w:rsidRDefault="00493EB9" w:rsidP="00493EB9">
      <w:pPr>
        <w:spacing w:line="360" w:lineRule="auto"/>
        <w:jc w:val="both"/>
        <w:rPr>
          <w:sz w:val="28"/>
          <w:szCs w:val="28"/>
        </w:rPr>
      </w:pPr>
      <w:r>
        <w:rPr>
          <w:b/>
          <w:sz w:val="24"/>
          <w:szCs w:val="24"/>
        </w:rPr>
        <w:t>Table S11</w:t>
      </w:r>
      <w:r>
        <w:rPr>
          <w:sz w:val="24"/>
          <w:szCs w:val="24"/>
        </w:rPr>
        <w:t>: Total number of samples used from TOPMed cohorts, after filtering.</w:t>
      </w:r>
    </w:p>
    <w:p w14:paraId="66EB60C7" w14:textId="77777777" w:rsidR="00493EB9" w:rsidRDefault="00493EB9" w:rsidP="00493EB9">
      <w:pPr>
        <w:spacing w:line="360" w:lineRule="auto"/>
        <w:jc w:val="both"/>
        <w:rPr>
          <w:sz w:val="24"/>
          <w:szCs w:val="24"/>
        </w:rPr>
      </w:pPr>
    </w:p>
    <w:p w14:paraId="6EECAA7A" w14:textId="77777777" w:rsidR="00493EB9" w:rsidRDefault="00493EB9" w:rsidP="00493EB9">
      <w:pPr>
        <w:spacing w:line="360" w:lineRule="auto"/>
        <w:jc w:val="both"/>
        <w:rPr>
          <w:sz w:val="24"/>
          <w:szCs w:val="24"/>
          <w:highlight w:val="white"/>
        </w:rPr>
      </w:pPr>
    </w:p>
    <w:p w14:paraId="0854F1A6" w14:textId="77777777" w:rsidR="00493EB9" w:rsidRDefault="00493EB9" w:rsidP="00493EB9">
      <w:pPr>
        <w:pStyle w:val="Heading2"/>
        <w:spacing w:line="360" w:lineRule="auto"/>
        <w:jc w:val="both"/>
      </w:pPr>
      <w:bookmarkStart w:id="0" w:name="_dcor7otizamh" w:colFirst="0" w:colLast="0"/>
      <w:bookmarkEnd w:id="0"/>
      <w:r>
        <w:br w:type="page"/>
      </w:r>
    </w:p>
    <w:p w14:paraId="3DC7335D" w14:textId="77777777" w:rsidR="00493EB9" w:rsidRDefault="00493EB9" w:rsidP="00493EB9">
      <w:pPr>
        <w:pStyle w:val="Heading2"/>
        <w:spacing w:line="360" w:lineRule="auto"/>
        <w:jc w:val="both"/>
      </w:pPr>
      <w:bookmarkStart w:id="1" w:name="_e9vcvzs1dglk" w:colFirst="0" w:colLast="0"/>
      <w:bookmarkEnd w:id="1"/>
      <w:r>
        <w:lastRenderedPageBreak/>
        <w:t>SUPPLEMENTARY FIGURES</w:t>
      </w:r>
    </w:p>
    <w:p w14:paraId="1E0A4A42" w14:textId="77777777" w:rsidR="00493EB9" w:rsidRPr="003660E2" w:rsidRDefault="00493EB9" w:rsidP="00493EB9">
      <w:pPr>
        <w:widowControl w:val="0"/>
        <w:spacing w:after="240" w:line="360" w:lineRule="auto"/>
        <w:jc w:val="both"/>
        <w:rPr>
          <w:sz w:val="24"/>
          <w:szCs w:val="24"/>
        </w:rPr>
      </w:pPr>
      <w:r w:rsidRPr="003660E2">
        <w:rPr>
          <w:b/>
          <w:sz w:val="24"/>
          <w:szCs w:val="24"/>
        </w:rPr>
        <w:t>Figure S1</w:t>
      </w:r>
      <w:r w:rsidRPr="003660E2">
        <w:rPr>
          <w:sz w:val="24"/>
          <w:szCs w:val="24"/>
        </w:rPr>
        <w:t>: Pyramid demographics in (A) the 100K GP and (B) TOPMed cohorts.</w:t>
      </w:r>
    </w:p>
    <w:p w14:paraId="0BCF86CB" w14:textId="77777777" w:rsidR="00493EB9" w:rsidRPr="003660E2" w:rsidRDefault="00493EB9" w:rsidP="00493EB9">
      <w:pPr>
        <w:spacing w:line="360" w:lineRule="auto"/>
        <w:jc w:val="both"/>
        <w:rPr>
          <w:sz w:val="24"/>
          <w:szCs w:val="24"/>
        </w:rPr>
      </w:pPr>
      <w:r w:rsidRPr="003660E2">
        <w:rPr>
          <w:b/>
          <w:sz w:val="24"/>
          <w:szCs w:val="24"/>
        </w:rPr>
        <w:t>Figure S2</w:t>
      </w:r>
      <w:r w:rsidRPr="003660E2">
        <w:rPr>
          <w:sz w:val="24"/>
          <w:szCs w:val="24"/>
        </w:rPr>
        <w:t xml:space="preserve">. First 2 principal components (PCs) derived from PCA on A) the 100K GP and B) TOPMed samples (see </w:t>
      </w:r>
      <w:r w:rsidRPr="003660E2">
        <w:rPr>
          <w:b/>
          <w:sz w:val="24"/>
          <w:szCs w:val="24"/>
        </w:rPr>
        <w:t xml:space="preserve">online materials </w:t>
      </w:r>
      <w:r w:rsidRPr="003660E2">
        <w:rPr>
          <w:sz w:val="24"/>
          <w:szCs w:val="24"/>
        </w:rPr>
        <w:t>for more information).</w:t>
      </w:r>
    </w:p>
    <w:p w14:paraId="3372D1CB" w14:textId="77777777" w:rsidR="00493EB9" w:rsidRPr="003660E2" w:rsidRDefault="00493EB9" w:rsidP="00493EB9">
      <w:pPr>
        <w:spacing w:line="360" w:lineRule="auto"/>
        <w:ind w:left="-1275"/>
        <w:jc w:val="both"/>
        <w:rPr>
          <w:sz w:val="24"/>
          <w:szCs w:val="24"/>
        </w:rPr>
      </w:pPr>
    </w:p>
    <w:p w14:paraId="56E72D7D" w14:textId="77777777" w:rsidR="00493EB9" w:rsidRPr="003660E2" w:rsidRDefault="00493EB9" w:rsidP="00493EB9">
      <w:pPr>
        <w:spacing w:line="360" w:lineRule="auto"/>
        <w:jc w:val="both"/>
        <w:rPr>
          <w:b/>
          <w:sz w:val="24"/>
          <w:szCs w:val="24"/>
        </w:rPr>
      </w:pPr>
      <w:r w:rsidRPr="003660E2">
        <w:rPr>
          <w:b/>
          <w:sz w:val="24"/>
          <w:szCs w:val="24"/>
        </w:rPr>
        <w:t>Figure S3</w:t>
      </w:r>
      <w:r w:rsidRPr="003660E2">
        <w:rPr>
          <w:sz w:val="24"/>
          <w:szCs w:val="24"/>
        </w:rPr>
        <w:t>. Experimental estimations of RE sizes using PCR vs genotypes generated by EH v3.2.2, split by super-population (samples of EAS ancestry were not tested). Points indicate the RE size estimated by both PCR and EH v3.2.2. We show the R correlation coefficient calculated using Pearson’s equation.</w:t>
      </w:r>
    </w:p>
    <w:p w14:paraId="7DC8FEF4" w14:textId="77777777" w:rsidR="00493EB9" w:rsidRPr="003660E2" w:rsidRDefault="00493EB9" w:rsidP="00493EB9">
      <w:pPr>
        <w:spacing w:line="360" w:lineRule="auto"/>
        <w:ind w:hanging="1417"/>
        <w:jc w:val="both"/>
        <w:rPr>
          <w:sz w:val="24"/>
          <w:szCs w:val="24"/>
        </w:rPr>
      </w:pPr>
    </w:p>
    <w:p w14:paraId="22E9E216" w14:textId="77777777" w:rsidR="00493EB9" w:rsidRPr="003660E2" w:rsidRDefault="00493EB9" w:rsidP="00493EB9">
      <w:pPr>
        <w:spacing w:line="360" w:lineRule="auto"/>
        <w:jc w:val="both"/>
        <w:rPr>
          <w:sz w:val="24"/>
          <w:szCs w:val="24"/>
        </w:rPr>
      </w:pPr>
      <w:r w:rsidRPr="003660E2">
        <w:rPr>
          <w:b/>
          <w:sz w:val="24"/>
          <w:szCs w:val="24"/>
        </w:rPr>
        <w:t>Figure S4</w:t>
      </w:r>
      <w:r w:rsidRPr="003660E2">
        <w:rPr>
          <w:sz w:val="24"/>
          <w:szCs w:val="24"/>
        </w:rPr>
        <w:t xml:space="preserve">. Distribution of disease RE sizes for genes merged within the 100K GP and TOPMed (before quality control). Bar plots showing the allele frequency percentage predicted by ExpansionHunter (before quality control) in both the 100K GP and TOPMed cohorts. The regions are shaded to indicate non-expanded (blue), premutation (yellow), and full-mutation expanded (red) ranges for each gene, as indicated in </w:t>
      </w:r>
      <w:r w:rsidRPr="003660E2">
        <w:rPr>
          <w:b/>
          <w:sz w:val="24"/>
          <w:szCs w:val="24"/>
        </w:rPr>
        <w:t>Table S3</w:t>
      </w:r>
      <w:r w:rsidRPr="003660E2">
        <w:rPr>
          <w:sz w:val="24"/>
          <w:szCs w:val="24"/>
        </w:rPr>
        <w:t>.</w:t>
      </w:r>
    </w:p>
    <w:p w14:paraId="01931AD2" w14:textId="77777777" w:rsidR="00493EB9" w:rsidRPr="003660E2" w:rsidRDefault="00493EB9" w:rsidP="00493EB9">
      <w:pPr>
        <w:spacing w:line="360" w:lineRule="auto"/>
        <w:jc w:val="both"/>
        <w:rPr>
          <w:sz w:val="24"/>
          <w:szCs w:val="24"/>
        </w:rPr>
      </w:pPr>
    </w:p>
    <w:p w14:paraId="03789FF1" w14:textId="77777777" w:rsidR="00493EB9" w:rsidRPr="003660E2" w:rsidRDefault="00493EB9" w:rsidP="00493EB9">
      <w:pPr>
        <w:spacing w:line="360" w:lineRule="auto"/>
        <w:jc w:val="both"/>
        <w:rPr>
          <w:sz w:val="24"/>
          <w:szCs w:val="24"/>
        </w:rPr>
      </w:pPr>
      <w:r w:rsidRPr="003660E2">
        <w:rPr>
          <w:b/>
          <w:sz w:val="24"/>
          <w:szCs w:val="24"/>
        </w:rPr>
        <w:t>Figure S5</w:t>
      </w:r>
      <w:r w:rsidRPr="003660E2">
        <w:rPr>
          <w:sz w:val="24"/>
          <w:szCs w:val="24"/>
        </w:rPr>
        <w:t xml:space="preserve">. Distribution of disease RE sizes for genes within the 1K GP3 split by population. Violin plots with boxplots represent the repeat size distribution of each locus across all ancestries. Repeat size median (Q1-Q3) among all ancestries across the 13 repeat loci are in </w:t>
      </w:r>
      <w:r w:rsidRPr="003660E2">
        <w:rPr>
          <w:b/>
          <w:sz w:val="24"/>
          <w:szCs w:val="24"/>
        </w:rPr>
        <w:t>Table S10</w:t>
      </w:r>
      <w:r w:rsidRPr="003660E2">
        <w:rPr>
          <w:sz w:val="24"/>
          <w:szCs w:val="24"/>
        </w:rPr>
        <w:t>.</w:t>
      </w:r>
    </w:p>
    <w:p w14:paraId="08095152"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EB9"/>
    <w:rsid w:val="00493EB9"/>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275D5"/>
  <w15:chartTrackingRefBased/>
  <w15:docId w15:val="{1F6CEBB6-254D-4757-869C-9DBCD69AE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3EB9"/>
    <w:pPr>
      <w:spacing w:after="0" w:line="276" w:lineRule="auto"/>
    </w:pPr>
    <w:rPr>
      <w:rFonts w:ascii="Arial" w:eastAsia="Arial" w:hAnsi="Arial" w:cs="Arial"/>
      <w:lang w:val="en-GB" w:eastAsia="en-GB"/>
    </w:rPr>
  </w:style>
  <w:style w:type="paragraph" w:styleId="Heading2">
    <w:name w:val="heading 2"/>
    <w:basedOn w:val="Normal"/>
    <w:next w:val="Normal"/>
    <w:link w:val="Heading2Char"/>
    <w:uiPriority w:val="9"/>
    <w:unhideWhenUsed/>
    <w:qFormat/>
    <w:rsid w:val="00493EB9"/>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3EB9"/>
    <w:rPr>
      <w:rFonts w:ascii="Arial" w:eastAsia="Arial" w:hAnsi="Arial" w:cs="Arial"/>
      <w:sz w:val="32"/>
      <w:szCs w:val="3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331</Words>
  <Characters>1893</Characters>
  <Application>Microsoft Office Word</Application>
  <DocSecurity>0</DocSecurity>
  <Lines>15</Lines>
  <Paragraphs>4</Paragraphs>
  <ScaleCrop>false</ScaleCrop>
  <Company>Springer Nature</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2023-07-03T04:32:00Z</dcterms:created>
  <dcterms:modified xsi:type="dcterms:W3CDTF">2023-07-03T04:33:00Z</dcterms:modified>
</cp:coreProperties>
</file>