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39E7" w14:textId="77777777" w:rsidR="00FD4258" w:rsidRPr="00FD4258" w:rsidRDefault="00FD4258" w:rsidP="00FD4258">
      <w:pPr>
        <w:pStyle w:val="Title2"/>
        <w:spacing w:line="360" w:lineRule="auto"/>
        <w:jc w:val="center"/>
        <w:rPr>
          <w:bCs/>
          <w:sz w:val="32"/>
          <w:szCs w:val="32"/>
        </w:rPr>
      </w:pPr>
      <w:r w:rsidRPr="00FD4258">
        <w:rPr>
          <w:bCs/>
          <w:sz w:val="32"/>
          <w:szCs w:val="32"/>
        </w:rPr>
        <w:t>Supporting Information</w:t>
      </w:r>
    </w:p>
    <w:p w14:paraId="1B5705B9" w14:textId="77777777" w:rsidR="00FD4258" w:rsidRPr="004C0EE9" w:rsidRDefault="00FD4258" w:rsidP="00FD4258">
      <w:pPr>
        <w:pStyle w:val="Tableofcontents"/>
      </w:pPr>
    </w:p>
    <w:p w14:paraId="74835A86" w14:textId="77777777" w:rsidR="00FD4258" w:rsidRPr="006165FE" w:rsidRDefault="00FD4258" w:rsidP="00FD4258">
      <w:pPr>
        <w:pStyle w:val="Title2"/>
        <w:spacing w:line="360" w:lineRule="auto"/>
        <w:jc w:val="both"/>
        <w:rPr>
          <w:b w:val="0"/>
          <w:sz w:val="30"/>
          <w:szCs w:val="30"/>
        </w:rPr>
      </w:pPr>
      <w:bookmarkStart w:id="0" w:name="OLE_LINK2"/>
      <w:r w:rsidRPr="006165FE">
        <w:rPr>
          <w:sz w:val="30"/>
          <w:szCs w:val="30"/>
        </w:rPr>
        <w:t>Porous Nanocomposites with Enhanced Intrinsic Piezoresistive Sensitivity for a Highly Integrated Multi</w:t>
      </w:r>
      <w:r w:rsidRPr="006165FE">
        <w:rPr>
          <w:rFonts w:hint="eastAsia"/>
          <w:sz w:val="30"/>
          <w:szCs w:val="30"/>
          <w:lang w:eastAsia="zh-CN"/>
        </w:rPr>
        <w:t>modal</w:t>
      </w:r>
      <w:r w:rsidRPr="006165FE">
        <w:rPr>
          <w:sz w:val="30"/>
          <w:szCs w:val="30"/>
        </w:rPr>
        <w:t xml:space="preserve"> Tactile Sensor </w:t>
      </w:r>
      <w:bookmarkEnd w:id="0"/>
    </w:p>
    <w:p w14:paraId="6E34B472" w14:textId="2E7C7A0E" w:rsidR="00FD4258" w:rsidRPr="006165FE" w:rsidRDefault="00FD4258" w:rsidP="00FD4258">
      <w:pPr>
        <w:pStyle w:val="AuthorsFull"/>
        <w:spacing w:line="360" w:lineRule="auto"/>
        <w:jc w:val="both"/>
        <w:rPr>
          <w:i w:val="0"/>
          <w:iCs/>
        </w:rPr>
      </w:pPr>
      <w:r w:rsidRPr="006165FE">
        <w:rPr>
          <w:i w:val="0"/>
          <w:iCs/>
        </w:rPr>
        <w:t xml:space="preserve">Jianpeng Zhang </w:t>
      </w:r>
      <w:r w:rsidR="008A1BB3">
        <w:rPr>
          <w:i w:val="0"/>
          <w:iCs/>
          <w:vertAlign w:val="superscript"/>
        </w:rPr>
        <w:t>1</w:t>
      </w:r>
      <w:r w:rsidRPr="006165FE">
        <w:rPr>
          <w:i w:val="0"/>
          <w:iCs/>
        </w:rPr>
        <w:t xml:space="preserve">, Song Wei </w:t>
      </w:r>
      <w:r w:rsidR="008A1BB3">
        <w:rPr>
          <w:i w:val="0"/>
          <w:iCs/>
          <w:vertAlign w:val="superscript"/>
        </w:rPr>
        <w:t>1</w:t>
      </w:r>
      <w:r w:rsidRPr="006165FE">
        <w:rPr>
          <w:i w:val="0"/>
          <w:iCs/>
        </w:rPr>
        <w:t>,</w:t>
      </w:r>
      <w:r w:rsidRPr="006165FE">
        <w:rPr>
          <w:rFonts w:hint="eastAsia"/>
          <w:i w:val="0"/>
          <w:iCs/>
          <w:lang w:eastAsia="zh-CN"/>
        </w:rPr>
        <w:t xml:space="preserve"> </w:t>
      </w:r>
      <w:proofErr w:type="spellStart"/>
      <w:r w:rsidRPr="006165FE">
        <w:rPr>
          <w:rFonts w:hint="eastAsia"/>
          <w:i w:val="0"/>
          <w:iCs/>
          <w:lang w:eastAsia="zh-CN"/>
        </w:rPr>
        <w:t>Cai</w:t>
      </w:r>
      <w:r w:rsidRPr="006165FE">
        <w:rPr>
          <w:i w:val="0"/>
          <w:iCs/>
          <w:lang w:eastAsia="zh-CN"/>
        </w:rPr>
        <w:t>chao</w:t>
      </w:r>
      <w:proofErr w:type="spellEnd"/>
      <w:r w:rsidRPr="006165FE">
        <w:rPr>
          <w:i w:val="0"/>
          <w:iCs/>
          <w:lang w:eastAsia="zh-CN"/>
        </w:rPr>
        <w:t xml:space="preserve"> Liu</w:t>
      </w:r>
      <w:r w:rsidRPr="006165FE">
        <w:rPr>
          <w:i w:val="0"/>
          <w:iCs/>
          <w:vertAlign w:val="superscript"/>
        </w:rPr>
        <w:t xml:space="preserve"> </w:t>
      </w:r>
      <w:r w:rsidR="008A1BB3">
        <w:rPr>
          <w:i w:val="0"/>
          <w:iCs/>
          <w:vertAlign w:val="superscript"/>
        </w:rPr>
        <w:t>2</w:t>
      </w:r>
      <w:r w:rsidRPr="006165FE">
        <w:rPr>
          <w:i w:val="0"/>
          <w:iCs/>
          <w:lang w:eastAsia="zh-CN"/>
        </w:rPr>
        <w:t xml:space="preserve">, </w:t>
      </w:r>
      <w:r w:rsidRPr="006165FE">
        <w:rPr>
          <w:i w:val="0"/>
          <w:iCs/>
        </w:rPr>
        <w:t xml:space="preserve">Chao Shang </w:t>
      </w:r>
      <w:r w:rsidR="008A1BB3">
        <w:rPr>
          <w:i w:val="0"/>
          <w:iCs/>
          <w:vertAlign w:val="superscript"/>
        </w:rPr>
        <w:t>1</w:t>
      </w:r>
      <w:r w:rsidRPr="006165FE">
        <w:rPr>
          <w:i w:val="0"/>
          <w:iCs/>
        </w:rPr>
        <w:t xml:space="preserve">, </w:t>
      </w:r>
      <w:proofErr w:type="spellStart"/>
      <w:r w:rsidRPr="006165FE">
        <w:rPr>
          <w:i w:val="0"/>
          <w:iCs/>
        </w:rPr>
        <w:t>Zhaoqiang</w:t>
      </w:r>
      <w:proofErr w:type="spellEnd"/>
      <w:r w:rsidRPr="006165FE">
        <w:rPr>
          <w:i w:val="0"/>
          <w:iCs/>
        </w:rPr>
        <w:t xml:space="preserve"> He </w:t>
      </w:r>
      <w:r w:rsidR="008A1BB3">
        <w:rPr>
          <w:i w:val="0"/>
          <w:iCs/>
          <w:vertAlign w:val="superscript"/>
        </w:rPr>
        <w:t>1</w:t>
      </w:r>
      <w:r w:rsidRPr="006165FE">
        <w:rPr>
          <w:i w:val="0"/>
          <w:iCs/>
        </w:rPr>
        <w:t xml:space="preserve">, Yu Duan </w:t>
      </w:r>
      <w:r w:rsidR="008A1BB3">
        <w:rPr>
          <w:i w:val="0"/>
          <w:iCs/>
          <w:vertAlign w:val="superscript"/>
        </w:rPr>
        <w:t>1</w:t>
      </w:r>
      <w:r w:rsidRPr="006165FE">
        <w:rPr>
          <w:i w:val="0"/>
          <w:iCs/>
        </w:rPr>
        <w:t xml:space="preserve">, </w:t>
      </w:r>
      <w:proofErr w:type="spellStart"/>
      <w:r w:rsidRPr="006165FE">
        <w:rPr>
          <w:i w:val="0"/>
          <w:iCs/>
        </w:rPr>
        <w:t>Zhengchun</w:t>
      </w:r>
      <w:proofErr w:type="spellEnd"/>
      <w:r w:rsidRPr="006165FE">
        <w:rPr>
          <w:i w:val="0"/>
          <w:iCs/>
        </w:rPr>
        <w:t xml:space="preserve"> Peng </w:t>
      </w:r>
      <w:r w:rsidR="008A1BB3">
        <w:rPr>
          <w:i w:val="0"/>
          <w:iCs/>
          <w:vertAlign w:val="superscript"/>
        </w:rPr>
        <w:t>1</w:t>
      </w:r>
      <w:r w:rsidRPr="006165FE">
        <w:rPr>
          <w:i w:val="0"/>
          <w:iCs/>
          <w:vertAlign w:val="superscript"/>
        </w:rPr>
        <w:t xml:space="preserve">, </w:t>
      </w:r>
      <w:r w:rsidR="008A1BB3">
        <w:rPr>
          <w:i w:val="0"/>
          <w:iCs/>
          <w:vertAlign w:val="superscript"/>
        </w:rPr>
        <w:t>2</w:t>
      </w:r>
      <w:r w:rsidRPr="006165FE">
        <w:rPr>
          <w:i w:val="0"/>
          <w:iCs/>
          <w:vertAlign w:val="superscript"/>
        </w:rPr>
        <w:t xml:space="preserve"> </w:t>
      </w:r>
      <w:r w:rsidRPr="006165FE">
        <w:rPr>
          <w:i w:val="0"/>
          <w:iCs/>
        </w:rPr>
        <w:t>*</w:t>
      </w:r>
    </w:p>
    <w:p w14:paraId="76FB7DA9" w14:textId="77777777" w:rsidR="00FD4258" w:rsidRPr="004C0EE9" w:rsidRDefault="00FD4258" w:rsidP="00FD4258">
      <w:pPr>
        <w:pStyle w:val="Tableofcontents"/>
        <w:jc w:val="both"/>
      </w:pPr>
    </w:p>
    <w:p w14:paraId="2910AD2A" w14:textId="77777777" w:rsidR="00FD4258" w:rsidRPr="004C0EE9" w:rsidRDefault="00FD4258" w:rsidP="00FD4258">
      <w:pPr>
        <w:pStyle w:val="Dedication"/>
        <w:spacing w:line="360" w:lineRule="auto"/>
        <w:jc w:val="both"/>
      </w:pPr>
    </w:p>
    <w:p w14:paraId="7FCFE5F7" w14:textId="0F6CD6E8" w:rsidR="00FD4258" w:rsidRPr="006165FE" w:rsidRDefault="008A1BB3" w:rsidP="00FD4258">
      <w:pPr>
        <w:pStyle w:val="Addresses"/>
        <w:spacing w:line="360" w:lineRule="auto"/>
        <w:jc w:val="both"/>
      </w:pPr>
      <w:r>
        <w:rPr>
          <w:iCs/>
          <w:vertAlign w:val="superscript"/>
        </w:rPr>
        <w:t>1</w:t>
      </w:r>
      <w:r w:rsidR="00FD4258" w:rsidRPr="006165FE">
        <w:t xml:space="preserve"> State Key Laboratory of Radio Frequency Heterogeneous Integration (Shenzhen University), School of Physics and Optoelectronic Engineering, Shenzhen University, </w:t>
      </w:r>
    </w:p>
    <w:p w14:paraId="65B64065" w14:textId="77777777" w:rsidR="00FD4258" w:rsidRPr="006165FE" w:rsidRDefault="00FD4258" w:rsidP="00FD4258">
      <w:pPr>
        <w:pStyle w:val="Addresses"/>
        <w:spacing w:line="360" w:lineRule="auto"/>
        <w:jc w:val="both"/>
      </w:pPr>
      <w:r w:rsidRPr="006165FE">
        <w:t>Shenzhen, Guangdong Province, P. R. China 518060</w:t>
      </w:r>
    </w:p>
    <w:p w14:paraId="1BD152B6" w14:textId="2A474556" w:rsidR="00FD4258" w:rsidRPr="006165FE" w:rsidRDefault="008A1BB3" w:rsidP="00FD4258">
      <w:pPr>
        <w:pStyle w:val="Addresses"/>
        <w:spacing w:line="360" w:lineRule="auto"/>
        <w:jc w:val="both"/>
      </w:pPr>
      <w:r>
        <w:rPr>
          <w:iCs/>
          <w:vertAlign w:val="superscript"/>
        </w:rPr>
        <w:t>2</w:t>
      </w:r>
      <w:r w:rsidR="00FD4258" w:rsidRPr="006165FE">
        <w:t xml:space="preserve"> </w:t>
      </w:r>
      <w:proofErr w:type="spellStart"/>
      <w:r w:rsidR="00FD4258" w:rsidRPr="006165FE">
        <w:t>Linksense</w:t>
      </w:r>
      <w:proofErr w:type="spellEnd"/>
      <w:r w:rsidR="00FD4258" w:rsidRPr="006165FE">
        <w:t xml:space="preserve"> Technology Ltd., Guangdong Province, P. R. China 518060</w:t>
      </w:r>
    </w:p>
    <w:p w14:paraId="485ED8CC" w14:textId="77777777" w:rsidR="00FD4258" w:rsidRPr="004C0EE9" w:rsidRDefault="00FD4258" w:rsidP="00FD4258">
      <w:pPr>
        <w:spacing w:line="360" w:lineRule="auto"/>
        <w:jc w:val="both"/>
        <w:rPr>
          <w:lang w:val="en-US"/>
        </w:rPr>
      </w:pPr>
      <w:r w:rsidRPr="007F4FB2">
        <w:rPr>
          <w:i/>
          <w:iCs/>
        </w:rPr>
        <w:t>To whom correspondence should be addressed.</w:t>
      </w:r>
      <w:r w:rsidRPr="00D140EA">
        <w:t xml:space="preserve"> </w:t>
      </w:r>
      <w:r w:rsidRPr="00D140EA">
        <w:rPr>
          <w:i/>
          <w:iCs/>
          <w:color w:val="0000FF"/>
        </w:rPr>
        <w:t>zcpeng@szu.edu.cn</w:t>
      </w:r>
    </w:p>
    <w:p w14:paraId="79AFEB4A" w14:textId="77777777" w:rsidR="00FD4258" w:rsidRPr="00FD4258" w:rsidRDefault="00FD4258" w:rsidP="00FD4258">
      <w:pPr>
        <w:pStyle w:val="Tableofcontents"/>
      </w:pPr>
    </w:p>
    <w:p w14:paraId="6CE26646" w14:textId="77777777" w:rsidR="00FD4258" w:rsidRPr="004C0EE9" w:rsidRDefault="00FD4258" w:rsidP="00FD4258">
      <w:pPr>
        <w:pStyle w:val="Maintext"/>
      </w:pPr>
    </w:p>
    <w:p w14:paraId="447A76F4" w14:textId="77777777" w:rsidR="00FD4258" w:rsidRPr="00FD4258" w:rsidRDefault="00FD4258" w:rsidP="00FD4258">
      <w:pPr>
        <w:pStyle w:val="Maintext"/>
        <w:rPr>
          <w:sz w:val="21"/>
          <w:szCs w:val="21"/>
        </w:rPr>
      </w:pPr>
      <w:r w:rsidRPr="00FD4258">
        <w:rPr>
          <w:noProof/>
          <w:sz w:val="21"/>
          <w:szCs w:val="21"/>
        </w:rPr>
        <w:lastRenderedPageBreak/>
        <w:drawing>
          <wp:inline distT="0" distB="0" distL="0" distR="0" wp14:anchorId="77915A2A" wp14:editId="1E3D0328">
            <wp:extent cx="5400000" cy="4288961"/>
            <wp:effectExtent l="0" t="0" r="0" b="0"/>
            <wp:docPr id="11207901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00" cy="4288961"/>
                    </a:xfrm>
                    <a:prstGeom prst="rect">
                      <a:avLst/>
                    </a:prstGeom>
                    <a:noFill/>
                  </pic:spPr>
                </pic:pic>
              </a:graphicData>
            </a:graphic>
          </wp:inline>
        </w:drawing>
      </w:r>
    </w:p>
    <w:p w14:paraId="29323B4B" w14:textId="77777777" w:rsidR="00FD4258" w:rsidRPr="00FD4258" w:rsidRDefault="00FD4258" w:rsidP="00FD4258">
      <w:pPr>
        <w:pStyle w:val="Maintext"/>
        <w:spacing w:line="240" w:lineRule="auto"/>
        <w:rPr>
          <w:sz w:val="21"/>
          <w:szCs w:val="21"/>
        </w:rPr>
      </w:pPr>
      <w:r w:rsidRPr="00FD4258">
        <w:rPr>
          <w:b/>
          <w:bCs/>
          <w:sz w:val="21"/>
          <w:szCs w:val="21"/>
        </w:rPr>
        <w:t>Figure S1</w:t>
      </w:r>
      <w:r w:rsidRPr="00FD4258">
        <w:rPr>
          <w:sz w:val="21"/>
          <w:szCs w:val="21"/>
        </w:rPr>
        <w:t xml:space="preserve">. Detail fabrication procedure of highly intrinsic piezoresistive porous nanocomposites    </w:t>
      </w:r>
    </w:p>
    <w:p w14:paraId="07197F1F" w14:textId="77777777" w:rsidR="00FD4258" w:rsidRPr="00FD4258" w:rsidRDefault="00FD4258" w:rsidP="00FD4258">
      <w:pPr>
        <w:pStyle w:val="Maintext"/>
        <w:spacing w:line="240" w:lineRule="auto"/>
        <w:rPr>
          <w:sz w:val="21"/>
          <w:szCs w:val="21"/>
        </w:rPr>
      </w:pPr>
      <w:r w:rsidRPr="00FD4258">
        <w:rPr>
          <w:noProof/>
          <w:sz w:val="21"/>
          <w:szCs w:val="21"/>
        </w:rPr>
        <w:drawing>
          <wp:inline distT="0" distB="0" distL="0" distR="0" wp14:anchorId="25AEDFCA" wp14:editId="40CBFC15">
            <wp:extent cx="5400000" cy="2601400"/>
            <wp:effectExtent l="0" t="0" r="0" b="8890"/>
            <wp:docPr id="135995510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2601400"/>
                    </a:xfrm>
                    <a:prstGeom prst="rect">
                      <a:avLst/>
                    </a:prstGeom>
                    <a:noFill/>
                  </pic:spPr>
                </pic:pic>
              </a:graphicData>
            </a:graphic>
          </wp:inline>
        </w:drawing>
      </w:r>
    </w:p>
    <w:p w14:paraId="782E77B0" w14:textId="77777777" w:rsidR="00FD4258" w:rsidRPr="00FD4258" w:rsidRDefault="00FD4258" w:rsidP="00FD4258">
      <w:pPr>
        <w:pStyle w:val="Maintext"/>
        <w:spacing w:line="240" w:lineRule="auto"/>
        <w:rPr>
          <w:sz w:val="21"/>
          <w:szCs w:val="21"/>
        </w:rPr>
      </w:pPr>
      <w:r w:rsidRPr="00FD4258">
        <w:rPr>
          <w:b/>
          <w:bCs/>
          <w:sz w:val="21"/>
          <w:szCs w:val="21"/>
        </w:rPr>
        <w:t>Figure S2.</w:t>
      </w:r>
      <w:r w:rsidRPr="00FD4258">
        <w:rPr>
          <w:sz w:val="21"/>
          <w:szCs w:val="21"/>
        </w:rPr>
        <w:t xml:space="preserve"> Visual image recognition features of pore structure by ImagJ2. SEM images and corresponding pore structure features of PFTNs containing 400wt% usage of PMA and 8wt% CN (</w:t>
      </w:r>
      <w:r w:rsidRPr="00FD4258">
        <w:rPr>
          <w:b/>
          <w:bCs/>
          <w:sz w:val="21"/>
          <w:szCs w:val="21"/>
        </w:rPr>
        <w:t>a</w:t>
      </w:r>
      <w:r w:rsidRPr="00FD4258">
        <w:rPr>
          <w:sz w:val="21"/>
          <w:szCs w:val="21"/>
        </w:rPr>
        <w:t>), 10wt% CN (</w:t>
      </w:r>
      <w:r w:rsidRPr="00FD4258">
        <w:rPr>
          <w:b/>
          <w:bCs/>
          <w:sz w:val="21"/>
          <w:szCs w:val="21"/>
        </w:rPr>
        <w:t>b</w:t>
      </w:r>
      <w:r w:rsidRPr="00FD4258">
        <w:rPr>
          <w:sz w:val="21"/>
          <w:szCs w:val="21"/>
        </w:rPr>
        <w:t>), and 12wt% CN (</w:t>
      </w:r>
      <w:r w:rsidRPr="00FD4258">
        <w:rPr>
          <w:b/>
          <w:bCs/>
          <w:sz w:val="21"/>
          <w:szCs w:val="21"/>
        </w:rPr>
        <w:t>c</w:t>
      </w:r>
      <w:r w:rsidRPr="00FD4258">
        <w:rPr>
          <w:sz w:val="21"/>
          <w:szCs w:val="21"/>
        </w:rPr>
        <w:t>), as well as for PFTN containing 15wt% CN and 600wt% usage of PMA (</w:t>
      </w:r>
      <w:r w:rsidRPr="00FD4258">
        <w:rPr>
          <w:b/>
          <w:bCs/>
          <w:sz w:val="21"/>
          <w:szCs w:val="21"/>
        </w:rPr>
        <w:t>d</w:t>
      </w:r>
      <w:r w:rsidRPr="00FD4258">
        <w:rPr>
          <w:sz w:val="21"/>
          <w:szCs w:val="21"/>
        </w:rPr>
        <w:t>), 750wt% usage of PMA (</w:t>
      </w:r>
      <w:r w:rsidRPr="00FD4258">
        <w:rPr>
          <w:b/>
          <w:bCs/>
          <w:sz w:val="21"/>
          <w:szCs w:val="21"/>
        </w:rPr>
        <w:t>e</w:t>
      </w:r>
      <w:r w:rsidRPr="00FD4258">
        <w:rPr>
          <w:sz w:val="21"/>
          <w:szCs w:val="21"/>
        </w:rPr>
        <w:t>), and 900wt% usage of PMA (</w:t>
      </w:r>
      <w:r w:rsidRPr="00FD4258">
        <w:rPr>
          <w:b/>
          <w:bCs/>
          <w:sz w:val="21"/>
          <w:szCs w:val="21"/>
        </w:rPr>
        <w:t>f</w:t>
      </w:r>
      <w:r w:rsidRPr="00FD4258">
        <w:rPr>
          <w:sz w:val="21"/>
          <w:szCs w:val="21"/>
        </w:rPr>
        <w:t>).</w:t>
      </w:r>
    </w:p>
    <w:p w14:paraId="29B29A51" w14:textId="77777777" w:rsidR="00FD4258" w:rsidRPr="00FD4258" w:rsidRDefault="00FD4258" w:rsidP="00FD4258">
      <w:pPr>
        <w:pStyle w:val="Maintext"/>
        <w:spacing w:line="240" w:lineRule="auto"/>
        <w:rPr>
          <w:sz w:val="21"/>
          <w:szCs w:val="21"/>
        </w:rPr>
      </w:pPr>
      <w:r w:rsidRPr="00FD4258">
        <w:rPr>
          <w:noProof/>
          <w:sz w:val="21"/>
          <w:szCs w:val="21"/>
        </w:rPr>
        <w:lastRenderedPageBreak/>
        <w:drawing>
          <wp:inline distT="0" distB="0" distL="0" distR="0" wp14:anchorId="6C929834" wp14:editId="4EE5F648">
            <wp:extent cx="5760000" cy="1559521"/>
            <wp:effectExtent l="0" t="0" r="0" b="0"/>
            <wp:docPr id="684452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1559521"/>
                    </a:xfrm>
                    <a:prstGeom prst="rect">
                      <a:avLst/>
                    </a:prstGeom>
                    <a:noFill/>
                  </pic:spPr>
                </pic:pic>
              </a:graphicData>
            </a:graphic>
          </wp:inline>
        </w:drawing>
      </w:r>
    </w:p>
    <w:p w14:paraId="43D6E72C" w14:textId="77777777" w:rsidR="00FD4258" w:rsidRPr="00FD4258" w:rsidRDefault="00FD4258" w:rsidP="00FD4258">
      <w:pPr>
        <w:pStyle w:val="Maintext"/>
        <w:spacing w:line="240" w:lineRule="auto"/>
        <w:rPr>
          <w:sz w:val="21"/>
          <w:szCs w:val="21"/>
        </w:rPr>
      </w:pPr>
      <w:r w:rsidRPr="00FD4258">
        <w:rPr>
          <w:b/>
          <w:bCs/>
          <w:sz w:val="21"/>
          <w:szCs w:val="21"/>
        </w:rPr>
        <w:t>Figure S3.</w:t>
      </w:r>
      <w:r w:rsidRPr="00FD4258">
        <w:rPr>
          <w:sz w:val="21"/>
          <w:szCs w:val="21"/>
        </w:rPr>
        <w:t xml:space="preserve"> Measurement of intrinsic piezoresistive properties of porous nanocomposites. (</w:t>
      </w:r>
      <w:r w:rsidRPr="00FD4258">
        <w:rPr>
          <w:b/>
          <w:bCs/>
          <w:sz w:val="21"/>
          <w:szCs w:val="21"/>
        </w:rPr>
        <w:t>a</w:t>
      </w:r>
      <w:r w:rsidRPr="00FD4258">
        <w:rPr>
          <w:sz w:val="21"/>
          <w:szCs w:val="21"/>
        </w:rPr>
        <w:t>) Schematic diagram of the four-electrode methods. (</w:t>
      </w:r>
      <w:r w:rsidRPr="00FD4258">
        <w:rPr>
          <w:b/>
          <w:bCs/>
          <w:sz w:val="21"/>
          <w:szCs w:val="21"/>
        </w:rPr>
        <w:t>b</w:t>
      </w:r>
      <w:r w:rsidRPr="00FD4258">
        <w:rPr>
          <w:sz w:val="21"/>
          <w:szCs w:val="21"/>
        </w:rPr>
        <w:t>) The potential distribution at the top and bottom of the porous nanocomposites, showing high consistency between sensing electrodes, indicating that these sensors are highly accurate in measuring the electrical resistivity of a 1mm thick porous material.</w:t>
      </w:r>
      <w:r w:rsidRPr="00FD4258">
        <w:rPr>
          <w:sz w:val="21"/>
          <w:szCs w:val="21"/>
          <w:lang w:val="de-DE"/>
        </w:rPr>
        <w:t xml:space="preserve"> (</w:t>
      </w:r>
      <w:r w:rsidRPr="00FD4258">
        <w:rPr>
          <w:b/>
          <w:bCs/>
          <w:sz w:val="21"/>
          <w:szCs w:val="21"/>
          <w:lang w:val="de-DE"/>
        </w:rPr>
        <w:t>c</w:t>
      </w:r>
      <w:r w:rsidRPr="00FD4258">
        <w:rPr>
          <w:sz w:val="21"/>
          <w:szCs w:val="21"/>
          <w:lang w:val="de-DE"/>
        </w:rPr>
        <w:t xml:space="preserve">) </w:t>
      </w:r>
      <w:r w:rsidRPr="00FD4258">
        <w:rPr>
          <w:rFonts w:hint="eastAsia"/>
          <w:sz w:val="21"/>
          <w:szCs w:val="21"/>
        </w:rPr>
        <w:t>Experimental</w:t>
      </w:r>
      <w:r w:rsidRPr="00FD4258">
        <w:rPr>
          <w:sz w:val="21"/>
          <w:szCs w:val="21"/>
        </w:rPr>
        <w:t xml:space="preserve"> </w:t>
      </w:r>
      <w:r w:rsidRPr="00FD4258">
        <w:rPr>
          <w:rFonts w:hint="eastAsia"/>
          <w:sz w:val="21"/>
          <w:szCs w:val="21"/>
        </w:rPr>
        <w:t>c</w:t>
      </w:r>
      <w:r w:rsidRPr="00FD4258">
        <w:rPr>
          <w:sz w:val="21"/>
          <w:szCs w:val="21"/>
        </w:rPr>
        <w:t>omparison between  intrinsic resistance based on 4-wire method and total resistance based on 2-wire method on sensing electrodes.</w:t>
      </w:r>
    </w:p>
    <w:p w14:paraId="266F6358" w14:textId="77777777" w:rsidR="00FD4258" w:rsidRPr="00FD4258" w:rsidRDefault="00FD4258" w:rsidP="00FD4258">
      <w:pPr>
        <w:pStyle w:val="Maintext"/>
        <w:spacing w:line="240" w:lineRule="auto"/>
        <w:jc w:val="center"/>
        <w:rPr>
          <w:sz w:val="21"/>
          <w:szCs w:val="21"/>
        </w:rPr>
      </w:pPr>
      <w:r w:rsidRPr="00FD4258">
        <w:rPr>
          <w:noProof/>
          <w:sz w:val="21"/>
          <w:szCs w:val="21"/>
        </w:rPr>
        <w:drawing>
          <wp:inline distT="0" distB="0" distL="0" distR="0" wp14:anchorId="6725F781" wp14:editId="3694F76A">
            <wp:extent cx="5400000" cy="1531049"/>
            <wp:effectExtent l="0" t="0" r="0" b="0"/>
            <wp:docPr id="21239750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00" cy="1531049"/>
                    </a:xfrm>
                    <a:prstGeom prst="rect">
                      <a:avLst/>
                    </a:prstGeom>
                    <a:noFill/>
                  </pic:spPr>
                </pic:pic>
              </a:graphicData>
            </a:graphic>
          </wp:inline>
        </w:drawing>
      </w:r>
    </w:p>
    <w:p w14:paraId="1A42F113" w14:textId="77777777" w:rsidR="00FD4258" w:rsidRPr="00FD4258" w:rsidRDefault="00FD4258" w:rsidP="00FD4258">
      <w:pPr>
        <w:pStyle w:val="Maintext"/>
        <w:spacing w:line="240" w:lineRule="auto"/>
        <w:rPr>
          <w:sz w:val="21"/>
          <w:szCs w:val="21"/>
        </w:rPr>
      </w:pPr>
      <w:r w:rsidRPr="00FD4258">
        <w:rPr>
          <w:b/>
          <w:bCs/>
          <w:sz w:val="21"/>
          <w:szCs w:val="21"/>
        </w:rPr>
        <w:t>Figure S4.</w:t>
      </w:r>
      <w:r w:rsidRPr="00FD4258">
        <w:rPr>
          <w:sz w:val="21"/>
          <w:szCs w:val="21"/>
        </w:rPr>
        <w:t xml:space="preserve"> Intrinsic piezoresistive characteristic of porous nanocomposites in different mass ratio between FKM and TPU, same CN content (15wt%), and same usage of PMA (750wt%). (</w:t>
      </w:r>
      <w:r w:rsidRPr="00FD4258">
        <w:rPr>
          <w:b/>
          <w:bCs/>
          <w:sz w:val="21"/>
          <w:szCs w:val="21"/>
        </w:rPr>
        <w:t>a</w:t>
      </w:r>
      <w:r w:rsidRPr="00FD4258">
        <w:rPr>
          <w:sz w:val="21"/>
          <w:szCs w:val="21"/>
        </w:rPr>
        <w:t>) Stress-compressibility curves of these PFTNs ("</w:t>
      </w:r>
      <w:proofErr w:type="spellStart"/>
      <w:r w:rsidRPr="00FD4258">
        <w:rPr>
          <w:i/>
          <w:iCs/>
          <w:sz w:val="21"/>
          <w:szCs w:val="21"/>
        </w:rPr>
        <w:t>n</w:t>
      </w:r>
      <w:r w:rsidRPr="00FD4258">
        <w:rPr>
          <w:sz w:val="21"/>
          <w:szCs w:val="21"/>
        </w:rPr>
        <w:t>T</w:t>
      </w:r>
      <w:r w:rsidRPr="00FD4258">
        <w:rPr>
          <w:i/>
          <w:iCs/>
          <w:sz w:val="21"/>
          <w:szCs w:val="21"/>
        </w:rPr>
        <w:t>m</w:t>
      </w:r>
      <w:r w:rsidRPr="00FD4258">
        <w:rPr>
          <w:sz w:val="21"/>
          <w:szCs w:val="21"/>
        </w:rPr>
        <w:t>F</w:t>
      </w:r>
      <w:proofErr w:type="spellEnd"/>
      <w:r w:rsidRPr="00FD4258">
        <w:rPr>
          <w:sz w:val="21"/>
          <w:szCs w:val="21"/>
        </w:rPr>
        <w:t>" indicates that the PFTN is composed of n parts TPU and m parts FKM). (</w:t>
      </w:r>
      <w:r w:rsidRPr="00FD4258">
        <w:rPr>
          <w:b/>
          <w:bCs/>
          <w:sz w:val="21"/>
          <w:szCs w:val="21"/>
        </w:rPr>
        <w:t>b</w:t>
      </w:r>
      <w:r w:rsidRPr="00FD4258">
        <w:rPr>
          <w:sz w:val="21"/>
          <w:szCs w:val="21"/>
        </w:rPr>
        <w:t xml:space="preserve">) Electrical resistivity </w:t>
      </w:r>
      <w:proofErr w:type="gramStart"/>
      <w:r w:rsidRPr="00FD4258">
        <w:rPr>
          <w:sz w:val="21"/>
          <w:szCs w:val="21"/>
        </w:rPr>
        <w:t>change</w:t>
      </w:r>
      <w:proofErr w:type="gramEnd"/>
      <w:r w:rsidRPr="00FD4258">
        <w:rPr>
          <w:sz w:val="21"/>
          <w:szCs w:val="21"/>
        </w:rPr>
        <w:t xml:space="preserve"> along with the mass ratio between FKM and TPU. (</w:t>
      </w:r>
      <w:r w:rsidRPr="00FD4258">
        <w:rPr>
          <w:b/>
          <w:bCs/>
          <w:sz w:val="21"/>
          <w:szCs w:val="21"/>
        </w:rPr>
        <w:t>c</w:t>
      </w:r>
      <w:r w:rsidRPr="00FD4258">
        <w:rPr>
          <w:sz w:val="21"/>
          <w:szCs w:val="21"/>
        </w:rPr>
        <w:t xml:space="preserve">) Density changing with the mass ratio between FKM and TPU. </w:t>
      </w:r>
    </w:p>
    <w:p w14:paraId="15273208" w14:textId="77777777" w:rsidR="00FD4258" w:rsidRPr="00FD4258" w:rsidRDefault="00FD4258" w:rsidP="00FD4258">
      <w:pPr>
        <w:pStyle w:val="Maintext"/>
        <w:spacing w:line="240" w:lineRule="auto"/>
        <w:jc w:val="center"/>
        <w:rPr>
          <w:sz w:val="21"/>
          <w:szCs w:val="21"/>
        </w:rPr>
      </w:pPr>
      <w:r w:rsidRPr="00FD4258">
        <w:rPr>
          <w:noProof/>
          <w:sz w:val="21"/>
          <w:szCs w:val="21"/>
        </w:rPr>
        <w:drawing>
          <wp:inline distT="0" distB="0" distL="0" distR="0" wp14:anchorId="0BE47866" wp14:editId="56EBA131">
            <wp:extent cx="5394960" cy="2798228"/>
            <wp:effectExtent l="0" t="0" r="0" b="2540"/>
            <wp:docPr id="189292918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
                      <a:extLst>
                        <a:ext uri="{28A0092B-C50C-407E-A947-70E740481C1C}">
                          <a14:useLocalDpi xmlns:a14="http://schemas.microsoft.com/office/drawing/2010/main" val="0"/>
                        </a:ext>
                      </a:extLst>
                    </a:blip>
                    <a:srcRect t="3165" r="3294"/>
                    <a:stretch/>
                  </pic:blipFill>
                  <pic:spPr bwMode="auto">
                    <a:xfrm>
                      <a:off x="0" y="0"/>
                      <a:ext cx="5396257" cy="2798901"/>
                    </a:xfrm>
                    <a:prstGeom prst="rect">
                      <a:avLst/>
                    </a:prstGeom>
                    <a:noFill/>
                    <a:ln>
                      <a:noFill/>
                    </a:ln>
                    <a:extLst>
                      <a:ext uri="{53640926-AAD7-44D8-BBD7-CCE9431645EC}">
                        <a14:shadowObscured xmlns:a14="http://schemas.microsoft.com/office/drawing/2010/main"/>
                      </a:ext>
                    </a:extLst>
                  </pic:spPr>
                </pic:pic>
              </a:graphicData>
            </a:graphic>
          </wp:inline>
        </w:drawing>
      </w:r>
    </w:p>
    <w:p w14:paraId="1BB7255D" w14:textId="77777777" w:rsidR="00FD4258" w:rsidRPr="00FD4258" w:rsidRDefault="00FD4258" w:rsidP="00FD4258">
      <w:pPr>
        <w:pStyle w:val="Maintext"/>
        <w:spacing w:line="240" w:lineRule="auto"/>
        <w:rPr>
          <w:sz w:val="21"/>
          <w:szCs w:val="21"/>
        </w:rPr>
      </w:pPr>
      <w:r w:rsidRPr="00FD4258">
        <w:rPr>
          <w:b/>
          <w:bCs/>
          <w:sz w:val="21"/>
          <w:szCs w:val="21"/>
        </w:rPr>
        <w:t>Figure S5</w:t>
      </w:r>
      <w:r w:rsidRPr="00FD4258">
        <w:rPr>
          <w:sz w:val="21"/>
          <w:szCs w:val="21"/>
        </w:rPr>
        <w:t xml:space="preserve">. Cyclic characteristics of stress and electrical resistance of PFTNs when utilizing different amounts of PMA, under 1Hz linear loading with 50% deformation. Compressed stress </w:t>
      </w:r>
      <w:r w:rsidRPr="00FD4258">
        <w:rPr>
          <w:sz w:val="21"/>
          <w:szCs w:val="21"/>
        </w:rPr>
        <w:lastRenderedPageBreak/>
        <w:t>response of PFTNs containing 400wt% usage of PMA (</w:t>
      </w:r>
      <w:r w:rsidRPr="00FD4258">
        <w:rPr>
          <w:b/>
          <w:bCs/>
          <w:sz w:val="21"/>
          <w:szCs w:val="21"/>
        </w:rPr>
        <w:t>a</w:t>
      </w:r>
      <w:r w:rsidRPr="00FD4258">
        <w:rPr>
          <w:sz w:val="21"/>
          <w:szCs w:val="21"/>
        </w:rPr>
        <w:t>), 600wt% usage of PMA (</w:t>
      </w:r>
      <w:r w:rsidRPr="00FD4258">
        <w:rPr>
          <w:b/>
          <w:bCs/>
          <w:sz w:val="21"/>
          <w:szCs w:val="21"/>
        </w:rPr>
        <w:t>b</w:t>
      </w:r>
      <w:r w:rsidRPr="00FD4258">
        <w:rPr>
          <w:sz w:val="21"/>
          <w:szCs w:val="21"/>
        </w:rPr>
        <w:t>), and 750wt% usage of PMA (</w:t>
      </w:r>
      <w:r w:rsidRPr="00FD4258">
        <w:rPr>
          <w:b/>
          <w:bCs/>
          <w:sz w:val="21"/>
          <w:szCs w:val="21"/>
        </w:rPr>
        <w:t>c</w:t>
      </w:r>
      <w:r w:rsidRPr="00FD4258">
        <w:rPr>
          <w:sz w:val="21"/>
          <w:szCs w:val="21"/>
        </w:rPr>
        <w:t>) respectively, as well as the electrical resistance response of PFTNs containing 400wt% usage of PMA (</w:t>
      </w:r>
      <w:r w:rsidRPr="00FD4258">
        <w:rPr>
          <w:b/>
          <w:bCs/>
          <w:sz w:val="21"/>
          <w:szCs w:val="21"/>
        </w:rPr>
        <w:t>d</w:t>
      </w:r>
      <w:r w:rsidRPr="00FD4258">
        <w:rPr>
          <w:sz w:val="21"/>
          <w:szCs w:val="21"/>
        </w:rPr>
        <w:t>), 600wt% usage of PMA (</w:t>
      </w:r>
      <w:r w:rsidRPr="00FD4258">
        <w:rPr>
          <w:b/>
          <w:bCs/>
          <w:sz w:val="21"/>
          <w:szCs w:val="21"/>
        </w:rPr>
        <w:t>e</w:t>
      </w:r>
      <w:r w:rsidRPr="00FD4258">
        <w:rPr>
          <w:sz w:val="21"/>
          <w:szCs w:val="21"/>
        </w:rPr>
        <w:t>), and 750wt% usage of PMA (</w:t>
      </w:r>
      <w:r w:rsidRPr="00FD4258">
        <w:rPr>
          <w:b/>
          <w:bCs/>
          <w:sz w:val="21"/>
          <w:szCs w:val="21"/>
        </w:rPr>
        <w:t>f</w:t>
      </w:r>
      <w:r w:rsidRPr="00FD4258">
        <w:rPr>
          <w:sz w:val="21"/>
          <w:szCs w:val="21"/>
        </w:rPr>
        <w:t>).</w:t>
      </w:r>
    </w:p>
    <w:p w14:paraId="5C212D10" w14:textId="77777777" w:rsidR="00FD4258" w:rsidRPr="00FD4258" w:rsidRDefault="00FD4258" w:rsidP="00FD4258">
      <w:pPr>
        <w:pStyle w:val="Maintext"/>
        <w:spacing w:line="240" w:lineRule="auto"/>
        <w:rPr>
          <w:sz w:val="21"/>
          <w:szCs w:val="21"/>
        </w:rPr>
      </w:pPr>
      <w:r w:rsidRPr="00FD4258">
        <w:rPr>
          <w:noProof/>
          <w:sz w:val="21"/>
          <w:szCs w:val="21"/>
        </w:rPr>
        <w:drawing>
          <wp:inline distT="0" distB="0" distL="0" distR="0" wp14:anchorId="2893C139" wp14:editId="47687B2D">
            <wp:extent cx="5760000" cy="1627836"/>
            <wp:effectExtent l="0" t="0" r="0" b="0"/>
            <wp:docPr id="5572985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1627836"/>
                    </a:xfrm>
                    <a:prstGeom prst="rect">
                      <a:avLst/>
                    </a:prstGeom>
                    <a:noFill/>
                  </pic:spPr>
                </pic:pic>
              </a:graphicData>
            </a:graphic>
          </wp:inline>
        </w:drawing>
      </w:r>
    </w:p>
    <w:p w14:paraId="7FCA9534" w14:textId="77777777" w:rsidR="00FD4258" w:rsidRPr="00FD4258" w:rsidRDefault="00FD4258" w:rsidP="00FD4258">
      <w:pPr>
        <w:pStyle w:val="Maintext"/>
        <w:spacing w:line="240" w:lineRule="auto"/>
        <w:rPr>
          <w:sz w:val="21"/>
          <w:szCs w:val="21"/>
        </w:rPr>
      </w:pPr>
      <w:r w:rsidRPr="00FD4258">
        <w:rPr>
          <w:b/>
          <w:bCs/>
          <w:sz w:val="21"/>
          <w:szCs w:val="21"/>
        </w:rPr>
        <w:t>Figure S6</w:t>
      </w:r>
      <w:r w:rsidRPr="00FD4258">
        <w:rPr>
          <w:sz w:val="21"/>
          <w:szCs w:val="21"/>
        </w:rPr>
        <w:t>. Experimental evaluation of using silver paste to eliminate contact resistance. Schematic view of a typical four-wire method (</w:t>
      </w:r>
      <w:r w:rsidRPr="00FD4258">
        <w:rPr>
          <w:b/>
          <w:bCs/>
          <w:sz w:val="21"/>
          <w:szCs w:val="21"/>
        </w:rPr>
        <w:t>a</w:t>
      </w:r>
      <w:r w:rsidRPr="00FD4258">
        <w:rPr>
          <w:sz w:val="21"/>
          <w:szCs w:val="21"/>
        </w:rPr>
        <w:t>) and the corresponding two-wire method utilizing silver paste to make contact (</w:t>
      </w:r>
      <w:r w:rsidRPr="00FD4258">
        <w:rPr>
          <w:b/>
          <w:bCs/>
          <w:sz w:val="21"/>
          <w:szCs w:val="21"/>
        </w:rPr>
        <w:t>b</w:t>
      </w:r>
      <w:r w:rsidRPr="00FD4258">
        <w:rPr>
          <w:sz w:val="21"/>
          <w:szCs w:val="21"/>
        </w:rPr>
        <w:t>). (</w:t>
      </w:r>
      <w:r w:rsidRPr="00FD4258">
        <w:rPr>
          <w:b/>
          <w:bCs/>
          <w:sz w:val="21"/>
          <w:szCs w:val="21"/>
        </w:rPr>
        <w:t>c</w:t>
      </w:r>
      <w:r w:rsidRPr="00FD4258">
        <w:rPr>
          <w:sz w:val="21"/>
          <w:szCs w:val="21"/>
        </w:rPr>
        <w:t>) Compressed electrical resistances under three cycles of linear loading for both methods.</w:t>
      </w:r>
    </w:p>
    <w:p w14:paraId="19CAD64B" w14:textId="77777777" w:rsidR="00FD4258" w:rsidRPr="00FD4258" w:rsidRDefault="00FD4258" w:rsidP="00FD4258">
      <w:pPr>
        <w:pStyle w:val="Maintext"/>
        <w:spacing w:line="240" w:lineRule="auto"/>
        <w:rPr>
          <w:sz w:val="21"/>
          <w:szCs w:val="21"/>
        </w:rPr>
      </w:pPr>
      <w:r w:rsidRPr="00FD4258">
        <w:rPr>
          <w:noProof/>
          <w:sz w:val="21"/>
          <w:szCs w:val="21"/>
        </w:rPr>
        <w:drawing>
          <wp:inline distT="0" distB="0" distL="0" distR="0" wp14:anchorId="0E4A5487" wp14:editId="54997717">
            <wp:extent cx="5580000" cy="2551491"/>
            <wp:effectExtent l="0" t="0" r="1905" b="1270"/>
            <wp:docPr id="6331661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000" cy="2551491"/>
                    </a:xfrm>
                    <a:prstGeom prst="rect">
                      <a:avLst/>
                    </a:prstGeom>
                    <a:noFill/>
                  </pic:spPr>
                </pic:pic>
              </a:graphicData>
            </a:graphic>
          </wp:inline>
        </w:drawing>
      </w:r>
    </w:p>
    <w:p w14:paraId="158BAC07" w14:textId="77777777" w:rsidR="00FD4258" w:rsidRPr="00FD4258" w:rsidRDefault="00FD4258" w:rsidP="00FD4258">
      <w:pPr>
        <w:pStyle w:val="Maintext"/>
        <w:spacing w:line="240" w:lineRule="auto"/>
        <w:rPr>
          <w:sz w:val="21"/>
          <w:szCs w:val="21"/>
        </w:rPr>
      </w:pPr>
      <w:r w:rsidRPr="00FD4258">
        <w:rPr>
          <w:b/>
          <w:bCs/>
          <w:sz w:val="21"/>
          <w:szCs w:val="21"/>
        </w:rPr>
        <w:t>Figure S7.</w:t>
      </w:r>
      <w:r w:rsidRPr="00FD4258">
        <w:rPr>
          <w:sz w:val="21"/>
          <w:szCs w:val="21"/>
        </w:rPr>
        <w:t xml:space="preserve"> Images of the different testing platforms that were utilized to measure three-dimensional </w:t>
      </w:r>
      <w:proofErr w:type="gramStart"/>
      <w:r w:rsidRPr="00FD4258">
        <w:rPr>
          <w:sz w:val="21"/>
          <w:szCs w:val="21"/>
        </w:rPr>
        <w:t>forces  (</w:t>
      </w:r>
      <w:proofErr w:type="gramEnd"/>
      <w:r w:rsidRPr="00FD4258">
        <w:rPr>
          <w:sz w:val="21"/>
          <w:szCs w:val="21"/>
        </w:rPr>
        <w:t>a) Image of the manually adjusted tilting platform combined with a press machine. (b) Image of the three-dimensional motion platform along with a commercial sensor.</w:t>
      </w:r>
    </w:p>
    <w:p w14:paraId="2A534589" w14:textId="77777777" w:rsidR="00FD4258" w:rsidRPr="00FD4258" w:rsidRDefault="00FD4258" w:rsidP="00FD4258">
      <w:pPr>
        <w:pStyle w:val="Maintext"/>
        <w:spacing w:line="240" w:lineRule="auto"/>
        <w:rPr>
          <w:sz w:val="21"/>
          <w:szCs w:val="21"/>
        </w:rPr>
      </w:pPr>
      <w:r w:rsidRPr="00FD4258">
        <w:rPr>
          <w:noProof/>
          <w:sz w:val="21"/>
          <w:szCs w:val="21"/>
        </w:rPr>
        <w:lastRenderedPageBreak/>
        <w:drawing>
          <wp:inline distT="0" distB="0" distL="0" distR="0" wp14:anchorId="1E7A821A" wp14:editId="5CDDE3A1">
            <wp:extent cx="5760000" cy="4226593"/>
            <wp:effectExtent l="0" t="0" r="0" b="0"/>
            <wp:docPr id="177557676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4226593"/>
                    </a:xfrm>
                    <a:prstGeom prst="rect">
                      <a:avLst/>
                    </a:prstGeom>
                    <a:noFill/>
                  </pic:spPr>
                </pic:pic>
              </a:graphicData>
            </a:graphic>
          </wp:inline>
        </w:drawing>
      </w:r>
    </w:p>
    <w:p w14:paraId="579F6D10" w14:textId="77777777" w:rsidR="00FD4258" w:rsidRPr="00FD4258" w:rsidRDefault="00FD4258" w:rsidP="00FD4258">
      <w:pPr>
        <w:pStyle w:val="Maintext"/>
        <w:spacing w:line="240" w:lineRule="auto"/>
        <w:rPr>
          <w:sz w:val="21"/>
          <w:szCs w:val="21"/>
        </w:rPr>
      </w:pPr>
      <w:r w:rsidRPr="00FD4258">
        <w:rPr>
          <w:b/>
          <w:bCs/>
          <w:sz w:val="21"/>
          <w:szCs w:val="21"/>
        </w:rPr>
        <w:t>Figure S8</w:t>
      </w:r>
      <w:r w:rsidRPr="00FD4258">
        <w:rPr>
          <w:sz w:val="21"/>
          <w:szCs w:val="21"/>
        </w:rPr>
        <w:t>. Tangential force monitoring characteristics of the ET-skin cell, as well as the commercial sensor. (</w:t>
      </w:r>
      <w:r w:rsidRPr="00FD4258">
        <w:rPr>
          <w:b/>
          <w:bCs/>
          <w:sz w:val="21"/>
          <w:szCs w:val="21"/>
        </w:rPr>
        <w:t>a, b</w:t>
      </w:r>
      <w:r w:rsidRPr="00FD4258">
        <w:rPr>
          <w:sz w:val="21"/>
          <w:szCs w:val="21"/>
        </w:rPr>
        <w:t>) The electrical resistance change curves between TEPs along x-direction (red dots) and y-direction (black dots) under different out-plane angles with respect to z axis. (</w:t>
      </w:r>
      <w:r w:rsidRPr="00FD4258">
        <w:rPr>
          <w:b/>
          <w:bCs/>
          <w:sz w:val="21"/>
          <w:szCs w:val="21"/>
        </w:rPr>
        <w:t>c</w:t>
      </w:r>
      <w:r w:rsidRPr="00FD4258">
        <w:rPr>
          <w:sz w:val="21"/>
          <w:szCs w:val="21"/>
        </w:rPr>
        <w:t>) Normal pressure on the sensor applied an in-plane tangential force (</w:t>
      </w:r>
      <w:r w:rsidRPr="00FD4258">
        <w:rPr>
          <w:sz w:val="21"/>
          <w:szCs w:val="21"/>
          <w:lang w:val="el-GR"/>
        </w:rPr>
        <w:t>θ</w:t>
      </w:r>
      <w:r w:rsidRPr="00FD4258">
        <w:rPr>
          <w:sz w:val="21"/>
          <w:szCs w:val="21"/>
        </w:rPr>
        <w:t xml:space="preserve">=90°, </w:t>
      </w:r>
      <w:r w:rsidRPr="00FD4258">
        <w:rPr>
          <w:sz w:val="21"/>
          <w:szCs w:val="21"/>
          <w:lang w:val="el-GR"/>
        </w:rPr>
        <w:t>α</w:t>
      </w:r>
      <w:r w:rsidRPr="00FD4258">
        <w:rPr>
          <w:sz w:val="21"/>
          <w:szCs w:val="21"/>
        </w:rPr>
        <w:t xml:space="preserve">=0°or 180°). (d) The response of </w:t>
      </w:r>
      <w:proofErr w:type="gramStart"/>
      <w:r w:rsidRPr="00FD4258">
        <w:rPr>
          <w:sz w:val="21"/>
          <w:szCs w:val="21"/>
        </w:rPr>
        <w:t>three dimensional</w:t>
      </w:r>
      <w:proofErr w:type="gramEnd"/>
      <w:r w:rsidRPr="00FD4258">
        <w:rPr>
          <w:sz w:val="21"/>
          <w:szCs w:val="21"/>
        </w:rPr>
        <w:t xml:space="preserve"> forces of commercial senor when applied different in-plane angle </w:t>
      </w:r>
      <w:r w:rsidRPr="00FD4258">
        <w:rPr>
          <w:i/>
          <w:iCs/>
          <w:sz w:val="21"/>
          <w:szCs w:val="21"/>
          <w:lang w:val="el-GR"/>
        </w:rPr>
        <w:t>α</w:t>
      </w:r>
      <w:r w:rsidRPr="00FD4258">
        <w:rPr>
          <w:sz w:val="21"/>
          <w:szCs w:val="21"/>
        </w:rPr>
        <w:t xml:space="preserve"> of tangential force (</w:t>
      </w:r>
      <w:r w:rsidRPr="00FD4258">
        <w:rPr>
          <w:sz w:val="21"/>
          <w:szCs w:val="21"/>
          <w:lang w:val="el-GR"/>
        </w:rPr>
        <w:t>θ</w:t>
      </w:r>
      <w:r w:rsidRPr="00FD4258">
        <w:rPr>
          <w:sz w:val="21"/>
          <w:szCs w:val="21"/>
        </w:rPr>
        <w:t>=90°).</w:t>
      </w:r>
    </w:p>
    <w:p w14:paraId="1A27E5EB" w14:textId="77777777" w:rsidR="00FD4258" w:rsidRPr="00FD4258" w:rsidRDefault="00FD4258" w:rsidP="00FD4258">
      <w:pPr>
        <w:pStyle w:val="Maintext"/>
        <w:spacing w:line="240" w:lineRule="auto"/>
        <w:rPr>
          <w:sz w:val="21"/>
          <w:szCs w:val="21"/>
        </w:rPr>
      </w:pPr>
      <w:r w:rsidRPr="00FD4258">
        <w:rPr>
          <w:noProof/>
          <w:sz w:val="21"/>
          <w:szCs w:val="21"/>
        </w:rPr>
        <w:drawing>
          <wp:inline distT="0" distB="0" distL="0" distR="0" wp14:anchorId="47727C91" wp14:editId="0E21A1CB">
            <wp:extent cx="5760000" cy="1674212"/>
            <wp:effectExtent l="0" t="0" r="0" b="2540"/>
            <wp:docPr id="11405028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1674212"/>
                    </a:xfrm>
                    <a:prstGeom prst="rect">
                      <a:avLst/>
                    </a:prstGeom>
                    <a:noFill/>
                  </pic:spPr>
                </pic:pic>
              </a:graphicData>
            </a:graphic>
          </wp:inline>
        </w:drawing>
      </w:r>
    </w:p>
    <w:p w14:paraId="07AC1974" w14:textId="77777777" w:rsidR="00FD4258" w:rsidRPr="00FD4258" w:rsidRDefault="00FD4258" w:rsidP="00FD4258">
      <w:pPr>
        <w:pStyle w:val="Maintext"/>
        <w:spacing w:line="240" w:lineRule="auto"/>
        <w:rPr>
          <w:sz w:val="21"/>
          <w:szCs w:val="21"/>
        </w:rPr>
      </w:pPr>
      <w:r w:rsidRPr="00FD4258">
        <w:rPr>
          <w:b/>
          <w:bCs/>
          <w:sz w:val="21"/>
          <w:szCs w:val="21"/>
        </w:rPr>
        <w:t>Figure S9.</w:t>
      </w:r>
      <w:r w:rsidRPr="00FD4258">
        <w:rPr>
          <w:sz w:val="21"/>
          <w:szCs w:val="21"/>
        </w:rPr>
        <w:t xml:space="preserve"> Comparison of piezoresistive response of ET-skin cell containing different size electrodes. (</w:t>
      </w:r>
      <w:r w:rsidRPr="00FD4258">
        <w:rPr>
          <w:b/>
          <w:bCs/>
          <w:sz w:val="21"/>
          <w:szCs w:val="21"/>
        </w:rPr>
        <w:t>a</w:t>
      </w:r>
      <w:r w:rsidRPr="00FD4258">
        <w:rPr>
          <w:sz w:val="21"/>
          <w:szCs w:val="21"/>
        </w:rPr>
        <w:t xml:space="preserve">) Schematic view of electrodes with size of 10mm and 5mm. </w:t>
      </w:r>
      <w:proofErr w:type="spellStart"/>
      <w:r w:rsidRPr="00FD4258">
        <w:rPr>
          <w:i/>
          <w:iCs/>
          <w:sz w:val="21"/>
          <w:szCs w:val="21"/>
        </w:rPr>
        <w:t>R</w:t>
      </w:r>
      <w:r w:rsidRPr="00FD4258">
        <w:rPr>
          <w:sz w:val="21"/>
          <w:szCs w:val="21"/>
          <w:vertAlign w:val="subscript"/>
        </w:rPr>
        <w:t>c</w:t>
      </w:r>
      <w:proofErr w:type="spellEnd"/>
      <w:r w:rsidRPr="00FD4258">
        <w:rPr>
          <w:sz w:val="21"/>
          <w:szCs w:val="21"/>
        </w:rPr>
        <w:t xml:space="preserve"> curves (</w:t>
      </w:r>
      <w:r w:rsidRPr="00FD4258">
        <w:rPr>
          <w:b/>
          <w:bCs/>
          <w:sz w:val="21"/>
          <w:szCs w:val="21"/>
        </w:rPr>
        <w:t>b</w:t>
      </w:r>
      <w:r w:rsidRPr="00FD4258">
        <w:rPr>
          <w:sz w:val="21"/>
          <w:szCs w:val="21"/>
        </w:rPr>
        <w:t xml:space="preserve">) and </w:t>
      </w:r>
      <w:r w:rsidRPr="00FD4258">
        <w:rPr>
          <w:i/>
          <w:iCs/>
          <w:sz w:val="21"/>
          <w:szCs w:val="21"/>
        </w:rPr>
        <w:t>R</w:t>
      </w:r>
      <w:r w:rsidRPr="00FD4258">
        <w:rPr>
          <w:sz w:val="21"/>
          <w:szCs w:val="21"/>
          <w:vertAlign w:val="subscript"/>
        </w:rPr>
        <w:t>p</w:t>
      </w:r>
      <w:r w:rsidRPr="00FD4258">
        <w:rPr>
          <w:sz w:val="21"/>
          <w:szCs w:val="21"/>
        </w:rPr>
        <w:t xml:space="preserve"> curves (</w:t>
      </w:r>
      <w:r w:rsidRPr="00FD4258">
        <w:rPr>
          <w:b/>
          <w:bCs/>
          <w:sz w:val="21"/>
          <w:szCs w:val="21"/>
        </w:rPr>
        <w:t>c</w:t>
      </w:r>
      <w:r w:rsidRPr="00FD4258">
        <w:rPr>
          <w:sz w:val="21"/>
          <w:szCs w:val="21"/>
        </w:rPr>
        <w:t xml:space="preserve">) changing with normal pressure on ET-skin cell containing both electrodes. </w:t>
      </w:r>
    </w:p>
    <w:p w14:paraId="705929A4" w14:textId="77777777" w:rsidR="00FD4258" w:rsidRPr="00FD4258" w:rsidRDefault="00FD4258" w:rsidP="00FD4258">
      <w:pPr>
        <w:pStyle w:val="Maintext"/>
        <w:spacing w:line="240" w:lineRule="auto"/>
        <w:rPr>
          <w:sz w:val="21"/>
          <w:szCs w:val="21"/>
        </w:rPr>
      </w:pPr>
    </w:p>
    <w:p w14:paraId="279F62C1" w14:textId="77777777" w:rsidR="00FD4258" w:rsidRPr="00FD4258" w:rsidRDefault="00FD4258" w:rsidP="00FD4258">
      <w:pPr>
        <w:pStyle w:val="Maintext"/>
        <w:spacing w:line="240" w:lineRule="auto"/>
        <w:rPr>
          <w:sz w:val="21"/>
          <w:szCs w:val="21"/>
        </w:rPr>
      </w:pPr>
    </w:p>
    <w:p w14:paraId="289C486D" w14:textId="77777777" w:rsidR="00FD4258" w:rsidRPr="00FD4258" w:rsidRDefault="00FD4258" w:rsidP="00FD4258">
      <w:pPr>
        <w:pStyle w:val="Maintext"/>
        <w:spacing w:line="240" w:lineRule="auto"/>
        <w:rPr>
          <w:sz w:val="21"/>
          <w:szCs w:val="21"/>
        </w:rPr>
      </w:pPr>
      <w:r w:rsidRPr="00FD4258">
        <w:rPr>
          <w:noProof/>
          <w:sz w:val="21"/>
          <w:szCs w:val="21"/>
        </w:rPr>
        <w:lastRenderedPageBreak/>
        <w:drawing>
          <wp:inline distT="0" distB="0" distL="0" distR="0" wp14:anchorId="3B48976D" wp14:editId="6AE610A7">
            <wp:extent cx="5760000" cy="4250755"/>
            <wp:effectExtent l="0" t="0" r="0" b="0"/>
            <wp:docPr id="5654799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4250755"/>
                    </a:xfrm>
                    <a:prstGeom prst="rect">
                      <a:avLst/>
                    </a:prstGeom>
                    <a:noFill/>
                  </pic:spPr>
                </pic:pic>
              </a:graphicData>
            </a:graphic>
          </wp:inline>
        </w:drawing>
      </w:r>
    </w:p>
    <w:p w14:paraId="0E934DED" w14:textId="77777777" w:rsidR="00FD4258" w:rsidRPr="00FD4258" w:rsidRDefault="00FD4258" w:rsidP="00FD4258">
      <w:pPr>
        <w:pStyle w:val="a3"/>
        <w:spacing w:before="0" w:beforeAutospacing="0" w:after="0" w:afterAutospacing="0"/>
        <w:jc w:val="both"/>
        <w:rPr>
          <w:sz w:val="16"/>
          <w:szCs w:val="16"/>
        </w:rPr>
      </w:pPr>
      <w:r w:rsidRPr="00FD4258">
        <w:rPr>
          <w:rFonts w:ascii="Times New Roman" w:eastAsia="等线" w:hAnsi="Times New Roman" w:cs="Times New Roman"/>
          <w:b/>
          <w:bCs/>
          <w:kern w:val="24"/>
          <w:sz w:val="21"/>
          <w:szCs w:val="21"/>
        </w:rPr>
        <w:t>Figure S10</w:t>
      </w:r>
      <w:r w:rsidRPr="00FD4258">
        <w:rPr>
          <w:rFonts w:ascii="Times New Roman" w:eastAsia="等线" w:hAnsi="Times New Roman" w:cs="Times New Roman" w:hint="eastAsia"/>
          <w:b/>
          <w:bCs/>
          <w:kern w:val="24"/>
          <w:sz w:val="21"/>
          <w:szCs w:val="21"/>
        </w:rPr>
        <w:t>.</w:t>
      </w:r>
      <w:r w:rsidRPr="00FD4258">
        <w:rPr>
          <w:rFonts w:ascii="Times New Roman" w:eastAsia="等线" w:hAnsi="Times New Roman" w:cs="Times New Roman"/>
          <w:kern w:val="24"/>
          <w:sz w:val="21"/>
          <w:szCs w:val="21"/>
        </w:rPr>
        <w:t xml:space="preserve">  Comparison between previous researches and our study. (</w:t>
      </w:r>
      <w:r w:rsidRPr="00FD4258">
        <w:rPr>
          <w:rFonts w:ascii="Times New Roman" w:eastAsia="等线" w:hAnsi="Times New Roman" w:cs="Times New Roman"/>
          <w:b/>
          <w:bCs/>
          <w:kern w:val="24"/>
          <w:sz w:val="21"/>
          <w:szCs w:val="21"/>
        </w:rPr>
        <w:t>a</w:t>
      </w:r>
      <w:r w:rsidRPr="00FD4258">
        <w:rPr>
          <w:rFonts w:ascii="Times New Roman" w:eastAsia="等线" w:hAnsi="Times New Roman" w:cs="Times New Roman"/>
          <w:kern w:val="24"/>
          <w:sz w:val="21"/>
          <w:szCs w:val="21"/>
        </w:rPr>
        <w:t>) Artificial multimodal receptors based on ion relaxation dynamics. (</w:t>
      </w:r>
      <w:r w:rsidRPr="00FD4258">
        <w:rPr>
          <w:rFonts w:ascii="Times New Roman" w:eastAsia="等线" w:hAnsi="Times New Roman" w:cs="Times New Roman"/>
          <w:b/>
          <w:bCs/>
          <w:kern w:val="24"/>
          <w:sz w:val="21"/>
          <w:szCs w:val="21"/>
        </w:rPr>
        <w:t>b</w:t>
      </w:r>
      <w:r w:rsidRPr="00FD4258">
        <w:rPr>
          <w:rFonts w:ascii="Times New Roman" w:eastAsia="等线" w:hAnsi="Times New Roman" w:cs="Times New Roman"/>
          <w:kern w:val="24"/>
          <w:sz w:val="21"/>
          <w:szCs w:val="21"/>
        </w:rPr>
        <w:t>) multi-layer piezoresistive array for multi-parameter E-skin. (</w:t>
      </w:r>
      <w:r w:rsidRPr="00FD4258">
        <w:rPr>
          <w:rFonts w:ascii="Times New Roman" w:eastAsia="等线" w:hAnsi="Times New Roman" w:cs="Times New Roman"/>
          <w:b/>
          <w:bCs/>
          <w:kern w:val="24"/>
          <w:sz w:val="21"/>
          <w:szCs w:val="21"/>
        </w:rPr>
        <w:t>c</w:t>
      </w:r>
      <w:r w:rsidRPr="00FD4258">
        <w:rPr>
          <w:rFonts w:ascii="Times New Roman" w:eastAsia="等线" w:hAnsi="Times New Roman" w:cs="Times New Roman"/>
          <w:kern w:val="24"/>
          <w:sz w:val="21"/>
          <w:szCs w:val="21"/>
        </w:rPr>
        <w:t>) High-density piezoelectric sensor array based on Micro-electromechanical Systems (</w:t>
      </w:r>
      <w:r w:rsidRPr="00FD4258">
        <w:rPr>
          <w:rFonts w:ascii="Times New Roman" w:eastAsia="等线" w:hAnsi="Times New Roman" w:cs="Times New Roman"/>
          <w:b/>
          <w:bCs/>
          <w:kern w:val="24"/>
          <w:sz w:val="21"/>
          <w:szCs w:val="21"/>
        </w:rPr>
        <w:t>MEMs)</w:t>
      </w:r>
      <w:r w:rsidRPr="00FD4258">
        <w:rPr>
          <w:rFonts w:ascii="Times New Roman" w:eastAsia="等线" w:hAnsi="Times New Roman" w:cs="Times New Roman"/>
          <w:kern w:val="24"/>
          <w:sz w:val="21"/>
          <w:szCs w:val="21"/>
        </w:rPr>
        <w:t>. (</w:t>
      </w:r>
      <w:r w:rsidRPr="00FD4258">
        <w:rPr>
          <w:rFonts w:ascii="Times New Roman" w:eastAsia="等线" w:hAnsi="Times New Roman" w:cs="Times New Roman"/>
          <w:b/>
          <w:bCs/>
          <w:kern w:val="24"/>
          <w:sz w:val="21"/>
          <w:szCs w:val="21"/>
        </w:rPr>
        <w:t>d</w:t>
      </w:r>
      <w:r w:rsidRPr="00FD4258">
        <w:rPr>
          <w:rFonts w:ascii="Times New Roman" w:eastAsia="等线" w:hAnsi="Times New Roman" w:cs="Times New Roman"/>
          <w:kern w:val="24"/>
          <w:sz w:val="21"/>
          <w:szCs w:val="21"/>
        </w:rPr>
        <w:t>) Our work based on PFTN.</w:t>
      </w:r>
    </w:p>
    <w:p w14:paraId="442125C9" w14:textId="77777777" w:rsidR="00FD4258" w:rsidRPr="00FD4258" w:rsidRDefault="00FD4258" w:rsidP="00FD4258">
      <w:pPr>
        <w:pStyle w:val="Maintext"/>
        <w:spacing w:line="240" w:lineRule="auto"/>
        <w:rPr>
          <w:sz w:val="21"/>
          <w:szCs w:val="21"/>
        </w:rPr>
      </w:pPr>
    </w:p>
    <w:p w14:paraId="46B35BB2" w14:textId="77777777" w:rsidR="00FD4258" w:rsidRPr="00FD4258" w:rsidRDefault="00FD4258" w:rsidP="00FD4258">
      <w:pPr>
        <w:pStyle w:val="Maintext"/>
        <w:spacing w:line="240" w:lineRule="auto"/>
        <w:rPr>
          <w:sz w:val="21"/>
          <w:szCs w:val="21"/>
        </w:rPr>
      </w:pPr>
    </w:p>
    <w:p w14:paraId="69D1A709" w14:textId="77777777" w:rsidR="00FD4258" w:rsidRPr="00FD4258" w:rsidRDefault="00FD4258" w:rsidP="00FD4258">
      <w:pPr>
        <w:pStyle w:val="Maintext"/>
        <w:spacing w:line="240" w:lineRule="auto"/>
        <w:rPr>
          <w:sz w:val="21"/>
          <w:szCs w:val="21"/>
        </w:rPr>
      </w:pPr>
      <w:r w:rsidRPr="00FD4258">
        <w:rPr>
          <w:noProof/>
          <w:sz w:val="21"/>
          <w:szCs w:val="21"/>
        </w:rPr>
        <w:drawing>
          <wp:inline distT="0" distB="0" distL="0" distR="0" wp14:anchorId="1719D1A1" wp14:editId="548BC3CF">
            <wp:extent cx="5400000" cy="1974575"/>
            <wp:effectExtent l="0" t="0" r="0" b="6985"/>
            <wp:docPr id="5473872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1974575"/>
                    </a:xfrm>
                    <a:prstGeom prst="rect">
                      <a:avLst/>
                    </a:prstGeom>
                    <a:noFill/>
                  </pic:spPr>
                </pic:pic>
              </a:graphicData>
            </a:graphic>
          </wp:inline>
        </w:drawing>
      </w:r>
    </w:p>
    <w:p w14:paraId="2B01E946" w14:textId="77777777" w:rsidR="00FD4258" w:rsidRPr="00FD4258" w:rsidRDefault="00FD4258" w:rsidP="00FD4258">
      <w:pPr>
        <w:pStyle w:val="Maintext"/>
        <w:spacing w:line="240" w:lineRule="auto"/>
        <w:rPr>
          <w:sz w:val="21"/>
          <w:szCs w:val="21"/>
        </w:rPr>
      </w:pPr>
      <w:r w:rsidRPr="00FD4258">
        <w:rPr>
          <w:b/>
          <w:bCs/>
          <w:sz w:val="21"/>
          <w:szCs w:val="21"/>
        </w:rPr>
        <w:t>Figure S11</w:t>
      </w:r>
      <w:r w:rsidRPr="00FD4258">
        <w:rPr>
          <w:sz w:val="21"/>
          <w:szCs w:val="21"/>
        </w:rPr>
        <w:t>. Structural characteristics of the E-skin and 64×6 channels data acquisition system. (</w:t>
      </w:r>
      <w:r w:rsidRPr="00FD4258">
        <w:rPr>
          <w:b/>
          <w:bCs/>
          <w:sz w:val="21"/>
          <w:szCs w:val="21"/>
        </w:rPr>
        <w:t>a</w:t>
      </w:r>
      <w:r w:rsidRPr="00FD4258">
        <w:rPr>
          <w:sz w:val="21"/>
          <w:szCs w:val="21"/>
        </w:rPr>
        <w:t>) Schematic view of a FPC supporting the ET-skin. (</w:t>
      </w:r>
      <w:r w:rsidRPr="00FD4258">
        <w:rPr>
          <w:b/>
          <w:bCs/>
          <w:sz w:val="21"/>
          <w:szCs w:val="21"/>
        </w:rPr>
        <w:t>b</w:t>
      </w:r>
      <w:r w:rsidRPr="00FD4258">
        <w:rPr>
          <w:sz w:val="21"/>
          <w:szCs w:val="21"/>
        </w:rPr>
        <w:t>) Product photo show of the E-skin containing external connection structure. (</w:t>
      </w:r>
      <w:r w:rsidRPr="00FD4258">
        <w:rPr>
          <w:b/>
          <w:bCs/>
          <w:sz w:val="21"/>
          <w:szCs w:val="21"/>
        </w:rPr>
        <w:t>c</w:t>
      </w:r>
      <w:r w:rsidRPr="00FD4258">
        <w:rPr>
          <w:sz w:val="21"/>
          <w:szCs w:val="21"/>
        </w:rPr>
        <w:t>) electric schematic diagram of the 64×6 channels data acquisition system.</w:t>
      </w:r>
    </w:p>
    <w:p w14:paraId="035EF694" w14:textId="77777777" w:rsidR="00FD4258" w:rsidRPr="00FD4258" w:rsidRDefault="00FD4258" w:rsidP="00FD4258">
      <w:pPr>
        <w:pStyle w:val="Maintext"/>
        <w:rPr>
          <w:sz w:val="21"/>
          <w:szCs w:val="21"/>
        </w:rPr>
      </w:pPr>
      <w:r w:rsidRPr="00FD4258">
        <w:rPr>
          <w:noProof/>
          <w:sz w:val="21"/>
          <w:szCs w:val="21"/>
        </w:rPr>
        <w:lastRenderedPageBreak/>
        <w:drawing>
          <wp:inline distT="0" distB="0" distL="0" distR="0" wp14:anchorId="10E3D07E" wp14:editId="0EC221A8">
            <wp:extent cx="4883150" cy="7407275"/>
            <wp:effectExtent l="0" t="0" r="0" b="3175"/>
            <wp:docPr id="87268635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3150" cy="7407275"/>
                    </a:xfrm>
                    <a:prstGeom prst="rect">
                      <a:avLst/>
                    </a:prstGeom>
                    <a:noFill/>
                  </pic:spPr>
                </pic:pic>
              </a:graphicData>
            </a:graphic>
          </wp:inline>
        </w:drawing>
      </w:r>
    </w:p>
    <w:p w14:paraId="6D263E91" w14:textId="77777777" w:rsidR="00FD4258" w:rsidRPr="00FD4258" w:rsidRDefault="00FD4258" w:rsidP="00FD4258">
      <w:pPr>
        <w:pStyle w:val="Maintext"/>
        <w:rPr>
          <w:rFonts w:eastAsiaTheme="minorEastAsia"/>
          <w:sz w:val="21"/>
          <w:szCs w:val="21"/>
          <w:lang w:val="de-DE" w:eastAsia="zh-CN"/>
        </w:rPr>
      </w:pPr>
      <w:r w:rsidRPr="00FD4258">
        <w:rPr>
          <w:rFonts w:eastAsiaTheme="minorEastAsia"/>
          <w:b/>
          <w:bCs/>
          <w:sz w:val="21"/>
          <w:szCs w:val="21"/>
          <w:lang w:val="de-DE" w:eastAsia="zh-CN"/>
        </w:rPr>
        <w:t>Figure S12</w:t>
      </w:r>
      <w:r w:rsidRPr="00FD4258">
        <w:rPr>
          <w:rFonts w:eastAsiaTheme="minorEastAsia"/>
          <w:sz w:val="21"/>
          <w:szCs w:val="21"/>
          <w:lang w:val="de-DE" w:eastAsia="zh-CN"/>
        </w:rPr>
        <w:t>. A subroutine UMAT for FEA by ABAQUS</w:t>
      </w:r>
    </w:p>
    <w:p w14:paraId="6F3B205B" w14:textId="77777777" w:rsidR="00FD4258" w:rsidRPr="00FD4258" w:rsidRDefault="00FD4258" w:rsidP="00FD4258">
      <w:pPr>
        <w:pStyle w:val="Maintext"/>
        <w:rPr>
          <w:rFonts w:eastAsiaTheme="minorEastAsia"/>
          <w:sz w:val="21"/>
          <w:szCs w:val="21"/>
          <w:lang w:eastAsia="zh-CN"/>
        </w:rPr>
      </w:pPr>
    </w:p>
    <w:p w14:paraId="4A55419D" w14:textId="77777777" w:rsidR="00FD4258" w:rsidRPr="004C0EE9" w:rsidRDefault="00FD4258" w:rsidP="00FD4258">
      <w:pPr>
        <w:pStyle w:val="Maintext"/>
        <w:rPr>
          <w:rFonts w:eastAsiaTheme="minorEastAsia"/>
          <w:lang w:eastAsia="zh-CN"/>
        </w:rPr>
      </w:pPr>
    </w:p>
    <w:p w14:paraId="43C2F5EF" w14:textId="77777777" w:rsidR="00FD4258" w:rsidRPr="004C0EE9" w:rsidRDefault="00FD4258" w:rsidP="00FD4258">
      <w:pPr>
        <w:pStyle w:val="Maintext"/>
        <w:rPr>
          <w:rFonts w:eastAsiaTheme="minorEastAsia"/>
          <w:lang w:eastAsia="zh-CN"/>
        </w:rPr>
      </w:pPr>
    </w:p>
    <w:p w14:paraId="296199C2" w14:textId="77777777" w:rsidR="00FD4258" w:rsidRPr="00EE5927" w:rsidRDefault="00FD4258" w:rsidP="00FD4258">
      <w:pPr>
        <w:pStyle w:val="Maintext"/>
        <w:rPr>
          <w:rFonts w:eastAsiaTheme="minorEastAsia"/>
          <w:sz w:val="21"/>
          <w:szCs w:val="21"/>
          <w:lang w:eastAsia="zh-CN"/>
        </w:rPr>
      </w:pPr>
    </w:p>
    <w:p w14:paraId="20546957" w14:textId="77777777" w:rsidR="00FD4258" w:rsidRPr="00EE5927" w:rsidRDefault="00FD4258" w:rsidP="00FD4258">
      <w:pPr>
        <w:pStyle w:val="Maintext"/>
        <w:rPr>
          <w:rFonts w:eastAsiaTheme="minorEastAsia"/>
          <w:sz w:val="21"/>
          <w:szCs w:val="21"/>
          <w:lang w:eastAsia="zh-CN"/>
        </w:rPr>
      </w:pPr>
    </w:p>
    <w:p w14:paraId="6159FB7B" w14:textId="77777777" w:rsidR="00FD4258" w:rsidRPr="00EE5927" w:rsidRDefault="00FD4258" w:rsidP="00FD4258">
      <w:pPr>
        <w:pStyle w:val="Maintext"/>
        <w:rPr>
          <w:rFonts w:eastAsiaTheme="minorEastAsia"/>
          <w:sz w:val="21"/>
          <w:szCs w:val="21"/>
          <w:lang w:eastAsia="zh-CN"/>
        </w:rPr>
      </w:pPr>
      <w:r w:rsidRPr="00EE5927">
        <w:rPr>
          <w:rFonts w:eastAsiaTheme="minorEastAsia"/>
          <w:b/>
          <w:bCs/>
          <w:sz w:val="21"/>
          <w:szCs w:val="21"/>
          <w:lang w:eastAsia="zh-CN"/>
        </w:rPr>
        <w:t>Table S1</w:t>
      </w:r>
      <w:r w:rsidRPr="00EE5927">
        <w:rPr>
          <w:rFonts w:eastAsiaTheme="minorEastAsia"/>
          <w:sz w:val="21"/>
          <w:szCs w:val="21"/>
          <w:lang w:eastAsia="zh-CN"/>
        </w:rPr>
        <w:t>. Intrinsic piezoresistive parameters of PFTN with different porosity</w:t>
      </w:r>
    </w:p>
    <w:tbl>
      <w:tblPr>
        <w:tblW w:w="5000" w:type="pct"/>
        <w:tblCellMar>
          <w:left w:w="0" w:type="dxa"/>
          <w:right w:w="0" w:type="dxa"/>
        </w:tblCellMar>
        <w:tblLook w:val="0420" w:firstRow="1" w:lastRow="0" w:firstColumn="0" w:lastColumn="0" w:noHBand="0" w:noVBand="1"/>
      </w:tblPr>
      <w:tblGrid>
        <w:gridCol w:w="1681"/>
        <w:gridCol w:w="835"/>
        <w:gridCol w:w="693"/>
        <w:gridCol w:w="777"/>
        <w:gridCol w:w="693"/>
        <w:gridCol w:w="693"/>
        <w:gridCol w:w="693"/>
        <w:gridCol w:w="693"/>
        <w:gridCol w:w="751"/>
        <w:gridCol w:w="777"/>
      </w:tblGrid>
      <w:tr w:rsidR="00EE5927" w:rsidRPr="00EE5927" w14:paraId="29202DF1" w14:textId="77777777" w:rsidTr="00EE5927">
        <w:trPr>
          <w:trHeight w:val="592"/>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118575"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sz w:val="16"/>
                <w:szCs w:val="16"/>
                <w:lang w:eastAsia="zh-CN"/>
              </w:rPr>
              <w:t>PFTN (12wt%CN)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39C94C"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i/>
                <w:iCs/>
                <w:sz w:val="16"/>
                <w:szCs w:val="16"/>
                <w:lang w:eastAsia="zh-CN"/>
              </w:rPr>
              <w:t>SPF</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EC42C0"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i/>
                <w:iCs/>
                <w:sz w:val="16"/>
                <w:szCs w:val="16"/>
                <w:lang w:eastAsia="zh-CN"/>
              </w:rPr>
              <w:t>P</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C986E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i/>
                <w:iCs/>
                <w:sz w:val="16"/>
                <w:szCs w:val="16"/>
                <w:lang w:val="el-GR" w:eastAsia="zh-CN"/>
              </w:rPr>
              <w:t>μ</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4A47BA"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i/>
                <w:iCs/>
                <w:sz w:val="16"/>
                <w:szCs w:val="16"/>
                <w:lang w:val="el-GR" w:eastAsia="zh-CN"/>
              </w:rPr>
              <w:t>α</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AEA0A8"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b/>
                <w:bCs/>
                <w:i/>
                <w:iCs/>
                <w:sz w:val="16"/>
                <w:szCs w:val="16"/>
                <w:lang w:val="el-GR" w:eastAsia="zh-CN"/>
              </w:rPr>
              <w:t>β</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56310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i/>
                <w:iCs/>
                <w:sz w:val="16"/>
                <w:szCs w:val="16"/>
                <w:lang w:eastAsia="zh-CN"/>
              </w:rPr>
              <w:t>R</w:t>
            </w:r>
            <w:r w:rsidRPr="00EE5927">
              <w:rPr>
                <w:rFonts w:eastAsiaTheme="minorEastAsia"/>
                <w:sz w:val="16"/>
                <w:szCs w:val="16"/>
                <w:vertAlign w:val="subscript"/>
                <w:lang w:eastAsia="zh-CN"/>
              </w:rPr>
              <w:t>0</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A4F918"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i/>
                <w:iCs/>
                <w:sz w:val="16"/>
                <w:szCs w:val="16"/>
                <w:lang w:eastAsia="zh-CN"/>
              </w:rPr>
              <w:t>a</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F4F619"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i/>
                <w:iCs/>
                <w:sz w:val="16"/>
                <w:szCs w:val="16"/>
                <w:lang w:eastAsia="zh-CN"/>
              </w:rPr>
              <w:t>R</w:t>
            </w:r>
            <w:r w:rsidRPr="00EE5927">
              <w:rPr>
                <w:rFonts w:eastAsiaTheme="minorEastAsia"/>
                <w:sz w:val="16"/>
                <w:szCs w:val="16"/>
                <w:vertAlign w:val="subscript"/>
                <w:lang w:eastAsia="zh-CN"/>
              </w:rPr>
              <w:t>1</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91D188"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i/>
                <w:iCs/>
                <w:sz w:val="16"/>
                <w:szCs w:val="16"/>
                <w:lang w:eastAsia="zh-CN"/>
              </w:rPr>
              <w:t>b</w:t>
            </w:r>
          </w:p>
        </w:tc>
      </w:tr>
      <w:tr w:rsidR="00EE5927" w:rsidRPr="00EE5927" w14:paraId="792E85A4" w14:textId="77777777" w:rsidTr="00EE5927">
        <w:trPr>
          <w:trHeight w:val="870"/>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8F40B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300wt% SN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B31907"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50.01%</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D40C3D"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0.353</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E6732D"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83.396</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DD5837"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4.057</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8E3222"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0.493</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2641B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0.782</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B474A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0.092</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ED1791"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0.318</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AE0624"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1.196</w:t>
            </w:r>
          </w:p>
        </w:tc>
      </w:tr>
      <w:tr w:rsidR="00EE5927" w:rsidRPr="00EE5927" w14:paraId="741CE14A" w14:textId="77777777" w:rsidTr="00EE5927">
        <w:trPr>
          <w:trHeight w:val="870"/>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C9DA5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450wt% SN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CB104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52.11%</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3D571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0.331</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436752"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50.424</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DF9DB1"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0.765</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1652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0.756</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83029A"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0.973</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07C1E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0.571</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A7CE8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0.027</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AC0A88"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-2.457</w:t>
            </w:r>
          </w:p>
        </w:tc>
      </w:tr>
      <w:tr w:rsidR="00EE5927" w:rsidRPr="00EE5927" w14:paraId="24C93197" w14:textId="77777777" w:rsidTr="00EE5927">
        <w:trPr>
          <w:trHeight w:val="870"/>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FBC494"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600wt% SN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B11C6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59.71%</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9CB0C8"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0.256</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36B60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30.276</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F32947"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0.719</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835BB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1.139</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633E6C"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1.053</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5E8A20"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1.071</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E5E61D"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-0.053</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B99D03"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33.42</w:t>
            </w:r>
          </w:p>
        </w:tc>
      </w:tr>
      <w:tr w:rsidR="00EE5927" w:rsidRPr="00EE5927" w14:paraId="539FC9D1" w14:textId="77777777" w:rsidTr="00EE5927">
        <w:trPr>
          <w:trHeight w:val="870"/>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803BD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750wt% SN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851DC5"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64.19%</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D3E6E9"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0.213</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4E320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14.843</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E288B7"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0.695</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A3C193"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1.856</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461039"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1.135</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E9433B"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1.509</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C5172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-0.135</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173D84"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14.647</w:t>
            </w:r>
          </w:p>
        </w:tc>
      </w:tr>
      <w:tr w:rsidR="00EE5927" w:rsidRPr="00EE5927" w14:paraId="20D92291" w14:textId="77777777" w:rsidTr="00EE5927">
        <w:trPr>
          <w:trHeight w:val="870"/>
        </w:trPr>
        <w:tc>
          <w:tcPr>
            <w:tcW w:w="10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0E411A"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900wt% SN</w:t>
            </w:r>
          </w:p>
        </w:tc>
        <w:tc>
          <w:tcPr>
            <w:tcW w:w="50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E444A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68.23%</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2BB6EE"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0.179</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159BA2"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18.421</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006127"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0.255</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9C0411"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1.129</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54AD0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1.070</w:t>
            </w:r>
          </w:p>
        </w:tc>
        <w:tc>
          <w:tcPr>
            <w:tcW w:w="41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7FEAB9"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1.112</w:t>
            </w:r>
          </w:p>
        </w:tc>
        <w:tc>
          <w:tcPr>
            <w:tcW w:w="45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5C7F9F"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-0.07</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98A404" w14:textId="77777777" w:rsidR="00FD4258" w:rsidRPr="00EE5927" w:rsidRDefault="00FD4258" w:rsidP="00EE5927">
            <w:pPr>
              <w:pStyle w:val="Maintext"/>
              <w:jc w:val="center"/>
              <w:rPr>
                <w:rFonts w:eastAsiaTheme="minorEastAsia"/>
                <w:sz w:val="16"/>
                <w:szCs w:val="16"/>
                <w:lang w:eastAsia="zh-CN"/>
              </w:rPr>
            </w:pPr>
            <w:r w:rsidRPr="00EE5927">
              <w:rPr>
                <w:rFonts w:eastAsiaTheme="minorEastAsia"/>
                <w:sz w:val="16"/>
                <w:szCs w:val="16"/>
                <w:lang w:eastAsia="zh-CN"/>
              </w:rPr>
              <w:t>18.675</w:t>
            </w:r>
          </w:p>
        </w:tc>
      </w:tr>
    </w:tbl>
    <w:p w14:paraId="450FEAD8" w14:textId="77777777" w:rsidR="00FD4258" w:rsidRPr="00EE5927" w:rsidRDefault="00FD4258" w:rsidP="00FD4258">
      <w:pPr>
        <w:pStyle w:val="Maintext"/>
        <w:rPr>
          <w:rFonts w:eastAsiaTheme="minorEastAsia"/>
          <w:sz w:val="21"/>
          <w:szCs w:val="21"/>
          <w:lang w:eastAsia="zh-CN"/>
        </w:rPr>
      </w:pPr>
    </w:p>
    <w:p w14:paraId="0EB135F7" w14:textId="77777777" w:rsidR="00FD4258" w:rsidRPr="00EE5927" w:rsidRDefault="00FD4258" w:rsidP="00FD4258">
      <w:pPr>
        <w:pStyle w:val="Maintext"/>
        <w:rPr>
          <w:rFonts w:eastAsiaTheme="minorEastAsia"/>
          <w:sz w:val="21"/>
          <w:szCs w:val="21"/>
          <w:lang w:eastAsia="zh-CN"/>
        </w:rPr>
      </w:pPr>
      <w:r w:rsidRPr="00EE5927">
        <w:rPr>
          <w:rFonts w:eastAsiaTheme="minorEastAsia"/>
          <w:b/>
          <w:bCs/>
          <w:sz w:val="21"/>
          <w:szCs w:val="21"/>
          <w:lang w:eastAsia="zh-CN"/>
        </w:rPr>
        <w:t>Table S2</w:t>
      </w:r>
      <w:r w:rsidRPr="00EE5927">
        <w:rPr>
          <w:rFonts w:eastAsiaTheme="minorEastAsia"/>
          <w:sz w:val="21"/>
          <w:szCs w:val="21"/>
          <w:lang w:eastAsia="zh-CN"/>
        </w:rPr>
        <w:t>. Intrinsic piezoresistive parameters of PFTN with different content of CN</w:t>
      </w:r>
    </w:p>
    <w:tbl>
      <w:tblPr>
        <w:tblW w:w="5000" w:type="pct"/>
        <w:jc w:val="center"/>
        <w:tblCellMar>
          <w:left w:w="0" w:type="dxa"/>
          <w:right w:w="0" w:type="dxa"/>
        </w:tblCellMar>
        <w:tblLook w:val="0420" w:firstRow="1" w:lastRow="0" w:firstColumn="0" w:lastColumn="0" w:noHBand="0" w:noVBand="1"/>
      </w:tblPr>
      <w:tblGrid>
        <w:gridCol w:w="1370"/>
        <w:gridCol w:w="888"/>
        <w:gridCol w:w="735"/>
        <w:gridCol w:w="826"/>
        <w:gridCol w:w="735"/>
        <w:gridCol w:w="735"/>
        <w:gridCol w:w="734"/>
        <w:gridCol w:w="734"/>
        <w:gridCol w:w="734"/>
        <w:gridCol w:w="795"/>
      </w:tblGrid>
      <w:tr w:rsidR="00EE5927" w:rsidRPr="00EE5927" w14:paraId="06543AAE" w14:textId="77777777" w:rsidTr="00EE5927">
        <w:trPr>
          <w:trHeight w:val="592"/>
          <w:jc w:val="center"/>
        </w:trPr>
        <w:tc>
          <w:tcPr>
            <w:tcW w:w="8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7001DF" w14:textId="77777777" w:rsidR="00FD4258" w:rsidRPr="00EE5927" w:rsidRDefault="00FD4258" w:rsidP="00EE5927">
            <w:pPr>
              <w:pStyle w:val="a3"/>
              <w:spacing w:before="0" w:beforeAutospacing="0" w:after="0" w:afterAutospacing="0"/>
              <w:jc w:val="center"/>
              <w:rPr>
                <w:rFonts w:ascii="Arial" w:hAnsi="Arial" w:cs="Arial"/>
                <w:sz w:val="16"/>
                <w:szCs w:val="16"/>
              </w:rPr>
            </w:pPr>
            <w:r w:rsidRPr="00EE5927">
              <w:rPr>
                <w:rFonts w:ascii="Times New Roman" w:hAnsi="Times New Roman" w:cs="Times New Roman"/>
                <w:b/>
                <w:bCs/>
                <w:kern w:val="24"/>
                <w:sz w:val="16"/>
                <w:szCs w:val="16"/>
              </w:rPr>
              <w:t>PFTN</w:t>
            </w:r>
          </w:p>
          <w:p w14:paraId="4704AA3E" w14:textId="77777777" w:rsidR="00FD4258" w:rsidRPr="00EE5927" w:rsidRDefault="00FD4258" w:rsidP="00EE5927">
            <w:pPr>
              <w:pStyle w:val="Maintext"/>
              <w:jc w:val="center"/>
              <w:rPr>
                <w:rFonts w:eastAsiaTheme="minorEastAsia"/>
                <w:sz w:val="16"/>
                <w:szCs w:val="16"/>
                <w:lang w:eastAsia="zh-CN"/>
              </w:rPr>
            </w:pPr>
            <w:r w:rsidRPr="00EE5927">
              <w:rPr>
                <w:b/>
                <w:bCs/>
                <w:kern w:val="24"/>
                <w:sz w:val="16"/>
                <w:szCs w:val="16"/>
              </w:rPr>
              <w:t>(450wt% SN)</w:t>
            </w:r>
          </w:p>
        </w:tc>
        <w:tc>
          <w:tcPr>
            <w:tcW w:w="5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03EB63" w14:textId="77777777" w:rsidR="00FD4258" w:rsidRPr="00EE5927" w:rsidRDefault="00FD4258" w:rsidP="00EE5927">
            <w:pPr>
              <w:pStyle w:val="Maintext"/>
              <w:jc w:val="center"/>
              <w:rPr>
                <w:rFonts w:eastAsiaTheme="minorEastAsia"/>
                <w:sz w:val="16"/>
                <w:szCs w:val="16"/>
                <w:lang w:eastAsia="zh-CN"/>
              </w:rPr>
            </w:pPr>
            <w:r w:rsidRPr="00EE5927">
              <w:rPr>
                <w:b/>
                <w:bCs/>
                <w:i/>
                <w:iCs/>
                <w:kern w:val="24"/>
                <w:sz w:val="16"/>
                <w:szCs w:val="16"/>
              </w:rPr>
              <w:t>SPF</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69E6CB" w14:textId="77777777" w:rsidR="00FD4258" w:rsidRPr="00EE5927" w:rsidRDefault="00FD4258" w:rsidP="00EE5927">
            <w:pPr>
              <w:pStyle w:val="Maintext"/>
              <w:jc w:val="center"/>
              <w:rPr>
                <w:rFonts w:eastAsiaTheme="minorEastAsia"/>
                <w:sz w:val="16"/>
                <w:szCs w:val="16"/>
                <w:lang w:eastAsia="zh-CN"/>
              </w:rPr>
            </w:pPr>
            <w:r w:rsidRPr="00EE5927">
              <w:rPr>
                <w:b/>
                <w:bCs/>
                <w:i/>
                <w:iCs/>
                <w:kern w:val="24"/>
                <w:sz w:val="16"/>
                <w:szCs w:val="16"/>
              </w:rPr>
              <w:t>P</w:t>
            </w:r>
          </w:p>
        </w:tc>
        <w:tc>
          <w:tcPr>
            <w:tcW w:w="4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C7CB91" w14:textId="77777777" w:rsidR="00FD4258" w:rsidRPr="00EE5927" w:rsidRDefault="00FD4258" w:rsidP="00EE5927">
            <w:pPr>
              <w:pStyle w:val="Maintext"/>
              <w:jc w:val="center"/>
              <w:rPr>
                <w:rFonts w:eastAsiaTheme="minorEastAsia"/>
                <w:sz w:val="16"/>
                <w:szCs w:val="16"/>
                <w:lang w:eastAsia="zh-CN"/>
              </w:rPr>
            </w:pPr>
            <w:r w:rsidRPr="00EE5927">
              <w:rPr>
                <w:b/>
                <w:bCs/>
                <w:i/>
                <w:iCs/>
                <w:kern w:val="24"/>
                <w:sz w:val="16"/>
                <w:szCs w:val="16"/>
                <w:lang w:val="el-GR"/>
              </w:rPr>
              <w:t>μ</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D96100" w14:textId="77777777" w:rsidR="00FD4258" w:rsidRPr="00EE5927" w:rsidRDefault="00FD4258" w:rsidP="00EE5927">
            <w:pPr>
              <w:pStyle w:val="Maintext"/>
              <w:jc w:val="center"/>
              <w:rPr>
                <w:rFonts w:eastAsiaTheme="minorEastAsia"/>
                <w:sz w:val="16"/>
                <w:szCs w:val="16"/>
                <w:lang w:eastAsia="zh-CN"/>
              </w:rPr>
            </w:pPr>
            <w:r w:rsidRPr="00EE5927">
              <w:rPr>
                <w:b/>
                <w:bCs/>
                <w:i/>
                <w:iCs/>
                <w:kern w:val="24"/>
                <w:sz w:val="16"/>
                <w:szCs w:val="16"/>
                <w:lang w:val="el-GR"/>
              </w:rPr>
              <w:t>α</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6B295A" w14:textId="77777777" w:rsidR="00FD4258" w:rsidRPr="00EE5927" w:rsidRDefault="00FD4258" w:rsidP="00EE5927">
            <w:pPr>
              <w:pStyle w:val="Maintext"/>
              <w:jc w:val="center"/>
              <w:rPr>
                <w:rFonts w:eastAsiaTheme="minorEastAsia"/>
                <w:sz w:val="16"/>
                <w:szCs w:val="16"/>
                <w:lang w:eastAsia="zh-CN"/>
              </w:rPr>
            </w:pPr>
            <w:r w:rsidRPr="00EE5927">
              <w:rPr>
                <w:b/>
                <w:bCs/>
                <w:i/>
                <w:iCs/>
                <w:kern w:val="24"/>
                <w:sz w:val="16"/>
                <w:szCs w:val="16"/>
                <w:lang w:val="el-GR"/>
              </w:rPr>
              <w:t>β</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1E07FD" w14:textId="77777777" w:rsidR="00FD4258" w:rsidRPr="00EE5927" w:rsidRDefault="00FD4258" w:rsidP="00EE5927">
            <w:pPr>
              <w:pStyle w:val="Maintext"/>
              <w:jc w:val="center"/>
              <w:rPr>
                <w:rFonts w:eastAsiaTheme="minorEastAsia"/>
                <w:sz w:val="16"/>
                <w:szCs w:val="16"/>
                <w:lang w:eastAsia="zh-CN"/>
              </w:rPr>
            </w:pPr>
            <w:r w:rsidRPr="00EE5927">
              <w:rPr>
                <w:i/>
                <w:iCs/>
                <w:kern w:val="24"/>
                <w:sz w:val="16"/>
                <w:szCs w:val="16"/>
              </w:rPr>
              <w:t>R</w:t>
            </w:r>
            <w:r w:rsidRPr="00EE5927">
              <w:rPr>
                <w:kern w:val="24"/>
                <w:position w:val="-6"/>
                <w:sz w:val="16"/>
                <w:szCs w:val="16"/>
                <w:vertAlign w:val="subscript"/>
              </w:rPr>
              <w:t>0</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25216B" w14:textId="77777777" w:rsidR="00FD4258" w:rsidRPr="00EE5927" w:rsidRDefault="00FD4258" w:rsidP="00EE5927">
            <w:pPr>
              <w:pStyle w:val="Maintext"/>
              <w:jc w:val="center"/>
              <w:rPr>
                <w:rFonts w:eastAsiaTheme="minorEastAsia"/>
                <w:sz w:val="16"/>
                <w:szCs w:val="16"/>
                <w:lang w:eastAsia="zh-CN"/>
              </w:rPr>
            </w:pPr>
            <w:r w:rsidRPr="00EE5927">
              <w:rPr>
                <w:i/>
                <w:iCs/>
                <w:kern w:val="24"/>
                <w:sz w:val="16"/>
                <w:szCs w:val="16"/>
              </w:rPr>
              <w:t>a</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7FDBAA" w14:textId="77777777" w:rsidR="00FD4258" w:rsidRPr="00EE5927" w:rsidRDefault="00FD4258" w:rsidP="00EE5927">
            <w:pPr>
              <w:pStyle w:val="Maintext"/>
              <w:jc w:val="center"/>
              <w:rPr>
                <w:rFonts w:eastAsiaTheme="minorEastAsia"/>
                <w:sz w:val="16"/>
                <w:szCs w:val="16"/>
                <w:lang w:eastAsia="zh-CN"/>
              </w:rPr>
            </w:pPr>
            <w:r w:rsidRPr="00EE5927">
              <w:rPr>
                <w:i/>
                <w:iCs/>
                <w:kern w:val="24"/>
                <w:sz w:val="16"/>
                <w:szCs w:val="16"/>
              </w:rPr>
              <w:t>R</w:t>
            </w:r>
            <w:r w:rsidRPr="00EE5927">
              <w:rPr>
                <w:kern w:val="24"/>
                <w:position w:val="-6"/>
                <w:sz w:val="16"/>
                <w:szCs w:val="16"/>
                <w:vertAlign w:val="subscript"/>
              </w:rPr>
              <w:t>1</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1AE1C6" w14:textId="77777777" w:rsidR="00FD4258" w:rsidRPr="00EE5927" w:rsidRDefault="00FD4258" w:rsidP="00EE5927">
            <w:pPr>
              <w:pStyle w:val="Maintext"/>
              <w:jc w:val="center"/>
              <w:rPr>
                <w:rFonts w:eastAsiaTheme="minorEastAsia"/>
                <w:sz w:val="16"/>
                <w:szCs w:val="16"/>
                <w:lang w:eastAsia="zh-CN"/>
              </w:rPr>
            </w:pPr>
            <w:r w:rsidRPr="00EE5927">
              <w:rPr>
                <w:i/>
                <w:iCs/>
                <w:kern w:val="24"/>
                <w:sz w:val="16"/>
                <w:szCs w:val="16"/>
              </w:rPr>
              <w:t>b</w:t>
            </w:r>
          </w:p>
        </w:tc>
      </w:tr>
      <w:tr w:rsidR="00EE5927" w:rsidRPr="00EE5927" w14:paraId="2DDEA222" w14:textId="77777777" w:rsidTr="00EE5927">
        <w:trPr>
          <w:trHeight w:val="870"/>
          <w:jc w:val="center"/>
        </w:trPr>
        <w:tc>
          <w:tcPr>
            <w:tcW w:w="8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5BDF34"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8wt% CN</w:t>
            </w:r>
          </w:p>
        </w:tc>
        <w:tc>
          <w:tcPr>
            <w:tcW w:w="5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8EBE5C"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64.19%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299B8D"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0.213</w:t>
            </w:r>
          </w:p>
        </w:tc>
        <w:tc>
          <w:tcPr>
            <w:tcW w:w="4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4138AE"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28.40</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28377C"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1.58</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E58CCD"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0.634</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577EF3"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0.999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ADE819"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1.422</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ADED48"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0.001</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74DA11"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-5.544</w:t>
            </w:r>
          </w:p>
        </w:tc>
      </w:tr>
      <w:tr w:rsidR="00EE5927" w:rsidRPr="00EE5927" w14:paraId="000E79C4" w14:textId="77777777" w:rsidTr="00EE5927">
        <w:trPr>
          <w:trHeight w:val="870"/>
          <w:jc w:val="center"/>
        </w:trPr>
        <w:tc>
          <w:tcPr>
            <w:tcW w:w="8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FEB1AA"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10wt% CN</w:t>
            </w:r>
          </w:p>
        </w:tc>
        <w:tc>
          <w:tcPr>
            <w:tcW w:w="5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F2B341"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64.19%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D39F0D"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0.213</w:t>
            </w:r>
          </w:p>
        </w:tc>
        <w:tc>
          <w:tcPr>
            <w:tcW w:w="4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8998C8"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28.70</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B6E914"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0.778</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18757E"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1.285</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60125B"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0.804</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ACEDA6"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1.636</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25C2D0"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0.196</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AF604E"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1.018</w:t>
            </w:r>
          </w:p>
        </w:tc>
      </w:tr>
      <w:tr w:rsidR="00EE5927" w:rsidRPr="00EE5927" w14:paraId="342A240D" w14:textId="77777777" w:rsidTr="00EE5927">
        <w:trPr>
          <w:trHeight w:val="870"/>
          <w:jc w:val="center"/>
        </w:trPr>
        <w:tc>
          <w:tcPr>
            <w:tcW w:w="8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61F71F"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12wt% CN</w:t>
            </w:r>
          </w:p>
        </w:tc>
        <w:tc>
          <w:tcPr>
            <w:tcW w:w="5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522C77"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64.19%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80AE4A"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0.213</w:t>
            </w:r>
          </w:p>
        </w:tc>
        <w:tc>
          <w:tcPr>
            <w:tcW w:w="4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AB3DA6"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77.062</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68F14E"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2.52</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FE1BAC"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0.397</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786342"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0.779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84C9A5"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1.785</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38A3A6"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0.321</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EACF93"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1.021</w:t>
            </w:r>
          </w:p>
        </w:tc>
      </w:tr>
      <w:tr w:rsidR="00EE5927" w:rsidRPr="00EE5927" w14:paraId="27F0D224" w14:textId="77777777" w:rsidTr="00EE5927">
        <w:trPr>
          <w:trHeight w:val="870"/>
          <w:jc w:val="center"/>
        </w:trPr>
        <w:tc>
          <w:tcPr>
            <w:tcW w:w="82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B5E50F"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15wt% CN</w:t>
            </w:r>
          </w:p>
        </w:tc>
        <w:tc>
          <w:tcPr>
            <w:tcW w:w="5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213E3A"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64.19%</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5CFF60"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0.213</w:t>
            </w:r>
          </w:p>
        </w:tc>
        <w:tc>
          <w:tcPr>
            <w:tcW w:w="4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BDEA95"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50.424</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DD0E66"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0.765</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7E48B4"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0.756</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B7FF92"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0.973</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D4909A"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0.571</w:t>
            </w:r>
          </w:p>
        </w:tc>
        <w:tc>
          <w:tcPr>
            <w:tcW w:w="4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C5ADB"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0.027</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F66797" w14:textId="77777777" w:rsidR="00FD4258" w:rsidRPr="00EE5927" w:rsidRDefault="00FD4258" w:rsidP="00EE5927">
            <w:pPr>
              <w:pStyle w:val="Maintext"/>
              <w:jc w:val="center"/>
              <w:rPr>
                <w:rFonts w:eastAsiaTheme="minorEastAsia"/>
                <w:sz w:val="16"/>
                <w:szCs w:val="16"/>
                <w:lang w:eastAsia="zh-CN"/>
              </w:rPr>
            </w:pPr>
            <w:r w:rsidRPr="00EE5927">
              <w:rPr>
                <w:kern w:val="24"/>
                <w:sz w:val="16"/>
                <w:szCs w:val="16"/>
              </w:rPr>
              <w:t>-2.457</w:t>
            </w:r>
          </w:p>
        </w:tc>
      </w:tr>
    </w:tbl>
    <w:p w14:paraId="5CBA7117" w14:textId="77777777" w:rsidR="005D7B36" w:rsidRDefault="005D7B36"/>
    <w:sectPr w:rsidR="005D7B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BEF2" w14:textId="77777777" w:rsidR="00743CDC" w:rsidRDefault="00743CDC" w:rsidP="008A1BB3">
      <w:r>
        <w:separator/>
      </w:r>
    </w:p>
  </w:endnote>
  <w:endnote w:type="continuationSeparator" w:id="0">
    <w:p w14:paraId="1F12BE5C" w14:textId="77777777" w:rsidR="00743CDC" w:rsidRDefault="00743CDC" w:rsidP="008A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C15B2" w14:textId="77777777" w:rsidR="00743CDC" w:rsidRDefault="00743CDC" w:rsidP="008A1BB3">
      <w:r>
        <w:separator/>
      </w:r>
    </w:p>
  </w:footnote>
  <w:footnote w:type="continuationSeparator" w:id="0">
    <w:p w14:paraId="538D04EB" w14:textId="77777777" w:rsidR="00743CDC" w:rsidRDefault="00743CDC" w:rsidP="008A1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58"/>
    <w:rsid w:val="005D7B36"/>
    <w:rsid w:val="00743CDC"/>
    <w:rsid w:val="008A1BB3"/>
    <w:rsid w:val="00943624"/>
    <w:rsid w:val="00956425"/>
    <w:rsid w:val="00B956A5"/>
    <w:rsid w:val="00CD7BCF"/>
    <w:rsid w:val="00E16902"/>
    <w:rsid w:val="00EE5927"/>
    <w:rsid w:val="00FD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B65F"/>
  <w15:chartTrackingRefBased/>
  <w15:docId w15:val="{C908CCD5-98E6-4EA6-A140-144EC9E6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258"/>
    <w:rPr>
      <w:rFonts w:ascii="Times New Roman" w:eastAsia="MS Mincho" w:hAnsi="Times New Roman" w:cs="Times New Roman"/>
      <w:kern w:val="0"/>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Full">
    <w:name w:val="Authors Full"/>
    <w:basedOn w:val="a"/>
    <w:rsid w:val="00FD4258"/>
    <w:rPr>
      <w:i/>
      <w:lang w:val="en-US"/>
    </w:rPr>
  </w:style>
  <w:style w:type="paragraph" w:customStyle="1" w:styleId="Tableofcontents">
    <w:name w:val="Table of contents"/>
    <w:basedOn w:val="a"/>
    <w:autoRedefine/>
    <w:rsid w:val="00FD4258"/>
    <w:pPr>
      <w:spacing w:line="360" w:lineRule="auto"/>
    </w:pPr>
    <w:rPr>
      <w:lang w:val="en-US"/>
    </w:rPr>
  </w:style>
  <w:style w:type="paragraph" w:customStyle="1" w:styleId="Title2">
    <w:name w:val="Title2"/>
    <w:basedOn w:val="a"/>
    <w:rsid w:val="00FD4258"/>
    <w:rPr>
      <w:b/>
      <w:lang w:val="en-US"/>
    </w:rPr>
  </w:style>
  <w:style w:type="paragraph" w:customStyle="1" w:styleId="Maintext">
    <w:name w:val="Main text"/>
    <w:basedOn w:val="a"/>
    <w:link w:val="MaintextChar"/>
    <w:autoRedefine/>
    <w:rsid w:val="00FD4258"/>
    <w:pPr>
      <w:spacing w:line="360" w:lineRule="auto"/>
      <w:jc w:val="both"/>
    </w:pPr>
    <w:rPr>
      <w:lang w:val="en-US"/>
    </w:rPr>
  </w:style>
  <w:style w:type="character" w:customStyle="1" w:styleId="MaintextChar">
    <w:name w:val="Main text Char"/>
    <w:link w:val="Maintext"/>
    <w:rsid w:val="00FD4258"/>
    <w:rPr>
      <w:rFonts w:ascii="Times New Roman" w:eastAsia="MS Mincho" w:hAnsi="Times New Roman" w:cs="Times New Roman"/>
      <w:kern w:val="0"/>
      <w:sz w:val="24"/>
      <w:szCs w:val="24"/>
      <w:lang w:eastAsia="ja-JP"/>
    </w:rPr>
  </w:style>
  <w:style w:type="paragraph" w:styleId="a3">
    <w:name w:val="Normal (Web)"/>
    <w:basedOn w:val="a"/>
    <w:uiPriority w:val="99"/>
    <w:semiHidden/>
    <w:unhideWhenUsed/>
    <w:rsid w:val="00FD4258"/>
    <w:pPr>
      <w:spacing w:before="100" w:beforeAutospacing="1" w:after="100" w:afterAutospacing="1"/>
    </w:pPr>
    <w:rPr>
      <w:rFonts w:ascii="宋体" w:eastAsia="宋体" w:hAnsi="宋体" w:cs="宋体"/>
      <w:lang w:val="en-US" w:eastAsia="zh-CN"/>
    </w:rPr>
  </w:style>
  <w:style w:type="paragraph" w:customStyle="1" w:styleId="Addresses">
    <w:name w:val="Addresses"/>
    <w:basedOn w:val="a"/>
    <w:rsid w:val="00FD4258"/>
    <w:rPr>
      <w:lang w:val="en-US"/>
    </w:rPr>
  </w:style>
  <w:style w:type="paragraph" w:customStyle="1" w:styleId="Dedication">
    <w:name w:val="Dedication"/>
    <w:basedOn w:val="a"/>
    <w:autoRedefine/>
    <w:rsid w:val="00FD4258"/>
    <w:rPr>
      <w:lang w:val="en-US"/>
    </w:rPr>
  </w:style>
  <w:style w:type="paragraph" w:styleId="a4">
    <w:name w:val="header"/>
    <w:basedOn w:val="a"/>
    <w:link w:val="a5"/>
    <w:uiPriority w:val="99"/>
    <w:unhideWhenUsed/>
    <w:rsid w:val="008A1BB3"/>
    <w:pPr>
      <w:tabs>
        <w:tab w:val="center" w:pos="4153"/>
        <w:tab w:val="right" w:pos="8306"/>
      </w:tabs>
      <w:snapToGrid w:val="0"/>
      <w:jc w:val="center"/>
    </w:pPr>
    <w:rPr>
      <w:sz w:val="18"/>
      <w:szCs w:val="18"/>
    </w:rPr>
  </w:style>
  <w:style w:type="character" w:customStyle="1" w:styleId="a5">
    <w:name w:val="页眉 字符"/>
    <w:basedOn w:val="a0"/>
    <w:link w:val="a4"/>
    <w:uiPriority w:val="99"/>
    <w:rsid w:val="008A1BB3"/>
    <w:rPr>
      <w:rFonts w:ascii="Times New Roman" w:eastAsia="MS Mincho" w:hAnsi="Times New Roman" w:cs="Times New Roman"/>
      <w:kern w:val="0"/>
      <w:sz w:val="18"/>
      <w:szCs w:val="18"/>
      <w:lang w:val="de-DE" w:eastAsia="ja-JP"/>
    </w:rPr>
  </w:style>
  <w:style w:type="paragraph" w:styleId="a6">
    <w:name w:val="footer"/>
    <w:basedOn w:val="a"/>
    <w:link w:val="a7"/>
    <w:uiPriority w:val="99"/>
    <w:unhideWhenUsed/>
    <w:rsid w:val="008A1BB3"/>
    <w:pPr>
      <w:tabs>
        <w:tab w:val="center" w:pos="4153"/>
        <w:tab w:val="right" w:pos="8306"/>
      </w:tabs>
      <w:snapToGrid w:val="0"/>
    </w:pPr>
    <w:rPr>
      <w:sz w:val="18"/>
      <w:szCs w:val="18"/>
    </w:rPr>
  </w:style>
  <w:style w:type="character" w:customStyle="1" w:styleId="a7">
    <w:name w:val="页脚 字符"/>
    <w:basedOn w:val="a0"/>
    <w:link w:val="a6"/>
    <w:uiPriority w:val="99"/>
    <w:rsid w:val="008A1BB3"/>
    <w:rPr>
      <w:rFonts w:ascii="Times New Roman" w:eastAsia="MS Mincho" w:hAnsi="Times New Roman" w:cs="Times New Roman"/>
      <w:kern w:val="0"/>
      <w:sz w:val="18"/>
      <w:szCs w:val="18"/>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Jianpeng Zhang</dc:creator>
  <cp:keywords/>
  <dc:description/>
  <cp:lastModifiedBy>Jianpeng Zhang</cp:lastModifiedBy>
  <cp:revision>3</cp:revision>
  <dcterms:created xsi:type="dcterms:W3CDTF">2023-06-21T11:58:00Z</dcterms:created>
  <dcterms:modified xsi:type="dcterms:W3CDTF">2023-06-22T02:24:00Z</dcterms:modified>
</cp:coreProperties>
</file>