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A220" w14:textId="2E042C11" w:rsidR="00D005FB" w:rsidRPr="002B7637" w:rsidRDefault="00D005FB" w:rsidP="00D005FB">
      <w:pPr>
        <w:spacing w:after="0" w:line="360" w:lineRule="auto"/>
        <w:jc w:val="center"/>
        <w:rPr>
          <w:rFonts w:ascii="Times New Roman" w:hAnsi="Times New Roman" w:cs="Times New Roman"/>
          <w:sz w:val="24"/>
          <w:szCs w:val="24"/>
        </w:rPr>
      </w:pPr>
      <w:r w:rsidRPr="002B7637">
        <w:rPr>
          <w:rFonts w:ascii="Times New Roman" w:hAnsi="Times New Roman" w:cs="Times New Roman"/>
          <w:noProof/>
          <w:sz w:val="24"/>
          <w:szCs w:val="24"/>
        </w:rPr>
        <w:drawing>
          <wp:inline distT="0" distB="0" distL="0" distR="0" wp14:anchorId="711B5892" wp14:editId="2AE6FF84">
            <wp:extent cx="5386646" cy="7406640"/>
            <wp:effectExtent l="0" t="0" r="5080" b="3810"/>
            <wp:docPr id="2" name="Picture 2" descr="Graphical user interface, diagram, application,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 application, engineering drawing&#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386646" cy="7406640"/>
                    </a:xfrm>
                    <a:prstGeom prst="rect">
                      <a:avLst/>
                    </a:prstGeom>
                  </pic:spPr>
                </pic:pic>
              </a:graphicData>
            </a:graphic>
          </wp:inline>
        </w:drawing>
      </w:r>
    </w:p>
    <w:p w14:paraId="372957C9" w14:textId="78969F6F" w:rsidR="00A17A31" w:rsidRPr="002B7637" w:rsidRDefault="00A17A31" w:rsidP="00A17A31">
      <w:pPr>
        <w:pStyle w:val="Caption"/>
        <w:jc w:val="center"/>
        <w:rPr>
          <w:rFonts w:ascii="Times New Roman" w:hAnsi="Times New Roman" w:cs="Times New Roman"/>
          <w:i w:val="0"/>
          <w:iCs w:val="0"/>
          <w:color w:val="auto"/>
          <w:sz w:val="24"/>
          <w:szCs w:val="24"/>
        </w:rPr>
      </w:pPr>
      <w:bookmarkStart w:id="0" w:name="_Ref127721375"/>
      <w:r w:rsidRPr="002B7637">
        <w:rPr>
          <w:rFonts w:ascii="Times New Roman" w:hAnsi="Times New Roman" w:cs="Times New Roman"/>
          <w:i w:val="0"/>
          <w:iCs w:val="0"/>
          <w:color w:val="auto"/>
          <w:sz w:val="24"/>
          <w:szCs w:val="24"/>
        </w:rPr>
        <w:t xml:space="preserve">Figure </w:t>
      </w:r>
      <w:bookmarkEnd w:id="0"/>
      <w:r w:rsidR="00D005FB" w:rsidRPr="002B7637">
        <w:rPr>
          <w:rFonts w:ascii="Times New Roman" w:hAnsi="Times New Roman" w:cs="Times New Roman"/>
          <w:i w:val="0"/>
          <w:iCs w:val="0"/>
          <w:color w:val="auto"/>
          <w:sz w:val="24"/>
          <w:szCs w:val="24"/>
        </w:rPr>
        <w:t>S1</w:t>
      </w:r>
      <w:r w:rsidRPr="002B7637">
        <w:rPr>
          <w:rFonts w:ascii="Times New Roman" w:hAnsi="Times New Roman" w:cs="Times New Roman"/>
          <w:i w:val="0"/>
          <w:iCs w:val="0"/>
          <w:color w:val="auto"/>
          <w:sz w:val="24"/>
          <w:szCs w:val="24"/>
        </w:rPr>
        <w:t xml:space="preserve"> </w:t>
      </w:r>
      <w:r w:rsidR="001B32DB" w:rsidRPr="002B7637">
        <w:rPr>
          <w:rFonts w:ascii="Times New Roman" w:hAnsi="Times New Roman" w:cs="Times New Roman"/>
          <w:i w:val="0"/>
          <w:iCs w:val="0"/>
          <w:color w:val="auto"/>
          <w:sz w:val="24"/>
          <w:szCs w:val="24"/>
        </w:rPr>
        <w:t>Scree plots outputs of</w:t>
      </w:r>
      <w:r w:rsidRPr="002B7637">
        <w:rPr>
          <w:rFonts w:ascii="Times New Roman" w:hAnsi="Times New Roman" w:cs="Times New Roman"/>
          <w:i w:val="0"/>
          <w:iCs w:val="0"/>
          <w:color w:val="auto"/>
          <w:sz w:val="24"/>
          <w:szCs w:val="24"/>
        </w:rPr>
        <w:t xml:space="preserve"> </w:t>
      </w:r>
      <w:r w:rsidR="001B32DB" w:rsidRPr="002B7637">
        <w:rPr>
          <w:rFonts w:ascii="Times New Roman" w:hAnsi="Times New Roman" w:cs="Times New Roman"/>
          <w:i w:val="0"/>
          <w:iCs w:val="0"/>
          <w:color w:val="auto"/>
          <w:sz w:val="24"/>
          <w:szCs w:val="24"/>
        </w:rPr>
        <w:t xml:space="preserve">exposure, </w:t>
      </w:r>
      <w:proofErr w:type="gramStart"/>
      <w:r w:rsidR="001B32DB" w:rsidRPr="002B7637">
        <w:rPr>
          <w:rFonts w:ascii="Times New Roman" w:hAnsi="Times New Roman" w:cs="Times New Roman"/>
          <w:i w:val="0"/>
          <w:iCs w:val="0"/>
          <w:color w:val="auto"/>
          <w:sz w:val="24"/>
          <w:szCs w:val="24"/>
        </w:rPr>
        <w:t>sensitivity</w:t>
      </w:r>
      <w:proofErr w:type="gramEnd"/>
      <w:r w:rsidR="001B32DB" w:rsidRPr="002B7637">
        <w:rPr>
          <w:rFonts w:ascii="Times New Roman" w:hAnsi="Times New Roman" w:cs="Times New Roman"/>
          <w:i w:val="0"/>
          <w:iCs w:val="0"/>
          <w:color w:val="auto"/>
          <w:sz w:val="24"/>
          <w:szCs w:val="24"/>
        </w:rPr>
        <w:t xml:space="preserve"> and adaptive capacity </w:t>
      </w:r>
    </w:p>
    <w:p w14:paraId="0E13643D" w14:textId="4D522CE5" w:rsidR="00716DB8" w:rsidRPr="002B7637" w:rsidRDefault="00716DB8">
      <w:pPr>
        <w:rPr>
          <w:rFonts w:ascii="Times New Roman" w:hAnsi="Times New Roman" w:cs="Times New Roman"/>
        </w:rPr>
      </w:pPr>
    </w:p>
    <w:p w14:paraId="64912C0C" w14:textId="2B9D27ED" w:rsidR="00037DCB" w:rsidRPr="002B7637" w:rsidRDefault="00037DCB" w:rsidP="002F560F">
      <w:pPr>
        <w:jc w:val="center"/>
        <w:rPr>
          <w:rFonts w:ascii="Times New Roman" w:hAnsi="Times New Roman" w:cs="Times New Roman"/>
        </w:rPr>
      </w:pPr>
      <w:r w:rsidRPr="002B7637">
        <w:rPr>
          <w:rFonts w:ascii="Times New Roman" w:hAnsi="Times New Roman" w:cs="Times New Roman"/>
          <w:noProof/>
        </w:rPr>
        <w:lastRenderedPageBreak/>
        <w:drawing>
          <wp:inline distT="0" distB="0" distL="0" distR="0" wp14:anchorId="1C123C58" wp14:editId="74F543B4">
            <wp:extent cx="4937760" cy="74066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4937760" cy="7406640"/>
                    </a:xfrm>
                    <a:prstGeom prst="rect">
                      <a:avLst/>
                    </a:prstGeom>
                  </pic:spPr>
                </pic:pic>
              </a:graphicData>
            </a:graphic>
          </wp:inline>
        </w:drawing>
      </w:r>
    </w:p>
    <w:p w14:paraId="3C203D44" w14:textId="319FDDBF" w:rsidR="00857484" w:rsidRPr="002B7637" w:rsidRDefault="00797FEC" w:rsidP="00545823">
      <w:pPr>
        <w:pStyle w:val="Caption"/>
        <w:jc w:val="center"/>
        <w:rPr>
          <w:rFonts w:ascii="Times New Roman" w:hAnsi="Times New Roman" w:cs="Times New Roman"/>
          <w:i w:val="0"/>
          <w:iCs w:val="0"/>
          <w:color w:val="auto"/>
          <w:sz w:val="24"/>
          <w:szCs w:val="24"/>
        </w:rPr>
        <w:sectPr w:rsidR="00857484" w:rsidRPr="002B7637">
          <w:footerReference w:type="default" r:id="rId8"/>
          <w:pgSz w:w="12240" w:h="15840"/>
          <w:pgMar w:top="1440" w:right="1440" w:bottom="1440" w:left="1440" w:header="720" w:footer="720" w:gutter="0"/>
          <w:cols w:space="720"/>
          <w:docGrid w:linePitch="360"/>
        </w:sectPr>
      </w:pPr>
      <w:bookmarkStart w:id="1" w:name="_Ref127567322"/>
      <w:r w:rsidRPr="002B7637">
        <w:rPr>
          <w:rFonts w:ascii="Times New Roman" w:hAnsi="Times New Roman" w:cs="Times New Roman"/>
          <w:i w:val="0"/>
          <w:iCs w:val="0"/>
          <w:color w:val="auto"/>
          <w:sz w:val="24"/>
          <w:szCs w:val="24"/>
        </w:rPr>
        <w:t xml:space="preserve">Figure </w:t>
      </w:r>
      <w:bookmarkEnd w:id="1"/>
      <w:r w:rsidR="0004636B" w:rsidRPr="002B7637">
        <w:rPr>
          <w:rFonts w:ascii="Times New Roman" w:hAnsi="Times New Roman" w:cs="Times New Roman"/>
          <w:i w:val="0"/>
          <w:iCs w:val="0"/>
          <w:color w:val="auto"/>
          <w:sz w:val="24"/>
          <w:szCs w:val="24"/>
        </w:rPr>
        <w:t>S2</w:t>
      </w:r>
      <w:r w:rsidRPr="002B7637">
        <w:rPr>
          <w:rFonts w:ascii="Times New Roman" w:hAnsi="Times New Roman" w:cs="Times New Roman"/>
          <w:i w:val="0"/>
          <w:iCs w:val="0"/>
          <w:color w:val="auto"/>
          <w:sz w:val="24"/>
          <w:szCs w:val="24"/>
        </w:rPr>
        <w:t xml:space="preserve"> Spatial distribution of mean </w:t>
      </w:r>
      <w:r w:rsidR="001B32DB" w:rsidRPr="002B7637">
        <w:rPr>
          <w:rFonts w:ascii="Times New Roman" w:hAnsi="Times New Roman" w:cs="Times New Roman"/>
          <w:i w:val="0"/>
          <w:iCs w:val="0"/>
          <w:color w:val="auto"/>
          <w:sz w:val="24"/>
          <w:szCs w:val="24"/>
        </w:rPr>
        <w:t xml:space="preserve">annual </w:t>
      </w:r>
      <w:r w:rsidRPr="002B7637">
        <w:rPr>
          <w:rFonts w:ascii="Times New Roman" w:hAnsi="Times New Roman" w:cs="Times New Roman"/>
          <w:i w:val="0"/>
          <w:iCs w:val="0"/>
          <w:color w:val="auto"/>
          <w:sz w:val="24"/>
          <w:szCs w:val="24"/>
        </w:rPr>
        <w:t xml:space="preserve">LST </w:t>
      </w:r>
      <w:r w:rsidR="001B32DB" w:rsidRPr="002B7637">
        <w:rPr>
          <w:rFonts w:ascii="Times New Roman" w:hAnsi="Times New Roman" w:cs="Times New Roman"/>
          <w:i w:val="0"/>
          <w:iCs w:val="0"/>
          <w:color w:val="auto"/>
          <w:sz w:val="24"/>
          <w:szCs w:val="24"/>
        </w:rPr>
        <w:t xml:space="preserve">(2000-2019) </w:t>
      </w:r>
      <w:r w:rsidRPr="002B7637">
        <w:rPr>
          <w:rFonts w:ascii="Times New Roman" w:hAnsi="Times New Roman" w:cs="Times New Roman"/>
          <w:i w:val="0"/>
          <w:iCs w:val="0"/>
          <w:color w:val="auto"/>
          <w:sz w:val="24"/>
          <w:szCs w:val="24"/>
        </w:rPr>
        <w:t xml:space="preserve">in five major cities of </w:t>
      </w:r>
      <w:r w:rsidR="00171192" w:rsidRPr="002B7637">
        <w:rPr>
          <w:rFonts w:ascii="Times New Roman" w:hAnsi="Times New Roman" w:cs="Times New Roman"/>
          <w:i w:val="0"/>
          <w:iCs w:val="0"/>
          <w:color w:val="auto"/>
          <w:sz w:val="24"/>
          <w:szCs w:val="24"/>
        </w:rPr>
        <w:t>Bangladesh</w:t>
      </w:r>
    </w:p>
    <w:p w14:paraId="6F40B666" w14:textId="2368CDF2" w:rsidR="00FE4FFF" w:rsidRPr="002B7637" w:rsidRDefault="00FE4FFF" w:rsidP="00FE4FFF">
      <w:pPr>
        <w:pStyle w:val="Caption"/>
        <w:rPr>
          <w:rFonts w:ascii="Times New Roman" w:hAnsi="Times New Roman" w:cs="Times New Roman"/>
          <w:i w:val="0"/>
          <w:iCs w:val="0"/>
          <w:color w:val="auto"/>
          <w:sz w:val="24"/>
          <w:szCs w:val="24"/>
        </w:rPr>
      </w:pPr>
      <w:bookmarkStart w:id="2" w:name="_Ref127438327"/>
      <w:r w:rsidRPr="002B7637">
        <w:rPr>
          <w:rFonts w:ascii="Times New Roman" w:hAnsi="Times New Roman" w:cs="Times New Roman"/>
          <w:i w:val="0"/>
          <w:iCs w:val="0"/>
          <w:color w:val="auto"/>
          <w:sz w:val="24"/>
          <w:szCs w:val="24"/>
        </w:rPr>
        <w:lastRenderedPageBreak/>
        <w:t xml:space="preserve">Table </w:t>
      </w:r>
      <w:r w:rsidR="006314BF" w:rsidRPr="002B7637">
        <w:rPr>
          <w:rFonts w:ascii="Times New Roman" w:hAnsi="Times New Roman" w:cs="Times New Roman"/>
          <w:i w:val="0"/>
          <w:iCs w:val="0"/>
          <w:color w:val="auto"/>
          <w:sz w:val="24"/>
          <w:szCs w:val="24"/>
        </w:rPr>
        <w:t>S1</w:t>
      </w:r>
      <w:bookmarkEnd w:id="2"/>
      <w:r w:rsidRPr="002B7637">
        <w:rPr>
          <w:rFonts w:ascii="Times New Roman" w:hAnsi="Times New Roman" w:cs="Times New Roman"/>
          <w:i w:val="0"/>
          <w:iCs w:val="0"/>
          <w:color w:val="auto"/>
          <w:sz w:val="24"/>
          <w:szCs w:val="24"/>
        </w:rPr>
        <w:t xml:space="preserve"> Indicators of heatwave vulnerability</w:t>
      </w:r>
    </w:p>
    <w:tbl>
      <w:tblPr>
        <w:tblW w:w="5000" w:type="pct"/>
        <w:tblBorders>
          <w:top w:val="single" w:sz="4" w:space="0" w:color="auto"/>
          <w:bottom w:val="single" w:sz="4" w:space="0" w:color="auto"/>
          <w:insideH w:val="single" w:sz="4" w:space="0" w:color="auto"/>
        </w:tblBorders>
        <w:tblLook w:val="0600" w:firstRow="0" w:lastRow="0" w:firstColumn="0" w:lastColumn="0" w:noHBand="1" w:noVBand="1"/>
      </w:tblPr>
      <w:tblGrid>
        <w:gridCol w:w="1142"/>
        <w:gridCol w:w="1545"/>
        <w:gridCol w:w="6169"/>
        <w:gridCol w:w="1747"/>
        <w:gridCol w:w="2357"/>
      </w:tblGrid>
      <w:tr w:rsidR="00FE4FFF" w:rsidRPr="002B7637" w14:paraId="014B2606" w14:textId="77777777" w:rsidTr="006D74B0">
        <w:trPr>
          <w:trHeight w:val="19"/>
          <w:tblHeader/>
        </w:trPr>
        <w:tc>
          <w:tcPr>
            <w:tcW w:w="1036" w:type="pct"/>
            <w:gridSpan w:val="2"/>
            <w:shd w:val="clear" w:color="auto" w:fill="auto"/>
            <w:tcMar>
              <w:top w:w="100" w:type="dxa"/>
              <w:left w:w="100" w:type="dxa"/>
              <w:bottom w:w="100" w:type="dxa"/>
              <w:right w:w="100" w:type="dxa"/>
            </w:tcMar>
          </w:tcPr>
          <w:p w14:paraId="1E074994" w14:textId="77777777" w:rsidR="00FE4FFF" w:rsidRPr="002B7637" w:rsidRDefault="00FE4FFF" w:rsidP="00D91ED4">
            <w:pPr>
              <w:spacing w:after="0"/>
              <w:jc w:val="center"/>
              <w:rPr>
                <w:rFonts w:ascii="Times New Roman" w:hAnsi="Times New Roman" w:cs="Times New Roman"/>
                <w:b/>
              </w:rPr>
            </w:pPr>
            <w:bookmarkStart w:id="3" w:name="_Hlk127438382"/>
            <w:r w:rsidRPr="002B7637">
              <w:rPr>
                <w:rFonts w:ascii="Times New Roman" w:hAnsi="Times New Roman" w:cs="Times New Roman"/>
                <w:b/>
              </w:rPr>
              <w:t>Indicators</w:t>
            </w:r>
          </w:p>
        </w:tc>
        <w:tc>
          <w:tcPr>
            <w:tcW w:w="2380" w:type="pct"/>
            <w:vMerge w:val="restart"/>
            <w:shd w:val="clear" w:color="auto" w:fill="auto"/>
            <w:tcMar>
              <w:top w:w="100" w:type="dxa"/>
              <w:left w:w="100" w:type="dxa"/>
              <w:bottom w:w="100" w:type="dxa"/>
              <w:right w:w="100" w:type="dxa"/>
            </w:tcMar>
          </w:tcPr>
          <w:p w14:paraId="189E7C20" w14:textId="77777777" w:rsidR="00FE4FFF" w:rsidRPr="002B7637" w:rsidRDefault="00FE4FFF" w:rsidP="00D91ED4">
            <w:pPr>
              <w:spacing w:after="0"/>
              <w:jc w:val="center"/>
              <w:rPr>
                <w:rFonts w:ascii="Times New Roman" w:hAnsi="Times New Roman" w:cs="Times New Roman"/>
                <w:b/>
              </w:rPr>
            </w:pPr>
            <w:r w:rsidRPr="002B7637">
              <w:rPr>
                <w:rFonts w:ascii="Times New Roman" w:hAnsi="Times New Roman" w:cs="Times New Roman"/>
                <w:b/>
              </w:rPr>
              <w:t xml:space="preserve">Description </w:t>
            </w:r>
          </w:p>
        </w:tc>
        <w:tc>
          <w:tcPr>
            <w:tcW w:w="674" w:type="pct"/>
            <w:vMerge w:val="restart"/>
            <w:shd w:val="clear" w:color="auto" w:fill="auto"/>
            <w:tcMar>
              <w:top w:w="100" w:type="dxa"/>
              <w:left w:w="100" w:type="dxa"/>
              <w:bottom w:w="100" w:type="dxa"/>
              <w:right w:w="100" w:type="dxa"/>
            </w:tcMar>
          </w:tcPr>
          <w:p w14:paraId="130C846F" w14:textId="5D0AB99C" w:rsidR="00FE4FFF" w:rsidRPr="002B7637" w:rsidRDefault="00FE4FFF" w:rsidP="00D91ED4">
            <w:pPr>
              <w:spacing w:after="0"/>
              <w:rPr>
                <w:rFonts w:ascii="Times New Roman" w:hAnsi="Times New Roman" w:cs="Times New Roman"/>
                <w:b/>
              </w:rPr>
            </w:pPr>
            <w:r w:rsidRPr="002B7637">
              <w:rPr>
                <w:rFonts w:ascii="Times New Roman" w:hAnsi="Times New Roman" w:cs="Times New Roman"/>
                <w:b/>
              </w:rPr>
              <w:t>Unit / Resolution / Format</w:t>
            </w:r>
          </w:p>
        </w:tc>
        <w:tc>
          <w:tcPr>
            <w:tcW w:w="909" w:type="pct"/>
            <w:vMerge w:val="restart"/>
            <w:shd w:val="clear" w:color="auto" w:fill="auto"/>
            <w:tcMar>
              <w:top w:w="100" w:type="dxa"/>
              <w:left w:w="100" w:type="dxa"/>
              <w:bottom w:w="100" w:type="dxa"/>
              <w:right w:w="100" w:type="dxa"/>
            </w:tcMar>
          </w:tcPr>
          <w:p w14:paraId="624161A0" w14:textId="09F902C0" w:rsidR="00FE4FFF" w:rsidRPr="002B7637" w:rsidRDefault="00FE4FFF" w:rsidP="00D91ED4">
            <w:pPr>
              <w:spacing w:after="0"/>
              <w:jc w:val="center"/>
              <w:rPr>
                <w:rFonts w:ascii="Times New Roman" w:hAnsi="Times New Roman" w:cs="Times New Roman"/>
                <w:b/>
              </w:rPr>
            </w:pPr>
            <w:r w:rsidRPr="002B7637">
              <w:rPr>
                <w:rFonts w:ascii="Times New Roman" w:hAnsi="Times New Roman" w:cs="Times New Roman"/>
                <w:b/>
              </w:rPr>
              <w:t xml:space="preserve">Data </w:t>
            </w:r>
            <w:r w:rsidR="001B32DB" w:rsidRPr="002B7637">
              <w:rPr>
                <w:rFonts w:ascii="Times New Roman" w:hAnsi="Times New Roman" w:cs="Times New Roman"/>
                <w:b/>
              </w:rPr>
              <w:t>s</w:t>
            </w:r>
            <w:r w:rsidRPr="002B7637">
              <w:rPr>
                <w:rFonts w:ascii="Times New Roman" w:hAnsi="Times New Roman" w:cs="Times New Roman"/>
                <w:b/>
              </w:rPr>
              <w:t>ource</w:t>
            </w:r>
          </w:p>
        </w:tc>
      </w:tr>
      <w:tr w:rsidR="00FE4FFF" w:rsidRPr="002B7637" w14:paraId="00A63ACC" w14:textId="77777777" w:rsidTr="006D74B0">
        <w:trPr>
          <w:trHeight w:val="97"/>
          <w:tblHeader/>
        </w:trPr>
        <w:tc>
          <w:tcPr>
            <w:tcW w:w="441" w:type="pct"/>
            <w:shd w:val="clear" w:color="auto" w:fill="auto"/>
            <w:tcMar>
              <w:top w:w="100" w:type="dxa"/>
              <w:left w:w="100" w:type="dxa"/>
              <w:bottom w:w="100" w:type="dxa"/>
              <w:right w:w="100" w:type="dxa"/>
            </w:tcMar>
          </w:tcPr>
          <w:p w14:paraId="3AFE6110" w14:textId="77777777" w:rsidR="00FE4FFF" w:rsidRPr="002B7637" w:rsidRDefault="00FE4FFF" w:rsidP="00D91ED4">
            <w:pPr>
              <w:spacing w:after="0"/>
              <w:jc w:val="center"/>
              <w:rPr>
                <w:rFonts w:ascii="Times New Roman" w:hAnsi="Times New Roman" w:cs="Times New Roman"/>
                <w:b/>
                <w:bCs/>
              </w:rPr>
            </w:pPr>
            <w:r w:rsidRPr="002B7637">
              <w:rPr>
                <w:rFonts w:ascii="Times New Roman" w:hAnsi="Times New Roman" w:cs="Times New Roman"/>
                <w:b/>
                <w:bCs/>
              </w:rPr>
              <w:t>Latent</w:t>
            </w:r>
          </w:p>
        </w:tc>
        <w:tc>
          <w:tcPr>
            <w:tcW w:w="596" w:type="pct"/>
            <w:shd w:val="clear" w:color="auto" w:fill="auto"/>
            <w:tcMar>
              <w:top w:w="100" w:type="dxa"/>
              <w:left w:w="100" w:type="dxa"/>
              <w:bottom w:w="100" w:type="dxa"/>
              <w:right w:w="100" w:type="dxa"/>
            </w:tcMar>
          </w:tcPr>
          <w:p w14:paraId="4BDE7516" w14:textId="77777777" w:rsidR="00FE4FFF" w:rsidRPr="002B7637" w:rsidRDefault="00FE4FFF" w:rsidP="00D91ED4">
            <w:pPr>
              <w:spacing w:after="0"/>
              <w:jc w:val="center"/>
              <w:rPr>
                <w:rFonts w:ascii="Times New Roman" w:hAnsi="Times New Roman" w:cs="Times New Roman"/>
                <w:b/>
                <w:bCs/>
              </w:rPr>
            </w:pPr>
            <w:r w:rsidRPr="002B7637">
              <w:rPr>
                <w:rFonts w:ascii="Times New Roman" w:hAnsi="Times New Roman" w:cs="Times New Roman"/>
                <w:b/>
                <w:bCs/>
              </w:rPr>
              <w:t>Observed</w:t>
            </w:r>
          </w:p>
        </w:tc>
        <w:tc>
          <w:tcPr>
            <w:tcW w:w="2380" w:type="pct"/>
            <w:vMerge/>
            <w:shd w:val="clear" w:color="auto" w:fill="auto"/>
            <w:tcMar>
              <w:top w:w="100" w:type="dxa"/>
              <w:left w:w="100" w:type="dxa"/>
              <w:bottom w:w="100" w:type="dxa"/>
              <w:right w:w="100" w:type="dxa"/>
            </w:tcMar>
          </w:tcPr>
          <w:p w14:paraId="303E9CDE" w14:textId="77777777" w:rsidR="00FE4FFF" w:rsidRPr="002B7637" w:rsidRDefault="00FE4FFF" w:rsidP="00D91ED4">
            <w:pPr>
              <w:spacing w:after="0"/>
              <w:rPr>
                <w:rFonts w:ascii="Times New Roman" w:hAnsi="Times New Roman" w:cs="Times New Roman"/>
                <w:b/>
                <w:bCs/>
              </w:rPr>
            </w:pPr>
          </w:p>
        </w:tc>
        <w:tc>
          <w:tcPr>
            <w:tcW w:w="674" w:type="pct"/>
            <w:vMerge/>
            <w:shd w:val="clear" w:color="auto" w:fill="auto"/>
            <w:tcMar>
              <w:top w:w="100" w:type="dxa"/>
              <w:left w:w="100" w:type="dxa"/>
              <w:bottom w:w="100" w:type="dxa"/>
              <w:right w:w="100" w:type="dxa"/>
            </w:tcMar>
          </w:tcPr>
          <w:p w14:paraId="6D14BC40" w14:textId="77777777" w:rsidR="00FE4FFF" w:rsidRPr="002B7637" w:rsidRDefault="00FE4FFF" w:rsidP="00D91ED4">
            <w:pPr>
              <w:widowControl w:val="0"/>
              <w:pBdr>
                <w:top w:val="nil"/>
                <w:left w:val="nil"/>
                <w:bottom w:val="nil"/>
                <w:right w:val="nil"/>
                <w:between w:val="nil"/>
              </w:pBdr>
              <w:spacing w:after="0"/>
              <w:rPr>
                <w:rFonts w:ascii="Times New Roman" w:hAnsi="Times New Roman" w:cs="Times New Roman"/>
                <w:b/>
                <w:bCs/>
              </w:rPr>
            </w:pPr>
          </w:p>
        </w:tc>
        <w:tc>
          <w:tcPr>
            <w:tcW w:w="909" w:type="pct"/>
            <w:vMerge/>
            <w:shd w:val="clear" w:color="auto" w:fill="auto"/>
            <w:tcMar>
              <w:top w:w="100" w:type="dxa"/>
              <w:left w:w="100" w:type="dxa"/>
              <w:bottom w:w="100" w:type="dxa"/>
              <w:right w:w="100" w:type="dxa"/>
            </w:tcMar>
          </w:tcPr>
          <w:p w14:paraId="4F86C7A7" w14:textId="77777777" w:rsidR="00FE4FFF" w:rsidRPr="002B7637" w:rsidRDefault="00FE4FFF" w:rsidP="00D91ED4">
            <w:pPr>
              <w:widowControl w:val="0"/>
              <w:pBdr>
                <w:top w:val="nil"/>
                <w:left w:val="nil"/>
                <w:bottom w:val="nil"/>
                <w:right w:val="nil"/>
                <w:between w:val="nil"/>
              </w:pBdr>
              <w:spacing w:after="0"/>
              <w:rPr>
                <w:rFonts w:ascii="Times New Roman" w:hAnsi="Times New Roman" w:cs="Times New Roman"/>
                <w:b/>
                <w:bCs/>
              </w:rPr>
            </w:pPr>
          </w:p>
        </w:tc>
      </w:tr>
      <w:tr w:rsidR="00FE4FFF" w:rsidRPr="002B7637" w14:paraId="7AFD5AA6" w14:textId="77777777" w:rsidTr="00FE4FFF">
        <w:trPr>
          <w:trHeight w:val="250"/>
        </w:trPr>
        <w:tc>
          <w:tcPr>
            <w:tcW w:w="441" w:type="pct"/>
            <w:vMerge w:val="restart"/>
            <w:shd w:val="clear" w:color="auto" w:fill="auto"/>
            <w:tcMar>
              <w:top w:w="100" w:type="dxa"/>
              <w:left w:w="100" w:type="dxa"/>
              <w:bottom w:w="100" w:type="dxa"/>
              <w:right w:w="100" w:type="dxa"/>
            </w:tcMar>
          </w:tcPr>
          <w:p w14:paraId="042A5185" w14:textId="77777777" w:rsidR="00FE4FFF" w:rsidRPr="002B7637" w:rsidRDefault="00FE4FFF" w:rsidP="00D91ED4">
            <w:pPr>
              <w:spacing w:after="0"/>
              <w:jc w:val="center"/>
              <w:rPr>
                <w:rFonts w:ascii="Times New Roman" w:hAnsi="Times New Roman" w:cs="Times New Roman"/>
              </w:rPr>
            </w:pPr>
            <w:r w:rsidRPr="002B7637">
              <w:rPr>
                <w:rFonts w:ascii="Times New Roman" w:hAnsi="Times New Roman" w:cs="Times New Roman"/>
              </w:rPr>
              <w:t>Exposure</w:t>
            </w:r>
          </w:p>
        </w:tc>
        <w:tc>
          <w:tcPr>
            <w:tcW w:w="596" w:type="pct"/>
            <w:shd w:val="clear" w:color="auto" w:fill="auto"/>
            <w:tcMar>
              <w:top w:w="100" w:type="dxa"/>
              <w:left w:w="100" w:type="dxa"/>
              <w:bottom w:w="100" w:type="dxa"/>
              <w:right w:w="100" w:type="dxa"/>
            </w:tcMar>
          </w:tcPr>
          <w:p w14:paraId="668611A3" w14:textId="546384D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Land surface temperature (LST)</w:t>
            </w:r>
          </w:p>
        </w:tc>
        <w:tc>
          <w:tcPr>
            <w:tcW w:w="2380" w:type="pct"/>
            <w:shd w:val="clear" w:color="auto" w:fill="auto"/>
            <w:tcMar>
              <w:top w:w="100" w:type="dxa"/>
              <w:left w:w="100" w:type="dxa"/>
              <w:bottom w:w="100" w:type="dxa"/>
              <w:right w:w="100" w:type="dxa"/>
            </w:tcMar>
          </w:tcPr>
          <w:p w14:paraId="405F9A00" w14:textId="7B70D6C4" w:rsidR="00FE4FFF" w:rsidRPr="002B7637" w:rsidRDefault="00B132CC" w:rsidP="00D91ED4">
            <w:pPr>
              <w:spacing w:after="0"/>
              <w:rPr>
                <w:rFonts w:ascii="Times New Roman" w:hAnsi="Times New Roman" w:cs="Times New Roman"/>
              </w:rPr>
            </w:pPr>
            <w:r w:rsidRPr="002B7637">
              <w:rPr>
                <w:rFonts w:ascii="Times New Roman" w:hAnsi="Times New Roman" w:cs="Times New Roman"/>
              </w:rPr>
              <w:t>LST is closely associated with air temperature, which is an indicator of heatwave</w:t>
            </w:r>
            <w:r w:rsidR="005D6995" w:rsidRPr="002B7637">
              <w:rPr>
                <w:rFonts w:ascii="Times New Roman" w:hAnsi="Times New Roman" w:cs="Times New Roman"/>
              </w:rPr>
              <w:t xml:space="preserve"> </w:t>
            </w:r>
            <w:r w:rsidR="005D6995" w:rsidRPr="002B7637">
              <w:rPr>
                <w:rFonts w:ascii="Times New Roman" w:hAnsi="Times New Roman" w:cs="Times New Roman"/>
                <w:noProof/>
              </w:rPr>
              <w:t>(Zhang et al., 2018)</w:t>
            </w:r>
            <w:r w:rsidR="00FE4FFF" w:rsidRPr="002B7637">
              <w:rPr>
                <w:rFonts w:ascii="Times New Roman" w:hAnsi="Times New Roman" w:cs="Times New Roman"/>
              </w:rPr>
              <w:t>.</w:t>
            </w:r>
          </w:p>
        </w:tc>
        <w:tc>
          <w:tcPr>
            <w:tcW w:w="674" w:type="pct"/>
            <w:shd w:val="clear" w:color="auto" w:fill="auto"/>
            <w:tcMar>
              <w:top w:w="100" w:type="dxa"/>
              <w:left w:w="100" w:type="dxa"/>
              <w:bottom w:w="100" w:type="dxa"/>
              <w:right w:w="100" w:type="dxa"/>
            </w:tcMar>
          </w:tcPr>
          <w:p w14:paraId="2EA3CF49"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MODIS MOD11A2 LST product (v006) at 1 km spatial resolution </w:t>
            </w:r>
          </w:p>
        </w:tc>
        <w:tc>
          <w:tcPr>
            <w:tcW w:w="909" w:type="pct"/>
            <w:shd w:val="clear" w:color="auto" w:fill="auto"/>
            <w:tcMar>
              <w:top w:w="100" w:type="dxa"/>
              <w:left w:w="100" w:type="dxa"/>
              <w:bottom w:w="100" w:type="dxa"/>
              <w:right w:w="100" w:type="dxa"/>
            </w:tcMar>
          </w:tcPr>
          <w:p w14:paraId="5D5402D4" w14:textId="284016ED" w:rsidR="00FE4FFF" w:rsidRPr="002B7637" w:rsidRDefault="00FE4FFF" w:rsidP="00D91ED4">
            <w:pPr>
              <w:spacing w:after="0"/>
              <w:rPr>
                <w:rFonts w:ascii="Times New Roman" w:hAnsi="Times New Roman" w:cs="Times New Roman"/>
              </w:rPr>
            </w:pPr>
            <w:r w:rsidRPr="002B7637">
              <w:rPr>
                <w:rFonts w:ascii="Times New Roman" w:hAnsi="Times New Roman" w:cs="Times New Roman"/>
                <w:noProof/>
              </w:rPr>
              <w:t>(</w:t>
            </w:r>
            <w:r w:rsidRPr="002B7637">
              <w:rPr>
                <w:rFonts w:ascii="Times New Roman" w:hAnsi="Times New Roman" w:cs="Times New Roman"/>
              </w:rPr>
              <w:t>Wan et al., 2015</w:t>
            </w:r>
            <w:r w:rsidRPr="002B7637">
              <w:rPr>
                <w:rFonts w:ascii="Times New Roman" w:hAnsi="Times New Roman" w:cs="Times New Roman"/>
                <w:noProof/>
              </w:rPr>
              <w:t>)</w:t>
            </w:r>
          </w:p>
        </w:tc>
      </w:tr>
      <w:tr w:rsidR="00FE4FFF" w:rsidRPr="002B7637" w14:paraId="4BC037F3" w14:textId="77777777" w:rsidTr="00FE4FFF">
        <w:trPr>
          <w:trHeight w:val="700"/>
        </w:trPr>
        <w:tc>
          <w:tcPr>
            <w:tcW w:w="441" w:type="pct"/>
            <w:vMerge/>
            <w:shd w:val="clear" w:color="auto" w:fill="auto"/>
            <w:tcMar>
              <w:top w:w="100" w:type="dxa"/>
              <w:left w:w="100" w:type="dxa"/>
              <w:bottom w:w="100" w:type="dxa"/>
              <w:right w:w="100" w:type="dxa"/>
            </w:tcMar>
          </w:tcPr>
          <w:p w14:paraId="648B9820"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5A57ED59" w14:textId="08EC1250"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Population density</w:t>
            </w:r>
          </w:p>
        </w:tc>
        <w:tc>
          <w:tcPr>
            <w:tcW w:w="2380" w:type="pct"/>
            <w:shd w:val="clear" w:color="auto" w:fill="auto"/>
            <w:tcMar>
              <w:top w:w="100" w:type="dxa"/>
              <w:left w:w="100" w:type="dxa"/>
              <w:bottom w:w="100" w:type="dxa"/>
              <w:right w:w="100" w:type="dxa"/>
            </w:tcMar>
          </w:tcPr>
          <w:p w14:paraId="7A39547B" w14:textId="37BFD159"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Rapid population growth leads to urban expansion, poverty, congestion, changes in climatic conditions, decline in waterbodies, and thus, increase heatwave vulnerability (Costello et al., 2009; Wheeler et al., 2015).</w:t>
            </w:r>
          </w:p>
        </w:tc>
        <w:tc>
          <w:tcPr>
            <w:tcW w:w="674" w:type="pct"/>
            <w:shd w:val="clear" w:color="auto" w:fill="auto"/>
            <w:tcMar>
              <w:top w:w="100" w:type="dxa"/>
              <w:left w:w="100" w:type="dxa"/>
              <w:bottom w:w="100" w:type="dxa"/>
              <w:right w:w="100" w:type="dxa"/>
            </w:tcMar>
          </w:tcPr>
          <w:p w14:paraId="046AFB22"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Number of people per grid cell at 100 m resolution</w:t>
            </w:r>
          </w:p>
        </w:tc>
        <w:tc>
          <w:tcPr>
            <w:tcW w:w="909" w:type="pct"/>
            <w:shd w:val="clear" w:color="auto" w:fill="auto"/>
            <w:tcMar>
              <w:top w:w="100" w:type="dxa"/>
              <w:left w:w="100" w:type="dxa"/>
              <w:bottom w:w="100" w:type="dxa"/>
              <w:right w:w="100" w:type="dxa"/>
            </w:tcMar>
          </w:tcPr>
          <w:p w14:paraId="1730F1FD" w14:textId="45B50F07" w:rsidR="00FE4FFF" w:rsidRPr="002B7637" w:rsidRDefault="00FE4FFF" w:rsidP="00D91ED4">
            <w:pPr>
              <w:spacing w:after="0"/>
              <w:rPr>
                <w:rFonts w:ascii="Times New Roman" w:hAnsi="Times New Roman" w:cs="Times New Roman"/>
                <w:highlight w:val="yellow"/>
              </w:rPr>
            </w:pPr>
            <w:r w:rsidRPr="002B7637">
              <w:rPr>
                <w:rFonts w:ascii="Times New Roman" w:hAnsi="Times New Roman" w:cs="Times New Roman"/>
              </w:rPr>
              <w:t>(</w:t>
            </w:r>
            <w:proofErr w:type="spellStart"/>
            <w:r w:rsidRPr="002B7637">
              <w:rPr>
                <w:rFonts w:ascii="Times New Roman" w:hAnsi="Times New Roman" w:cs="Times New Roman"/>
              </w:rPr>
              <w:t>WorldPop</w:t>
            </w:r>
            <w:proofErr w:type="spellEnd"/>
            <w:r w:rsidRPr="002B7637">
              <w:rPr>
                <w:rFonts w:ascii="Times New Roman" w:hAnsi="Times New Roman" w:cs="Times New Roman"/>
              </w:rPr>
              <w:t>, 2018)</w:t>
            </w:r>
          </w:p>
        </w:tc>
      </w:tr>
      <w:tr w:rsidR="00FE4FFF" w:rsidRPr="002B7637" w14:paraId="232277DF" w14:textId="77777777" w:rsidTr="00FE4FFF">
        <w:trPr>
          <w:trHeight w:val="277"/>
        </w:trPr>
        <w:tc>
          <w:tcPr>
            <w:tcW w:w="441" w:type="pct"/>
            <w:vMerge/>
            <w:shd w:val="clear" w:color="auto" w:fill="auto"/>
            <w:tcMar>
              <w:top w:w="100" w:type="dxa"/>
              <w:left w:w="100" w:type="dxa"/>
              <w:bottom w:w="100" w:type="dxa"/>
              <w:right w:w="100" w:type="dxa"/>
            </w:tcMar>
          </w:tcPr>
          <w:p w14:paraId="282F323B"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35A6C9D1" w14:textId="77ECB752"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Albedo (</w:t>
            </w:r>
            <w:proofErr w:type="spellStart"/>
            <w:r w:rsidR="00634AB1" w:rsidRPr="002B7637">
              <w:rPr>
                <w:rFonts w:ascii="Times New Roman" w:hAnsi="Times New Roman" w:cs="Times New Roman"/>
              </w:rPr>
              <w:t>wsa</w:t>
            </w:r>
            <w:proofErr w:type="spellEnd"/>
            <w:r w:rsidRPr="002B7637">
              <w:rPr>
                <w:rFonts w:ascii="Times New Roman" w:hAnsi="Times New Roman" w:cs="Times New Roman"/>
              </w:rPr>
              <w:t>)</w:t>
            </w:r>
          </w:p>
        </w:tc>
        <w:tc>
          <w:tcPr>
            <w:tcW w:w="2380" w:type="pct"/>
            <w:shd w:val="clear" w:color="auto" w:fill="auto"/>
            <w:tcMar>
              <w:top w:w="100" w:type="dxa"/>
              <w:left w:w="100" w:type="dxa"/>
              <w:bottom w:w="100" w:type="dxa"/>
              <w:right w:w="100" w:type="dxa"/>
            </w:tcMar>
          </w:tcPr>
          <w:p w14:paraId="5A991C3C" w14:textId="1F9D7789"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The albedo defines reflectivity of </w:t>
            </w:r>
            <w:r w:rsidR="001B32DB" w:rsidRPr="002B7637">
              <w:rPr>
                <w:rFonts w:ascii="Times New Roman" w:hAnsi="Times New Roman" w:cs="Times New Roman"/>
              </w:rPr>
              <w:t xml:space="preserve">the </w:t>
            </w:r>
            <w:r w:rsidRPr="002B7637">
              <w:rPr>
                <w:rFonts w:ascii="Times New Roman" w:hAnsi="Times New Roman" w:cs="Times New Roman"/>
              </w:rPr>
              <w:t xml:space="preserve">earth. The low‑albedo surfaces have the potential to increase surface thermal stress and mortality rate </w:t>
            </w:r>
            <w:r w:rsidR="002B7637" w:rsidRPr="002B7637">
              <w:rPr>
                <w:rFonts w:ascii="Times New Roman" w:hAnsi="Times New Roman" w:cs="Times New Roman"/>
                <w:noProof/>
              </w:rPr>
              <w:t>(Kalkstein et al., 2022; Salvati &amp; Kolokotroni, 2020; Sharma et al., 2022)</w:t>
            </w:r>
            <w:r w:rsidRPr="002B7637">
              <w:rPr>
                <w:rFonts w:ascii="Times New Roman" w:hAnsi="Times New Roman" w:cs="Times New Roman"/>
              </w:rPr>
              <w:t xml:space="preserve"> </w:t>
            </w:r>
          </w:p>
        </w:tc>
        <w:tc>
          <w:tcPr>
            <w:tcW w:w="674" w:type="pct"/>
            <w:shd w:val="clear" w:color="auto" w:fill="auto"/>
            <w:tcMar>
              <w:top w:w="100" w:type="dxa"/>
              <w:left w:w="100" w:type="dxa"/>
              <w:bottom w:w="100" w:type="dxa"/>
              <w:right w:w="100" w:type="dxa"/>
            </w:tcMar>
          </w:tcPr>
          <w:p w14:paraId="3EDD0450"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MODIS MCD43A3 product at 500 m spatial resolution</w:t>
            </w:r>
          </w:p>
        </w:tc>
        <w:tc>
          <w:tcPr>
            <w:tcW w:w="909" w:type="pct"/>
            <w:shd w:val="clear" w:color="auto" w:fill="auto"/>
            <w:tcMar>
              <w:top w:w="100" w:type="dxa"/>
              <w:left w:w="100" w:type="dxa"/>
              <w:bottom w:w="100" w:type="dxa"/>
              <w:right w:w="100" w:type="dxa"/>
            </w:tcMar>
          </w:tcPr>
          <w:p w14:paraId="3FFB34B9" w14:textId="6C60F2E8" w:rsidR="00FE4FFF" w:rsidRPr="002B7637" w:rsidRDefault="002B7637" w:rsidP="00D91ED4">
            <w:pPr>
              <w:spacing w:after="0"/>
              <w:rPr>
                <w:rFonts w:ascii="Times New Roman" w:hAnsi="Times New Roman" w:cs="Times New Roman"/>
              </w:rPr>
            </w:pPr>
            <w:r w:rsidRPr="002B7637">
              <w:rPr>
                <w:rFonts w:ascii="Times New Roman" w:hAnsi="Times New Roman" w:cs="Times New Roman"/>
                <w:noProof/>
              </w:rPr>
              <w:t>(Schaaf &amp; Wang, 2015)</w:t>
            </w:r>
          </w:p>
        </w:tc>
      </w:tr>
      <w:tr w:rsidR="00FE4FFF" w:rsidRPr="002B7637" w14:paraId="4E0AAA31" w14:textId="77777777" w:rsidTr="00FE4FFF">
        <w:trPr>
          <w:trHeight w:val="187"/>
        </w:trPr>
        <w:tc>
          <w:tcPr>
            <w:tcW w:w="441" w:type="pct"/>
            <w:vMerge/>
            <w:shd w:val="clear" w:color="auto" w:fill="auto"/>
            <w:tcMar>
              <w:top w:w="100" w:type="dxa"/>
              <w:left w:w="100" w:type="dxa"/>
              <w:bottom w:w="100" w:type="dxa"/>
              <w:right w:w="100" w:type="dxa"/>
            </w:tcMar>
          </w:tcPr>
          <w:p w14:paraId="7C5D779B"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28C26E18" w14:textId="572A5D81"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Aerosol optical depth (</w:t>
            </w:r>
            <w:proofErr w:type="spellStart"/>
            <w:r w:rsidR="00634AB1" w:rsidRPr="002B7637">
              <w:rPr>
                <w:rFonts w:ascii="Times New Roman" w:hAnsi="Times New Roman" w:cs="Times New Roman"/>
              </w:rPr>
              <w:t>aod</w:t>
            </w:r>
            <w:proofErr w:type="spellEnd"/>
            <w:r w:rsidRPr="002B7637">
              <w:rPr>
                <w:rFonts w:ascii="Times New Roman" w:hAnsi="Times New Roman" w:cs="Times New Roman"/>
              </w:rPr>
              <w:t>)</w:t>
            </w:r>
          </w:p>
        </w:tc>
        <w:tc>
          <w:tcPr>
            <w:tcW w:w="2380" w:type="pct"/>
            <w:shd w:val="clear" w:color="auto" w:fill="auto"/>
            <w:tcMar>
              <w:top w:w="100" w:type="dxa"/>
              <w:left w:w="100" w:type="dxa"/>
              <w:bottom w:w="100" w:type="dxa"/>
              <w:right w:w="100" w:type="dxa"/>
            </w:tcMar>
          </w:tcPr>
          <w:p w14:paraId="46066111" w14:textId="20F3C617" w:rsidR="00FE4FFF" w:rsidRPr="002B7637" w:rsidRDefault="005A6796" w:rsidP="00D91ED4">
            <w:pPr>
              <w:spacing w:after="0"/>
              <w:rPr>
                <w:rFonts w:ascii="Times New Roman" w:hAnsi="Times New Roman" w:cs="Times New Roman"/>
              </w:rPr>
            </w:pPr>
            <w:proofErr w:type="spellStart"/>
            <w:r w:rsidRPr="002B7637">
              <w:rPr>
                <w:rFonts w:ascii="Times New Roman" w:hAnsi="Times New Roman" w:cs="Times New Roman"/>
              </w:rPr>
              <w:t>aod</w:t>
            </w:r>
            <w:proofErr w:type="spellEnd"/>
            <w:r w:rsidR="00FE4FFF" w:rsidRPr="002B7637">
              <w:rPr>
                <w:rFonts w:ascii="Times New Roman" w:hAnsi="Times New Roman" w:cs="Times New Roman"/>
              </w:rPr>
              <w:t xml:space="preserve"> indicates concentration of pollutants on the environment</w:t>
            </w:r>
            <w:r w:rsidR="001B32DB" w:rsidRPr="002B7637">
              <w:rPr>
                <w:rFonts w:ascii="Times New Roman" w:hAnsi="Times New Roman" w:cs="Times New Roman"/>
              </w:rPr>
              <w:t>, and its</w:t>
            </w:r>
            <w:r w:rsidR="00FE4FFF" w:rsidRPr="002B7637">
              <w:rPr>
                <w:rFonts w:ascii="Times New Roman" w:hAnsi="Times New Roman" w:cs="Times New Roman"/>
              </w:rPr>
              <w:t xml:space="preserve"> concentration is positively associated with heat stress </w:t>
            </w:r>
            <w:r w:rsidR="00FE4FFF" w:rsidRPr="002B7637">
              <w:rPr>
                <w:rFonts w:ascii="Times New Roman" w:hAnsi="Times New Roman" w:cs="Times New Roman"/>
                <w:noProof/>
              </w:rPr>
              <w:t>(</w:t>
            </w:r>
            <w:r w:rsidR="00FE4FFF" w:rsidRPr="002B7637">
              <w:rPr>
                <w:rFonts w:ascii="Times New Roman" w:hAnsi="Times New Roman" w:cs="Times New Roman"/>
              </w:rPr>
              <w:t>Xiang et al., 2022</w:t>
            </w:r>
            <w:r w:rsidR="00FE4FFF" w:rsidRPr="002B7637">
              <w:rPr>
                <w:rFonts w:ascii="Times New Roman" w:hAnsi="Times New Roman" w:cs="Times New Roman"/>
                <w:noProof/>
              </w:rPr>
              <w:t>)</w:t>
            </w:r>
          </w:p>
        </w:tc>
        <w:tc>
          <w:tcPr>
            <w:tcW w:w="674" w:type="pct"/>
            <w:shd w:val="clear" w:color="auto" w:fill="auto"/>
            <w:tcMar>
              <w:top w:w="100" w:type="dxa"/>
              <w:left w:w="100" w:type="dxa"/>
              <w:bottom w:w="100" w:type="dxa"/>
              <w:right w:w="100" w:type="dxa"/>
            </w:tcMar>
          </w:tcPr>
          <w:p w14:paraId="7DC6948D" w14:textId="77777777" w:rsidR="00FE4FFF" w:rsidRPr="002B7637" w:rsidRDefault="00FE4FFF" w:rsidP="00D91ED4">
            <w:pPr>
              <w:spacing w:after="0"/>
              <w:rPr>
                <w:rFonts w:ascii="Times New Roman" w:hAnsi="Times New Roman" w:cs="Times New Roman"/>
                <w:highlight w:val="yellow"/>
              </w:rPr>
            </w:pPr>
            <w:r w:rsidRPr="002B7637">
              <w:rPr>
                <w:rFonts w:ascii="Times New Roman" w:hAnsi="Times New Roman" w:cs="Times New Roman"/>
              </w:rPr>
              <w:t xml:space="preserve">MODIS MCD19A2 product at 1 km spatial resolution </w:t>
            </w:r>
          </w:p>
        </w:tc>
        <w:tc>
          <w:tcPr>
            <w:tcW w:w="909" w:type="pct"/>
            <w:shd w:val="clear" w:color="auto" w:fill="auto"/>
            <w:tcMar>
              <w:top w:w="100" w:type="dxa"/>
              <w:left w:w="100" w:type="dxa"/>
              <w:bottom w:w="100" w:type="dxa"/>
              <w:right w:w="100" w:type="dxa"/>
            </w:tcMar>
          </w:tcPr>
          <w:p w14:paraId="463DDB16" w14:textId="0C08749F" w:rsidR="00FE4FFF" w:rsidRPr="002B7637" w:rsidRDefault="002B7637" w:rsidP="00D91ED4">
            <w:pPr>
              <w:spacing w:after="0"/>
              <w:rPr>
                <w:rFonts w:ascii="Times New Roman" w:hAnsi="Times New Roman" w:cs="Times New Roman"/>
              </w:rPr>
            </w:pPr>
            <w:r w:rsidRPr="002B7637">
              <w:rPr>
                <w:rFonts w:ascii="Times New Roman" w:hAnsi="Times New Roman" w:cs="Times New Roman"/>
                <w:noProof/>
              </w:rPr>
              <w:t>(Lyapustin &amp; Wang, 2018)</w:t>
            </w:r>
          </w:p>
        </w:tc>
      </w:tr>
      <w:tr w:rsidR="00FE4FFF" w:rsidRPr="002B7637" w14:paraId="684EBCF6" w14:textId="77777777" w:rsidTr="00FE4FFF">
        <w:trPr>
          <w:trHeight w:val="906"/>
        </w:trPr>
        <w:tc>
          <w:tcPr>
            <w:tcW w:w="441" w:type="pct"/>
            <w:vMerge/>
            <w:shd w:val="clear" w:color="auto" w:fill="auto"/>
            <w:tcMar>
              <w:top w:w="100" w:type="dxa"/>
              <w:left w:w="100" w:type="dxa"/>
              <w:bottom w:w="100" w:type="dxa"/>
              <w:right w:w="100" w:type="dxa"/>
            </w:tcMar>
          </w:tcPr>
          <w:p w14:paraId="0A2FF36B"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6C9A0CA3" w14:textId="5A90E0F9"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Nighttime lights (</w:t>
            </w:r>
            <w:proofErr w:type="spellStart"/>
            <w:r w:rsidR="006C51E9" w:rsidRPr="002B7637">
              <w:rPr>
                <w:rFonts w:ascii="Times New Roman" w:hAnsi="Times New Roman" w:cs="Times New Roman"/>
              </w:rPr>
              <w:t>ntl</w:t>
            </w:r>
            <w:proofErr w:type="spellEnd"/>
            <w:r w:rsidRPr="002B7637">
              <w:rPr>
                <w:rFonts w:ascii="Times New Roman" w:hAnsi="Times New Roman" w:cs="Times New Roman"/>
              </w:rPr>
              <w:t>)</w:t>
            </w:r>
          </w:p>
        </w:tc>
        <w:tc>
          <w:tcPr>
            <w:tcW w:w="2380" w:type="pct"/>
            <w:shd w:val="clear" w:color="auto" w:fill="auto"/>
            <w:tcMar>
              <w:top w:w="100" w:type="dxa"/>
              <w:left w:w="100" w:type="dxa"/>
              <w:bottom w:w="100" w:type="dxa"/>
              <w:right w:w="100" w:type="dxa"/>
            </w:tcMar>
          </w:tcPr>
          <w:p w14:paraId="75BC2D58" w14:textId="5413560B" w:rsidR="00FE4FFF" w:rsidRPr="002B7637" w:rsidRDefault="005A6796" w:rsidP="00EB22DE">
            <w:pPr>
              <w:spacing w:after="0"/>
              <w:rPr>
                <w:rFonts w:ascii="Times New Roman" w:hAnsi="Times New Roman" w:cs="Times New Roman"/>
              </w:rPr>
            </w:pPr>
            <w:proofErr w:type="spellStart"/>
            <w:r w:rsidRPr="002B7637">
              <w:rPr>
                <w:rFonts w:ascii="Times New Roman" w:hAnsi="Times New Roman" w:cs="Times New Roman"/>
              </w:rPr>
              <w:t>nt</w:t>
            </w:r>
            <w:r w:rsidR="001B32DB" w:rsidRPr="002B7637">
              <w:rPr>
                <w:rFonts w:ascii="Times New Roman" w:hAnsi="Times New Roman" w:cs="Times New Roman"/>
              </w:rPr>
              <w:t>ls</w:t>
            </w:r>
            <w:proofErr w:type="spellEnd"/>
            <w:r w:rsidR="00FE4FFF" w:rsidRPr="002B7637">
              <w:rPr>
                <w:rFonts w:ascii="Times New Roman" w:hAnsi="Times New Roman" w:cs="Times New Roman"/>
              </w:rPr>
              <w:t xml:space="preserve"> are a sign of anthropogenic activity on earth's surface. NTL data helps extract urban areas by monitoring the city lights at night </w:t>
            </w:r>
            <w:r w:rsidR="005D6995" w:rsidRPr="002B7637">
              <w:rPr>
                <w:rFonts w:ascii="Times New Roman" w:hAnsi="Times New Roman" w:cs="Times New Roman"/>
                <w:noProof/>
              </w:rPr>
              <w:t>(Dewan et al., 2021; Li et al., 2019)</w:t>
            </w:r>
            <w:r w:rsidR="00FE4FFF" w:rsidRPr="002B7637">
              <w:rPr>
                <w:rFonts w:ascii="Times New Roman" w:hAnsi="Times New Roman" w:cs="Times New Roman"/>
              </w:rPr>
              <w:t xml:space="preserve">. NTL data used in this study consisting of the Defense Meteorological Satellite Program – Operational </w:t>
            </w:r>
            <w:proofErr w:type="spellStart"/>
            <w:r w:rsidR="00FE4FFF" w:rsidRPr="002B7637">
              <w:rPr>
                <w:rFonts w:ascii="Times New Roman" w:hAnsi="Times New Roman" w:cs="Times New Roman"/>
              </w:rPr>
              <w:t>Linescan</w:t>
            </w:r>
            <w:proofErr w:type="spellEnd"/>
            <w:r w:rsidR="00FE4FFF" w:rsidRPr="002B7637">
              <w:rPr>
                <w:rFonts w:ascii="Times New Roman" w:hAnsi="Times New Roman" w:cs="Times New Roman"/>
              </w:rPr>
              <w:t xml:space="preserve"> system (DMSP-OLS) and the Visible Infrared Imaging</w:t>
            </w:r>
            <w:r w:rsidR="00EB22DE" w:rsidRPr="002B7637">
              <w:rPr>
                <w:rFonts w:ascii="Times New Roman" w:hAnsi="Times New Roman" w:cs="Times New Roman"/>
              </w:rPr>
              <w:t xml:space="preserve"> </w:t>
            </w:r>
            <w:r w:rsidR="00FE4FFF" w:rsidRPr="002B7637">
              <w:rPr>
                <w:rFonts w:ascii="Times New Roman" w:hAnsi="Times New Roman" w:cs="Times New Roman"/>
              </w:rPr>
              <w:t xml:space="preserve">Radiometer Suite (VIIRS) data. </w:t>
            </w:r>
          </w:p>
        </w:tc>
        <w:tc>
          <w:tcPr>
            <w:tcW w:w="674" w:type="pct"/>
            <w:shd w:val="clear" w:color="auto" w:fill="auto"/>
            <w:tcMar>
              <w:top w:w="100" w:type="dxa"/>
              <w:left w:w="100" w:type="dxa"/>
              <w:bottom w:w="100" w:type="dxa"/>
              <w:right w:w="100" w:type="dxa"/>
            </w:tcMar>
          </w:tcPr>
          <w:p w14:paraId="4F246D4C"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Grided data</w:t>
            </w:r>
          </w:p>
        </w:tc>
        <w:tc>
          <w:tcPr>
            <w:tcW w:w="909" w:type="pct"/>
            <w:shd w:val="clear" w:color="auto" w:fill="auto"/>
            <w:tcMar>
              <w:top w:w="100" w:type="dxa"/>
              <w:left w:w="100" w:type="dxa"/>
              <w:bottom w:w="100" w:type="dxa"/>
              <w:right w:w="100" w:type="dxa"/>
            </w:tcMar>
          </w:tcPr>
          <w:p w14:paraId="4381DED7" w14:textId="4E3A797A" w:rsidR="00FE4FFF" w:rsidRPr="002B7637" w:rsidRDefault="005D6995" w:rsidP="00D91ED4">
            <w:pPr>
              <w:spacing w:after="0"/>
              <w:rPr>
                <w:rFonts w:ascii="Times New Roman" w:hAnsi="Times New Roman" w:cs="Times New Roman"/>
              </w:rPr>
            </w:pPr>
            <w:r w:rsidRPr="002B7637">
              <w:rPr>
                <w:rFonts w:ascii="Times New Roman" w:hAnsi="Times New Roman" w:cs="Times New Roman"/>
                <w:noProof/>
              </w:rPr>
              <w:t>(Dewan et al., 2021)</w:t>
            </w:r>
          </w:p>
        </w:tc>
      </w:tr>
      <w:tr w:rsidR="00FE4FFF" w:rsidRPr="002B7637" w14:paraId="701FE939" w14:textId="77777777" w:rsidTr="00FE4FFF">
        <w:trPr>
          <w:trHeight w:val="30"/>
        </w:trPr>
        <w:tc>
          <w:tcPr>
            <w:tcW w:w="441" w:type="pct"/>
            <w:vMerge/>
            <w:shd w:val="clear" w:color="auto" w:fill="auto"/>
            <w:tcMar>
              <w:top w:w="100" w:type="dxa"/>
              <w:left w:w="100" w:type="dxa"/>
              <w:bottom w:w="100" w:type="dxa"/>
              <w:right w:w="100" w:type="dxa"/>
            </w:tcMar>
          </w:tcPr>
          <w:p w14:paraId="2FB427EC"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2D6C5A8F" w14:textId="57F1306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Biophysical composition index (</w:t>
            </w:r>
            <w:proofErr w:type="spellStart"/>
            <w:r w:rsidR="009C0F63" w:rsidRPr="002B7637">
              <w:rPr>
                <w:rFonts w:ascii="Times New Roman" w:hAnsi="Times New Roman" w:cs="Times New Roman"/>
              </w:rPr>
              <w:t>bci</w:t>
            </w:r>
            <w:proofErr w:type="spellEnd"/>
            <w:r w:rsidRPr="002B7637">
              <w:rPr>
                <w:rFonts w:ascii="Times New Roman" w:hAnsi="Times New Roman" w:cs="Times New Roman"/>
              </w:rPr>
              <w:t>)</w:t>
            </w:r>
          </w:p>
        </w:tc>
        <w:tc>
          <w:tcPr>
            <w:tcW w:w="2380" w:type="pct"/>
            <w:shd w:val="clear" w:color="auto" w:fill="auto"/>
            <w:tcMar>
              <w:top w:w="100" w:type="dxa"/>
              <w:left w:w="100" w:type="dxa"/>
              <w:bottom w:w="100" w:type="dxa"/>
              <w:right w:w="100" w:type="dxa"/>
            </w:tcMar>
          </w:tcPr>
          <w:p w14:paraId="30DAE0EA" w14:textId="1E26633A" w:rsidR="00FE4FFF" w:rsidRPr="002B7637" w:rsidRDefault="005A6796" w:rsidP="00D91ED4">
            <w:pPr>
              <w:spacing w:after="0"/>
              <w:rPr>
                <w:rFonts w:ascii="Times New Roman" w:hAnsi="Times New Roman" w:cs="Times New Roman"/>
              </w:rPr>
            </w:pPr>
            <w:proofErr w:type="spellStart"/>
            <w:r w:rsidRPr="002B7637">
              <w:rPr>
                <w:rFonts w:ascii="Times New Roman" w:hAnsi="Times New Roman" w:cs="Times New Roman"/>
              </w:rPr>
              <w:t>bci</w:t>
            </w:r>
            <w:proofErr w:type="spellEnd"/>
            <w:r w:rsidR="00FE4FFF" w:rsidRPr="002B7637">
              <w:rPr>
                <w:rFonts w:ascii="Times New Roman" w:hAnsi="Times New Roman" w:cs="Times New Roman"/>
              </w:rPr>
              <w:t xml:space="preserve"> defines imperviousness of surface that shows a positive relation with urban heat stress</w:t>
            </w:r>
            <w:r w:rsidR="009D1FA5" w:rsidRPr="002B7637">
              <w:rPr>
                <w:rFonts w:ascii="Times New Roman" w:hAnsi="Times New Roman" w:cs="Times New Roman"/>
              </w:rPr>
              <w:t xml:space="preserve">. </w:t>
            </w:r>
          </w:p>
        </w:tc>
        <w:tc>
          <w:tcPr>
            <w:tcW w:w="674" w:type="pct"/>
            <w:shd w:val="clear" w:color="auto" w:fill="auto"/>
            <w:tcMar>
              <w:top w:w="100" w:type="dxa"/>
              <w:left w:w="100" w:type="dxa"/>
              <w:bottom w:w="100" w:type="dxa"/>
              <w:right w:w="100" w:type="dxa"/>
            </w:tcMar>
          </w:tcPr>
          <w:p w14:paraId="57F336FD"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Estimated from MODIS data at 1 km spatial resolution</w:t>
            </w:r>
          </w:p>
        </w:tc>
        <w:tc>
          <w:tcPr>
            <w:tcW w:w="909" w:type="pct"/>
            <w:shd w:val="clear" w:color="auto" w:fill="auto"/>
            <w:tcMar>
              <w:top w:w="100" w:type="dxa"/>
              <w:left w:w="100" w:type="dxa"/>
              <w:bottom w:w="100" w:type="dxa"/>
              <w:right w:w="100" w:type="dxa"/>
            </w:tcMar>
          </w:tcPr>
          <w:p w14:paraId="28917AC7" w14:textId="52EEBF1A" w:rsidR="00FE4FFF" w:rsidRPr="002B7637" w:rsidRDefault="005D6995" w:rsidP="00D91ED4">
            <w:pPr>
              <w:spacing w:after="0"/>
              <w:rPr>
                <w:rFonts w:ascii="Times New Roman" w:hAnsi="Times New Roman" w:cs="Times New Roman"/>
              </w:rPr>
            </w:pPr>
            <w:r w:rsidRPr="002B7637">
              <w:rPr>
                <w:rFonts w:ascii="Times New Roman" w:hAnsi="Times New Roman" w:cs="Times New Roman"/>
                <w:noProof/>
              </w:rPr>
              <w:t>(Dewan et al., 2021)</w:t>
            </w:r>
          </w:p>
        </w:tc>
      </w:tr>
      <w:tr w:rsidR="00FE4FFF" w:rsidRPr="002B7637" w14:paraId="201EC5B7" w14:textId="77777777" w:rsidTr="00FE4FFF">
        <w:trPr>
          <w:trHeight w:val="853"/>
        </w:trPr>
        <w:tc>
          <w:tcPr>
            <w:tcW w:w="441" w:type="pct"/>
            <w:vMerge/>
            <w:shd w:val="clear" w:color="auto" w:fill="auto"/>
            <w:tcMar>
              <w:top w:w="100" w:type="dxa"/>
              <w:left w:w="100" w:type="dxa"/>
              <w:bottom w:w="100" w:type="dxa"/>
              <w:right w:w="100" w:type="dxa"/>
            </w:tcMar>
          </w:tcPr>
          <w:p w14:paraId="1343341C"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1432C827" w14:textId="5F4C2821"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Urbanization rate</w:t>
            </w:r>
            <w:r w:rsidR="00624584" w:rsidRPr="002B7637">
              <w:rPr>
                <w:rFonts w:ascii="Times New Roman" w:hAnsi="Times New Roman" w:cs="Times New Roman"/>
              </w:rPr>
              <w:t xml:space="preserve"> (</w:t>
            </w:r>
            <w:proofErr w:type="spellStart"/>
            <w:r w:rsidR="00624584" w:rsidRPr="002B7637">
              <w:rPr>
                <w:rFonts w:ascii="Times New Roman" w:hAnsi="Times New Roman" w:cs="Times New Roman"/>
              </w:rPr>
              <w:t>ui</w:t>
            </w:r>
            <w:proofErr w:type="spellEnd"/>
            <w:r w:rsidR="00624584" w:rsidRPr="002B7637">
              <w:rPr>
                <w:rFonts w:ascii="Times New Roman" w:hAnsi="Times New Roman" w:cs="Times New Roman"/>
              </w:rPr>
              <w:t>)</w:t>
            </w:r>
          </w:p>
        </w:tc>
        <w:tc>
          <w:tcPr>
            <w:tcW w:w="2380" w:type="pct"/>
            <w:shd w:val="clear" w:color="auto" w:fill="auto"/>
            <w:tcMar>
              <w:top w:w="100" w:type="dxa"/>
              <w:left w:w="100" w:type="dxa"/>
              <w:bottom w:w="100" w:type="dxa"/>
              <w:right w:w="100" w:type="dxa"/>
            </w:tcMar>
          </w:tcPr>
          <w:p w14:paraId="7B35398F" w14:textId="3C0476B4" w:rsidR="00FE4FFF" w:rsidRPr="002B7637" w:rsidRDefault="00624584" w:rsidP="00D91ED4">
            <w:pPr>
              <w:spacing w:after="0"/>
              <w:rPr>
                <w:rFonts w:ascii="Times New Roman" w:hAnsi="Times New Roman" w:cs="Times New Roman"/>
              </w:rPr>
            </w:pPr>
            <w:proofErr w:type="spellStart"/>
            <w:r w:rsidRPr="002B7637">
              <w:rPr>
                <w:rFonts w:ascii="Times New Roman" w:hAnsi="Times New Roman" w:cs="Times New Roman"/>
              </w:rPr>
              <w:t>ui</w:t>
            </w:r>
            <w:proofErr w:type="spellEnd"/>
            <w:r w:rsidR="00FE4FFF" w:rsidRPr="002B7637">
              <w:rPr>
                <w:rFonts w:ascii="Times New Roman" w:hAnsi="Times New Roman" w:cs="Times New Roman"/>
              </w:rPr>
              <w:t xml:space="preserve"> is an important determinant since expanding built-up area, development of structural expansions, and congested urban areas are all vulnerable at the same time </w:t>
            </w:r>
            <w:r w:rsidR="002B7637" w:rsidRPr="002B7637">
              <w:rPr>
                <w:rFonts w:ascii="Times New Roman" w:hAnsi="Times New Roman" w:cs="Times New Roman"/>
                <w:noProof/>
              </w:rPr>
              <w:t>(Dewan et al., 2021; Gabriel &amp; Endlicher, 2011)</w:t>
            </w:r>
            <w:r w:rsidR="00FE4FFF" w:rsidRPr="002B7637">
              <w:rPr>
                <w:rFonts w:ascii="Times New Roman" w:hAnsi="Times New Roman" w:cs="Times New Roman"/>
              </w:rPr>
              <w:t>.</w:t>
            </w:r>
          </w:p>
        </w:tc>
        <w:tc>
          <w:tcPr>
            <w:tcW w:w="674" w:type="pct"/>
            <w:shd w:val="clear" w:color="auto" w:fill="auto"/>
            <w:tcMar>
              <w:top w:w="100" w:type="dxa"/>
              <w:left w:w="100" w:type="dxa"/>
              <w:bottom w:w="100" w:type="dxa"/>
              <w:right w:w="100" w:type="dxa"/>
            </w:tcMar>
          </w:tcPr>
          <w:p w14:paraId="43EE2866"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Estimated from MODIS data at 1 km spatial resolution</w:t>
            </w:r>
          </w:p>
        </w:tc>
        <w:tc>
          <w:tcPr>
            <w:tcW w:w="909" w:type="pct"/>
            <w:shd w:val="clear" w:color="auto" w:fill="auto"/>
            <w:tcMar>
              <w:top w:w="100" w:type="dxa"/>
              <w:left w:w="100" w:type="dxa"/>
              <w:bottom w:w="100" w:type="dxa"/>
              <w:right w:w="100" w:type="dxa"/>
            </w:tcMar>
          </w:tcPr>
          <w:p w14:paraId="229097DD" w14:textId="22D21C46" w:rsidR="00FE4FFF" w:rsidRPr="002B7637" w:rsidRDefault="005D6995" w:rsidP="00D91ED4">
            <w:pPr>
              <w:spacing w:after="0"/>
              <w:rPr>
                <w:rFonts w:ascii="Times New Roman" w:hAnsi="Times New Roman" w:cs="Times New Roman"/>
              </w:rPr>
            </w:pPr>
            <w:r w:rsidRPr="002B7637">
              <w:rPr>
                <w:rFonts w:ascii="Times New Roman" w:hAnsi="Times New Roman" w:cs="Times New Roman"/>
                <w:noProof/>
              </w:rPr>
              <w:t>(Dewan et al., 2021)</w:t>
            </w:r>
          </w:p>
        </w:tc>
      </w:tr>
      <w:tr w:rsidR="00FE4FFF" w:rsidRPr="002B7637" w14:paraId="7A7D4AB8" w14:textId="77777777" w:rsidTr="00FE4FFF">
        <w:trPr>
          <w:trHeight w:val="403"/>
        </w:trPr>
        <w:tc>
          <w:tcPr>
            <w:tcW w:w="441" w:type="pct"/>
            <w:vMerge/>
            <w:shd w:val="clear" w:color="auto" w:fill="auto"/>
            <w:tcMar>
              <w:top w:w="100" w:type="dxa"/>
              <w:left w:w="100" w:type="dxa"/>
              <w:bottom w:w="100" w:type="dxa"/>
              <w:right w:w="100" w:type="dxa"/>
            </w:tcMar>
          </w:tcPr>
          <w:p w14:paraId="5793BB72"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598AE692"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Elevation </w:t>
            </w:r>
          </w:p>
        </w:tc>
        <w:tc>
          <w:tcPr>
            <w:tcW w:w="2380" w:type="pct"/>
            <w:shd w:val="clear" w:color="auto" w:fill="auto"/>
            <w:tcMar>
              <w:top w:w="100" w:type="dxa"/>
              <w:left w:w="100" w:type="dxa"/>
              <w:bottom w:w="100" w:type="dxa"/>
              <w:right w:w="100" w:type="dxa"/>
            </w:tcMar>
          </w:tcPr>
          <w:p w14:paraId="40BC46EE" w14:textId="66D8473E"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Physical factors are slightly associated with heat </w:t>
            </w:r>
            <w:proofErr w:type="gramStart"/>
            <w:r w:rsidRPr="002B7637">
              <w:rPr>
                <w:rFonts w:ascii="Times New Roman" w:hAnsi="Times New Roman" w:cs="Times New Roman"/>
              </w:rPr>
              <w:t>stress</w:t>
            </w:r>
            <w:proofErr w:type="gramEnd"/>
            <w:r w:rsidRPr="002B7637">
              <w:rPr>
                <w:rFonts w:ascii="Times New Roman" w:hAnsi="Times New Roman" w:cs="Times New Roman"/>
              </w:rPr>
              <w:t xml:space="preserve"> and they are significant among different geographical regions (Mora et al., 2017)</w:t>
            </w:r>
          </w:p>
        </w:tc>
        <w:tc>
          <w:tcPr>
            <w:tcW w:w="674" w:type="pct"/>
            <w:shd w:val="clear" w:color="auto" w:fill="auto"/>
            <w:tcMar>
              <w:top w:w="100" w:type="dxa"/>
              <w:left w:w="100" w:type="dxa"/>
              <w:bottom w:w="100" w:type="dxa"/>
              <w:right w:w="100" w:type="dxa"/>
            </w:tcMar>
          </w:tcPr>
          <w:p w14:paraId="11F9F4C7"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Gridded data at 30 m resolution </w:t>
            </w:r>
          </w:p>
        </w:tc>
        <w:tc>
          <w:tcPr>
            <w:tcW w:w="909" w:type="pct"/>
            <w:shd w:val="clear" w:color="auto" w:fill="auto"/>
            <w:tcMar>
              <w:top w:w="100" w:type="dxa"/>
              <w:left w:w="100" w:type="dxa"/>
              <w:bottom w:w="100" w:type="dxa"/>
              <w:right w:w="100" w:type="dxa"/>
            </w:tcMar>
          </w:tcPr>
          <w:p w14:paraId="3D302161" w14:textId="6BF2C973"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w:t>
            </w:r>
            <w:proofErr w:type="spellStart"/>
            <w:r w:rsidRPr="002B7637">
              <w:rPr>
                <w:rFonts w:ascii="Times New Roman" w:hAnsi="Times New Roman" w:cs="Times New Roman"/>
              </w:rPr>
              <w:t>Jaxa</w:t>
            </w:r>
            <w:proofErr w:type="spellEnd"/>
            <w:r w:rsidRPr="002B7637">
              <w:rPr>
                <w:rFonts w:ascii="Times New Roman" w:hAnsi="Times New Roman" w:cs="Times New Roman"/>
              </w:rPr>
              <w:t>, 2015)</w:t>
            </w:r>
          </w:p>
        </w:tc>
      </w:tr>
      <w:tr w:rsidR="00FE4FFF" w:rsidRPr="002B7637" w14:paraId="5B0C958C" w14:textId="77777777" w:rsidTr="00FE4FFF">
        <w:trPr>
          <w:trHeight w:val="403"/>
        </w:trPr>
        <w:tc>
          <w:tcPr>
            <w:tcW w:w="441" w:type="pct"/>
            <w:shd w:val="clear" w:color="auto" w:fill="auto"/>
            <w:tcMar>
              <w:top w:w="100" w:type="dxa"/>
              <w:left w:w="100" w:type="dxa"/>
              <w:bottom w:w="100" w:type="dxa"/>
              <w:right w:w="100" w:type="dxa"/>
            </w:tcMar>
          </w:tcPr>
          <w:p w14:paraId="33A875CC"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60BBDDD0"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Relative humidity </w:t>
            </w:r>
          </w:p>
        </w:tc>
        <w:tc>
          <w:tcPr>
            <w:tcW w:w="2380" w:type="pct"/>
            <w:shd w:val="clear" w:color="auto" w:fill="auto"/>
            <w:tcMar>
              <w:top w:w="100" w:type="dxa"/>
              <w:left w:w="100" w:type="dxa"/>
              <w:bottom w:w="100" w:type="dxa"/>
              <w:right w:w="100" w:type="dxa"/>
            </w:tcMar>
          </w:tcPr>
          <w:p w14:paraId="22395213"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Monthly average humidity data from 1988−2012, across different weather stations</w:t>
            </w:r>
          </w:p>
        </w:tc>
        <w:tc>
          <w:tcPr>
            <w:tcW w:w="674" w:type="pct"/>
            <w:shd w:val="clear" w:color="auto" w:fill="auto"/>
            <w:tcMar>
              <w:top w:w="100" w:type="dxa"/>
              <w:left w:w="100" w:type="dxa"/>
              <w:bottom w:w="100" w:type="dxa"/>
              <w:right w:w="100" w:type="dxa"/>
            </w:tcMar>
          </w:tcPr>
          <w:p w14:paraId="0C0E70C2"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Vector data </w:t>
            </w:r>
          </w:p>
        </w:tc>
        <w:tc>
          <w:tcPr>
            <w:tcW w:w="909" w:type="pct"/>
            <w:shd w:val="clear" w:color="auto" w:fill="auto"/>
            <w:tcMar>
              <w:top w:w="100" w:type="dxa"/>
              <w:left w:w="100" w:type="dxa"/>
              <w:bottom w:w="100" w:type="dxa"/>
              <w:right w:w="100" w:type="dxa"/>
            </w:tcMar>
          </w:tcPr>
          <w:p w14:paraId="21086B64"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http://www.barc.gov.bd/</w:t>
            </w:r>
          </w:p>
        </w:tc>
      </w:tr>
      <w:tr w:rsidR="00FE4FFF" w:rsidRPr="002B7637" w14:paraId="3EF59BEB" w14:textId="77777777" w:rsidTr="00FE4FFF">
        <w:trPr>
          <w:trHeight w:val="403"/>
        </w:trPr>
        <w:tc>
          <w:tcPr>
            <w:tcW w:w="441" w:type="pct"/>
            <w:shd w:val="clear" w:color="auto" w:fill="auto"/>
            <w:tcMar>
              <w:top w:w="100" w:type="dxa"/>
              <w:left w:w="100" w:type="dxa"/>
              <w:bottom w:w="100" w:type="dxa"/>
              <w:right w:w="100" w:type="dxa"/>
            </w:tcMar>
          </w:tcPr>
          <w:p w14:paraId="0CD1FADF"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6E91FCC6"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Sunshine </w:t>
            </w:r>
          </w:p>
        </w:tc>
        <w:tc>
          <w:tcPr>
            <w:tcW w:w="2380" w:type="pct"/>
            <w:shd w:val="clear" w:color="auto" w:fill="auto"/>
            <w:tcMar>
              <w:top w:w="100" w:type="dxa"/>
              <w:left w:w="100" w:type="dxa"/>
              <w:bottom w:w="100" w:type="dxa"/>
              <w:right w:w="100" w:type="dxa"/>
            </w:tcMar>
          </w:tcPr>
          <w:p w14:paraId="719B27DF"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Monthly average daylight hour data from 1988−2012, across different weather stations </w:t>
            </w:r>
          </w:p>
        </w:tc>
        <w:tc>
          <w:tcPr>
            <w:tcW w:w="674" w:type="pct"/>
            <w:shd w:val="clear" w:color="auto" w:fill="auto"/>
            <w:tcMar>
              <w:top w:w="100" w:type="dxa"/>
              <w:left w:w="100" w:type="dxa"/>
              <w:bottom w:w="100" w:type="dxa"/>
              <w:right w:w="100" w:type="dxa"/>
            </w:tcMar>
          </w:tcPr>
          <w:p w14:paraId="68557E3C"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Vector data</w:t>
            </w:r>
          </w:p>
        </w:tc>
        <w:tc>
          <w:tcPr>
            <w:tcW w:w="909" w:type="pct"/>
            <w:shd w:val="clear" w:color="auto" w:fill="auto"/>
            <w:tcMar>
              <w:top w:w="100" w:type="dxa"/>
              <w:left w:w="100" w:type="dxa"/>
              <w:bottom w:w="100" w:type="dxa"/>
              <w:right w:w="100" w:type="dxa"/>
            </w:tcMar>
          </w:tcPr>
          <w:p w14:paraId="32D8B71D"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http://www.barc.gov.bd/</w:t>
            </w:r>
          </w:p>
        </w:tc>
      </w:tr>
      <w:tr w:rsidR="00FE4FFF" w:rsidRPr="002B7637" w14:paraId="7F1E8AED" w14:textId="77777777" w:rsidTr="00FE4FFF">
        <w:trPr>
          <w:trHeight w:val="547"/>
        </w:trPr>
        <w:tc>
          <w:tcPr>
            <w:tcW w:w="441" w:type="pct"/>
            <w:vMerge w:val="restart"/>
            <w:shd w:val="clear" w:color="auto" w:fill="auto"/>
            <w:tcMar>
              <w:top w:w="100" w:type="dxa"/>
              <w:left w:w="100" w:type="dxa"/>
              <w:bottom w:w="100" w:type="dxa"/>
              <w:right w:w="100" w:type="dxa"/>
            </w:tcMar>
          </w:tcPr>
          <w:p w14:paraId="6F6B4BAD" w14:textId="77777777" w:rsidR="00FE4FFF" w:rsidRPr="002B7637" w:rsidRDefault="00FE4FFF" w:rsidP="00D91ED4">
            <w:pPr>
              <w:spacing w:after="0"/>
              <w:jc w:val="center"/>
              <w:rPr>
                <w:rFonts w:ascii="Times New Roman" w:hAnsi="Times New Roman" w:cs="Times New Roman"/>
              </w:rPr>
            </w:pPr>
            <w:bookmarkStart w:id="4" w:name="_Hlk127439753"/>
            <w:r w:rsidRPr="002B7637">
              <w:rPr>
                <w:rFonts w:ascii="Times New Roman" w:hAnsi="Times New Roman" w:cs="Times New Roman"/>
              </w:rPr>
              <w:t>Sensitivity</w:t>
            </w:r>
          </w:p>
        </w:tc>
        <w:tc>
          <w:tcPr>
            <w:tcW w:w="596" w:type="pct"/>
            <w:shd w:val="clear" w:color="auto" w:fill="auto"/>
            <w:tcMar>
              <w:top w:w="100" w:type="dxa"/>
              <w:left w:w="100" w:type="dxa"/>
              <w:bottom w:w="100" w:type="dxa"/>
              <w:right w:w="100" w:type="dxa"/>
            </w:tcMar>
          </w:tcPr>
          <w:p w14:paraId="02432CBA"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Vulnerable men (Age &lt;=9 or &gt;= 65 years)</w:t>
            </w:r>
          </w:p>
        </w:tc>
        <w:tc>
          <w:tcPr>
            <w:tcW w:w="2380" w:type="pct"/>
            <w:shd w:val="clear" w:color="auto" w:fill="auto"/>
            <w:tcMar>
              <w:top w:w="100" w:type="dxa"/>
              <w:left w:w="100" w:type="dxa"/>
              <w:bottom w:w="100" w:type="dxa"/>
              <w:right w:w="100" w:type="dxa"/>
            </w:tcMar>
          </w:tcPr>
          <w:p w14:paraId="66179F3B" w14:textId="6255D5B6"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Vulnerable men include male populations aged either &lt;9 years or &gt; 65 years. Older adults &gt; 65 are more susceptible to the effects of urban heat because of ongoing health issues. Children under the age of nine are much more susceptible to heatwaves than adults due to their lower sweating level and mass index </w:t>
            </w:r>
            <w:r w:rsidR="002B7637" w:rsidRPr="002B7637">
              <w:rPr>
                <w:rFonts w:ascii="Times New Roman" w:hAnsi="Times New Roman" w:cs="Times New Roman"/>
                <w:noProof/>
              </w:rPr>
              <w:t>(Inostroza et al., 2016; Wolf &amp; McGregor, 2013)</w:t>
            </w:r>
            <w:r w:rsidR="00FF6D24" w:rsidRPr="002B7637">
              <w:rPr>
                <w:rFonts w:ascii="Times New Roman" w:hAnsi="Times New Roman" w:cs="Times New Roman"/>
              </w:rPr>
              <w:t>.</w:t>
            </w:r>
          </w:p>
        </w:tc>
        <w:tc>
          <w:tcPr>
            <w:tcW w:w="674" w:type="pct"/>
            <w:shd w:val="clear" w:color="auto" w:fill="auto"/>
            <w:tcMar>
              <w:top w:w="100" w:type="dxa"/>
              <w:left w:w="100" w:type="dxa"/>
              <w:bottom w:w="100" w:type="dxa"/>
              <w:right w:w="100" w:type="dxa"/>
            </w:tcMar>
            <w:vAlign w:val="center"/>
          </w:tcPr>
          <w:p w14:paraId="3344751A"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Number of people per grid cell at 100 m resolution</w:t>
            </w:r>
          </w:p>
        </w:tc>
        <w:tc>
          <w:tcPr>
            <w:tcW w:w="909" w:type="pct"/>
            <w:shd w:val="clear" w:color="auto" w:fill="auto"/>
            <w:tcMar>
              <w:top w:w="100" w:type="dxa"/>
              <w:left w:w="100" w:type="dxa"/>
              <w:bottom w:w="100" w:type="dxa"/>
              <w:right w:w="100" w:type="dxa"/>
            </w:tcMar>
            <w:vAlign w:val="center"/>
          </w:tcPr>
          <w:p w14:paraId="644D28AE" w14:textId="09EE0AF8" w:rsidR="00FE4FFF" w:rsidRPr="002B7637" w:rsidRDefault="00FE4FFF" w:rsidP="00D91ED4">
            <w:pPr>
              <w:spacing w:after="0"/>
              <w:jc w:val="center"/>
              <w:rPr>
                <w:rFonts w:ascii="Times New Roman" w:hAnsi="Times New Roman" w:cs="Times New Roman"/>
              </w:rPr>
            </w:pPr>
            <w:r w:rsidRPr="002B7637">
              <w:rPr>
                <w:rFonts w:ascii="Times New Roman" w:hAnsi="Times New Roman" w:cs="Times New Roman"/>
              </w:rPr>
              <w:t>(</w:t>
            </w:r>
            <w:proofErr w:type="spellStart"/>
            <w:r w:rsidRPr="002B7637">
              <w:rPr>
                <w:rFonts w:ascii="Times New Roman" w:hAnsi="Times New Roman" w:cs="Times New Roman"/>
              </w:rPr>
              <w:t>WorldPop</w:t>
            </w:r>
            <w:proofErr w:type="spellEnd"/>
            <w:r w:rsidRPr="002B7637">
              <w:rPr>
                <w:rFonts w:ascii="Times New Roman" w:hAnsi="Times New Roman" w:cs="Times New Roman"/>
              </w:rPr>
              <w:t>, 2018)</w:t>
            </w:r>
          </w:p>
        </w:tc>
      </w:tr>
      <w:tr w:rsidR="00FE4FFF" w:rsidRPr="002B7637" w14:paraId="4E249615" w14:textId="77777777" w:rsidTr="00FE4FFF">
        <w:trPr>
          <w:trHeight w:val="430"/>
        </w:trPr>
        <w:tc>
          <w:tcPr>
            <w:tcW w:w="441" w:type="pct"/>
            <w:vMerge/>
            <w:shd w:val="clear" w:color="auto" w:fill="auto"/>
            <w:tcMar>
              <w:top w:w="100" w:type="dxa"/>
              <w:left w:w="100" w:type="dxa"/>
              <w:bottom w:w="100" w:type="dxa"/>
              <w:right w:w="100" w:type="dxa"/>
            </w:tcMar>
          </w:tcPr>
          <w:p w14:paraId="51C49FA1"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7F2CD54D" w14:textId="4BA69DBF"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Wealth index</w:t>
            </w:r>
          </w:p>
        </w:tc>
        <w:tc>
          <w:tcPr>
            <w:tcW w:w="2380" w:type="pct"/>
            <w:shd w:val="clear" w:color="auto" w:fill="auto"/>
            <w:tcMar>
              <w:top w:w="100" w:type="dxa"/>
              <w:left w:w="100" w:type="dxa"/>
              <w:bottom w:w="100" w:type="dxa"/>
              <w:right w:w="100" w:type="dxa"/>
            </w:tcMar>
          </w:tcPr>
          <w:p w14:paraId="75FFE7CD" w14:textId="13E67376"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Poverty is associated with poor housing, inadequate nutrition, and restrictive socioeconomic conditions, which make people sensitive to heatwaves (Adnan et al., 2022; Inostroza et al., 2016).</w:t>
            </w:r>
          </w:p>
        </w:tc>
        <w:tc>
          <w:tcPr>
            <w:tcW w:w="674" w:type="pct"/>
            <w:shd w:val="clear" w:color="auto" w:fill="auto"/>
            <w:tcMar>
              <w:top w:w="100" w:type="dxa"/>
              <w:left w:w="100" w:type="dxa"/>
              <w:bottom w:w="100" w:type="dxa"/>
              <w:right w:w="100" w:type="dxa"/>
            </w:tcMar>
          </w:tcPr>
          <w:p w14:paraId="756C94FC" w14:textId="084B1F2D"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Gridded demographic health index (DHS) wealth </w:t>
            </w:r>
            <w:r w:rsidRPr="002B7637">
              <w:rPr>
                <w:rFonts w:ascii="Times New Roman" w:hAnsi="Times New Roman" w:cs="Times New Roman"/>
              </w:rPr>
              <w:lastRenderedPageBreak/>
              <w:t>index data at 1 km resolution</w:t>
            </w:r>
          </w:p>
        </w:tc>
        <w:tc>
          <w:tcPr>
            <w:tcW w:w="909" w:type="pct"/>
            <w:shd w:val="clear" w:color="auto" w:fill="auto"/>
            <w:tcMar>
              <w:top w:w="100" w:type="dxa"/>
              <w:left w:w="100" w:type="dxa"/>
              <w:bottom w:w="100" w:type="dxa"/>
              <w:right w:w="100" w:type="dxa"/>
            </w:tcMar>
          </w:tcPr>
          <w:p w14:paraId="619C8EF1" w14:textId="2444B264"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lastRenderedPageBreak/>
              <w:t>(Steele et al., 2017)</w:t>
            </w:r>
          </w:p>
        </w:tc>
      </w:tr>
      <w:tr w:rsidR="00FE4FFF" w:rsidRPr="002B7637" w14:paraId="6DED7921" w14:textId="77777777" w:rsidTr="00FE4FFF">
        <w:trPr>
          <w:trHeight w:val="30"/>
        </w:trPr>
        <w:tc>
          <w:tcPr>
            <w:tcW w:w="441" w:type="pct"/>
            <w:vMerge/>
            <w:shd w:val="clear" w:color="auto" w:fill="auto"/>
            <w:tcMar>
              <w:top w:w="100" w:type="dxa"/>
              <w:left w:w="100" w:type="dxa"/>
              <w:bottom w:w="100" w:type="dxa"/>
              <w:right w:w="100" w:type="dxa"/>
            </w:tcMar>
          </w:tcPr>
          <w:p w14:paraId="6C9E77FF"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166E5FB6"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Female population</w:t>
            </w:r>
          </w:p>
        </w:tc>
        <w:tc>
          <w:tcPr>
            <w:tcW w:w="2380" w:type="pct"/>
            <w:shd w:val="clear" w:color="auto" w:fill="auto"/>
            <w:tcMar>
              <w:top w:w="100" w:type="dxa"/>
              <w:left w:w="100" w:type="dxa"/>
              <w:bottom w:w="100" w:type="dxa"/>
              <w:right w:w="100" w:type="dxa"/>
            </w:tcMar>
          </w:tcPr>
          <w:p w14:paraId="235A7627" w14:textId="76561D60"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Women respond to heatwave differently than men do because they have larger body fat percentages and less physical strength (Raja et al., 2021; Yang et al., 2019). </w:t>
            </w:r>
          </w:p>
        </w:tc>
        <w:tc>
          <w:tcPr>
            <w:tcW w:w="674" w:type="pct"/>
            <w:shd w:val="clear" w:color="auto" w:fill="auto"/>
            <w:tcMar>
              <w:top w:w="100" w:type="dxa"/>
              <w:left w:w="100" w:type="dxa"/>
              <w:bottom w:w="100" w:type="dxa"/>
              <w:right w:w="100" w:type="dxa"/>
            </w:tcMar>
          </w:tcPr>
          <w:p w14:paraId="60737003"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Number of people per grid cell at 100m resolution</w:t>
            </w:r>
          </w:p>
        </w:tc>
        <w:tc>
          <w:tcPr>
            <w:tcW w:w="909" w:type="pct"/>
            <w:shd w:val="clear" w:color="auto" w:fill="auto"/>
            <w:tcMar>
              <w:top w:w="100" w:type="dxa"/>
              <w:left w:w="100" w:type="dxa"/>
              <w:bottom w:w="100" w:type="dxa"/>
              <w:right w:w="100" w:type="dxa"/>
            </w:tcMar>
          </w:tcPr>
          <w:p w14:paraId="479D059F" w14:textId="1EE337A0"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w:t>
            </w:r>
            <w:proofErr w:type="spellStart"/>
            <w:r w:rsidRPr="002B7637">
              <w:rPr>
                <w:rFonts w:ascii="Times New Roman" w:hAnsi="Times New Roman" w:cs="Times New Roman"/>
              </w:rPr>
              <w:t>WorldPop</w:t>
            </w:r>
            <w:proofErr w:type="spellEnd"/>
            <w:r w:rsidRPr="002B7637">
              <w:rPr>
                <w:rFonts w:ascii="Times New Roman" w:hAnsi="Times New Roman" w:cs="Times New Roman"/>
              </w:rPr>
              <w:t>, 2018)</w:t>
            </w:r>
          </w:p>
        </w:tc>
      </w:tr>
      <w:tr w:rsidR="00FE4FFF" w:rsidRPr="002B7637" w14:paraId="4C52CD87" w14:textId="77777777" w:rsidTr="00FE4FFF">
        <w:trPr>
          <w:trHeight w:val="430"/>
        </w:trPr>
        <w:tc>
          <w:tcPr>
            <w:tcW w:w="441" w:type="pct"/>
            <w:vMerge/>
            <w:shd w:val="clear" w:color="auto" w:fill="auto"/>
            <w:tcMar>
              <w:top w:w="100" w:type="dxa"/>
              <w:left w:w="100" w:type="dxa"/>
              <w:bottom w:w="100" w:type="dxa"/>
              <w:right w:w="100" w:type="dxa"/>
            </w:tcMar>
          </w:tcPr>
          <w:p w14:paraId="4A4CD50F"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009673D9"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Occupied in industrial or agricultural sectors</w:t>
            </w:r>
          </w:p>
        </w:tc>
        <w:tc>
          <w:tcPr>
            <w:tcW w:w="2380" w:type="pct"/>
            <w:shd w:val="clear" w:color="auto" w:fill="auto"/>
            <w:tcMar>
              <w:top w:w="100" w:type="dxa"/>
              <w:left w:w="100" w:type="dxa"/>
              <w:bottom w:w="100" w:type="dxa"/>
              <w:right w:w="100" w:type="dxa"/>
            </w:tcMar>
          </w:tcPr>
          <w:p w14:paraId="26E705AE" w14:textId="2B108C24" w:rsidR="00FE4FFF" w:rsidRPr="002B7637" w:rsidRDefault="00A6721E" w:rsidP="00D91ED4">
            <w:pPr>
              <w:spacing w:after="0"/>
              <w:rPr>
                <w:rFonts w:ascii="Times New Roman" w:hAnsi="Times New Roman" w:cs="Times New Roman"/>
              </w:rPr>
            </w:pPr>
            <w:r w:rsidRPr="002B7637">
              <w:rPr>
                <w:rFonts w:ascii="Times New Roman" w:hAnsi="Times New Roman" w:cs="Times New Roman"/>
              </w:rPr>
              <w:t>Outside workers</w:t>
            </w:r>
            <w:r w:rsidR="00FE4FFF" w:rsidRPr="002B7637">
              <w:rPr>
                <w:rFonts w:ascii="Times New Roman" w:hAnsi="Times New Roman" w:cs="Times New Roman"/>
              </w:rPr>
              <w:t xml:space="preserve"> (e.g., </w:t>
            </w:r>
            <w:proofErr w:type="gramStart"/>
            <w:r w:rsidR="00FE4FFF" w:rsidRPr="002B7637">
              <w:rPr>
                <w:rFonts w:ascii="Times New Roman" w:hAnsi="Times New Roman" w:cs="Times New Roman"/>
              </w:rPr>
              <w:t>agricultural</w:t>
            </w:r>
            <w:proofErr w:type="gramEnd"/>
            <w:r w:rsidR="00FE4FFF" w:rsidRPr="002B7637">
              <w:rPr>
                <w:rFonts w:ascii="Times New Roman" w:hAnsi="Times New Roman" w:cs="Times New Roman"/>
              </w:rPr>
              <w:t xml:space="preserve"> and industrial labor) are more vulnerable to heatwaves </w:t>
            </w:r>
            <w:r w:rsidR="002B7637" w:rsidRPr="002B7637">
              <w:rPr>
                <w:rFonts w:ascii="Times New Roman" w:hAnsi="Times New Roman" w:cs="Times New Roman"/>
                <w:noProof/>
              </w:rPr>
              <w:t>(Adnan et al., 2022; Wolf &amp; McGregor, 2013)</w:t>
            </w:r>
          </w:p>
        </w:tc>
        <w:tc>
          <w:tcPr>
            <w:tcW w:w="674" w:type="pct"/>
            <w:shd w:val="clear" w:color="auto" w:fill="auto"/>
            <w:tcMar>
              <w:top w:w="100" w:type="dxa"/>
              <w:left w:w="100" w:type="dxa"/>
              <w:bottom w:w="100" w:type="dxa"/>
              <w:right w:w="100" w:type="dxa"/>
            </w:tcMar>
          </w:tcPr>
          <w:p w14:paraId="07D1A062"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Number of people employed in industrial agricultural sector</w:t>
            </w:r>
          </w:p>
        </w:tc>
        <w:tc>
          <w:tcPr>
            <w:tcW w:w="909" w:type="pct"/>
            <w:shd w:val="clear" w:color="auto" w:fill="auto"/>
            <w:tcMar>
              <w:top w:w="100" w:type="dxa"/>
              <w:left w:w="100" w:type="dxa"/>
              <w:bottom w:w="100" w:type="dxa"/>
              <w:right w:w="100" w:type="dxa"/>
            </w:tcMar>
          </w:tcPr>
          <w:p w14:paraId="1002891D" w14:textId="74C1EDB8" w:rsidR="00FE4FFF" w:rsidRPr="002B7637" w:rsidRDefault="002B7637" w:rsidP="00D91ED4">
            <w:pPr>
              <w:spacing w:after="0"/>
              <w:rPr>
                <w:rFonts w:ascii="Times New Roman" w:hAnsi="Times New Roman" w:cs="Times New Roman"/>
              </w:rPr>
            </w:pPr>
            <w:r w:rsidRPr="002B7637">
              <w:rPr>
                <w:rFonts w:ascii="Times New Roman" w:hAnsi="Times New Roman" w:cs="Times New Roman"/>
                <w:noProof/>
              </w:rPr>
              <w:t>(De Bono &amp; Chatenoux, 2014)</w:t>
            </w:r>
          </w:p>
        </w:tc>
      </w:tr>
      <w:bookmarkEnd w:id="4"/>
      <w:tr w:rsidR="00FE4FFF" w:rsidRPr="002B7637" w14:paraId="5E14B092" w14:textId="77777777" w:rsidTr="00FE4FFF">
        <w:trPr>
          <w:trHeight w:val="763"/>
        </w:trPr>
        <w:tc>
          <w:tcPr>
            <w:tcW w:w="441" w:type="pct"/>
            <w:vMerge w:val="restart"/>
            <w:shd w:val="clear" w:color="auto" w:fill="auto"/>
            <w:tcMar>
              <w:top w:w="100" w:type="dxa"/>
              <w:left w:w="100" w:type="dxa"/>
              <w:bottom w:w="100" w:type="dxa"/>
              <w:right w:w="100" w:type="dxa"/>
            </w:tcMar>
          </w:tcPr>
          <w:p w14:paraId="1FA387C7" w14:textId="77777777" w:rsidR="00FE4FFF" w:rsidRPr="002B7637" w:rsidRDefault="00FE4FFF" w:rsidP="00D91ED4">
            <w:pPr>
              <w:spacing w:after="0"/>
              <w:jc w:val="center"/>
              <w:rPr>
                <w:rFonts w:ascii="Times New Roman" w:hAnsi="Times New Roman" w:cs="Times New Roman"/>
              </w:rPr>
            </w:pPr>
            <w:r w:rsidRPr="002B7637">
              <w:rPr>
                <w:rFonts w:ascii="Times New Roman" w:hAnsi="Times New Roman" w:cs="Times New Roman"/>
              </w:rPr>
              <w:t>Adaptive</w:t>
            </w:r>
          </w:p>
          <w:p w14:paraId="5F9CA346" w14:textId="77777777" w:rsidR="00FE4FFF" w:rsidRPr="002B7637" w:rsidRDefault="00FE4FFF" w:rsidP="00D91ED4">
            <w:pPr>
              <w:spacing w:after="0"/>
              <w:jc w:val="center"/>
              <w:rPr>
                <w:rFonts w:ascii="Times New Roman" w:hAnsi="Times New Roman" w:cs="Times New Roman"/>
              </w:rPr>
            </w:pPr>
            <w:r w:rsidRPr="002B7637">
              <w:rPr>
                <w:rFonts w:ascii="Times New Roman" w:hAnsi="Times New Roman" w:cs="Times New Roman"/>
              </w:rPr>
              <w:t>capacity</w:t>
            </w:r>
          </w:p>
          <w:p w14:paraId="1730A74C" w14:textId="77777777" w:rsidR="00FE4FFF" w:rsidRPr="002B7637" w:rsidRDefault="00FE4FFF" w:rsidP="00D91ED4">
            <w:pPr>
              <w:spacing w:after="0"/>
              <w:jc w:val="center"/>
              <w:rPr>
                <w:rFonts w:ascii="Times New Roman" w:hAnsi="Times New Roman" w:cs="Times New Roman"/>
              </w:rPr>
            </w:pPr>
            <w:r w:rsidRPr="002B7637">
              <w:rPr>
                <w:rFonts w:ascii="Times New Roman" w:hAnsi="Times New Roman" w:cs="Times New Roman"/>
              </w:rPr>
              <w:t xml:space="preserve"> </w:t>
            </w:r>
          </w:p>
        </w:tc>
        <w:tc>
          <w:tcPr>
            <w:tcW w:w="596" w:type="pct"/>
            <w:shd w:val="clear" w:color="auto" w:fill="auto"/>
            <w:tcMar>
              <w:top w:w="100" w:type="dxa"/>
              <w:left w:w="100" w:type="dxa"/>
              <w:bottom w:w="100" w:type="dxa"/>
              <w:right w:w="100" w:type="dxa"/>
            </w:tcMar>
          </w:tcPr>
          <w:p w14:paraId="408ED38B"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EVI</w:t>
            </w:r>
          </w:p>
          <w:p w14:paraId="42565988"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 </w:t>
            </w:r>
          </w:p>
        </w:tc>
        <w:tc>
          <w:tcPr>
            <w:tcW w:w="2380" w:type="pct"/>
            <w:shd w:val="clear" w:color="auto" w:fill="auto"/>
            <w:tcMar>
              <w:top w:w="100" w:type="dxa"/>
              <w:left w:w="100" w:type="dxa"/>
              <w:bottom w:w="100" w:type="dxa"/>
              <w:right w:w="100" w:type="dxa"/>
            </w:tcMar>
          </w:tcPr>
          <w:p w14:paraId="05B58EAD" w14:textId="56040C1C"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EVI is a measure of vegetation cover. High percentage of green cover and reduced vulnerability to heatwaves are indicators of a higher EVI score (</w:t>
            </w:r>
            <w:proofErr w:type="spellStart"/>
            <w:r w:rsidRPr="002B7637">
              <w:rPr>
                <w:rFonts w:ascii="Times New Roman" w:hAnsi="Times New Roman" w:cs="Times New Roman"/>
              </w:rPr>
              <w:t>Inostroza</w:t>
            </w:r>
            <w:proofErr w:type="spellEnd"/>
            <w:r w:rsidRPr="002B7637">
              <w:rPr>
                <w:rFonts w:ascii="Times New Roman" w:hAnsi="Times New Roman" w:cs="Times New Roman"/>
              </w:rPr>
              <w:t xml:space="preserve"> et al., 2016; Raja et al., 2021)</w:t>
            </w:r>
          </w:p>
        </w:tc>
        <w:tc>
          <w:tcPr>
            <w:tcW w:w="674" w:type="pct"/>
            <w:shd w:val="clear" w:color="auto" w:fill="auto"/>
            <w:tcMar>
              <w:top w:w="100" w:type="dxa"/>
              <w:left w:w="100" w:type="dxa"/>
              <w:bottom w:w="100" w:type="dxa"/>
              <w:right w:w="100" w:type="dxa"/>
            </w:tcMar>
          </w:tcPr>
          <w:p w14:paraId="212F3547"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Estimated from MODIS data at 1 km spatial resolution</w:t>
            </w:r>
          </w:p>
        </w:tc>
        <w:tc>
          <w:tcPr>
            <w:tcW w:w="909" w:type="pct"/>
            <w:shd w:val="clear" w:color="auto" w:fill="auto"/>
            <w:tcMar>
              <w:top w:w="100" w:type="dxa"/>
              <w:left w:w="100" w:type="dxa"/>
              <w:bottom w:w="100" w:type="dxa"/>
              <w:right w:w="100" w:type="dxa"/>
            </w:tcMar>
          </w:tcPr>
          <w:p w14:paraId="2B1BA1A3" w14:textId="1171B8CC" w:rsidR="00FE4FFF" w:rsidRPr="002B7637" w:rsidRDefault="005D6995" w:rsidP="00D91ED4">
            <w:pPr>
              <w:spacing w:after="0"/>
              <w:rPr>
                <w:rFonts w:ascii="Times New Roman" w:hAnsi="Times New Roman" w:cs="Times New Roman"/>
              </w:rPr>
            </w:pPr>
            <w:r w:rsidRPr="002B7637">
              <w:rPr>
                <w:rFonts w:ascii="Times New Roman" w:hAnsi="Times New Roman" w:cs="Times New Roman"/>
                <w:noProof/>
              </w:rPr>
              <w:t>(Dewan et al., 2021)</w:t>
            </w:r>
          </w:p>
        </w:tc>
      </w:tr>
      <w:tr w:rsidR="00FE4FFF" w:rsidRPr="002B7637" w14:paraId="3D586574" w14:textId="77777777" w:rsidTr="00FE4FFF">
        <w:trPr>
          <w:trHeight w:val="763"/>
        </w:trPr>
        <w:tc>
          <w:tcPr>
            <w:tcW w:w="441" w:type="pct"/>
            <w:vMerge/>
            <w:shd w:val="clear" w:color="auto" w:fill="auto"/>
            <w:tcMar>
              <w:top w:w="100" w:type="dxa"/>
              <w:left w:w="100" w:type="dxa"/>
              <w:bottom w:w="100" w:type="dxa"/>
              <w:right w:w="100" w:type="dxa"/>
            </w:tcMar>
          </w:tcPr>
          <w:p w14:paraId="5AC6C062"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15CF464C"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FVG</w:t>
            </w:r>
          </w:p>
        </w:tc>
        <w:tc>
          <w:tcPr>
            <w:tcW w:w="2380" w:type="pct"/>
            <w:shd w:val="clear" w:color="auto" w:fill="auto"/>
            <w:tcMar>
              <w:top w:w="100" w:type="dxa"/>
              <w:left w:w="100" w:type="dxa"/>
              <w:bottom w:w="100" w:type="dxa"/>
              <w:right w:w="100" w:type="dxa"/>
            </w:tcMar>
          </w:tcPr>
          <w:p w14:paraId="4BC88B27" w14:textId="2423BAFE"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Fraction of green vegetation (FVG) indicates vegetation canopies. High FVG lowers urban heat </w:t>
            </w:r>
            <w:r w:rsidRPr="002B7637">
              <w:rPr>
                <w:rFonts w:ascii="Times New Roman" w:hAnsi="Times New Roman" w:cs="Times New Roman"/>
                <w:noProof/>
              </w:rPr>
              <w:t>(</w:t>
            </w:r>
            <w:proofErr w:type="spellStart"/>
            <w:r w:rsidRPr="002B7637">
              <w:rPr>
                <w:rFonts w:ascii="Times New Roman" w:hAnsi="Times New Roman" w:cs="Times New Roman"/>
              </w:rPr>
              <w:t>Refslund</w:t>
            </w:r>
            <w:proofErr w:type="spellEnd"/>
            <w:r w:rsidRPr="002B7637">
              <w:rPr>
                <w:rFonts w:ascii="Times New Roman" w:hAnsi="Times New Roman" w:cs="Times New Roman"/>
              </w:rPr>
              <w:t xml:space="preserve"> et al., 2014</w:t>
            </w:r>
            <w:r w:rsidRPr="002B7637">
              <w:rPr>
                <w:rFonts w:ascii="Times New Roman" w:hAnsi="Times New Roman" w:cs="Times New Roman"/>
                <w:noProof/>
              </w:rPr>
              <w:t>)</w:t>
            </w:r>
            <w:r w:rsidRPr="002B7637">
              <w:rPr>
                <w:rFonts w:ascii="Times New Roman" w:hAnsi="Times New Roman" w:cs="Times New Roman"/>
              </w:rPr>
              <w:t xml:space="preserve">.  </w:t>
            </w:r>
          </w:p>
        </w:tc>
        <w:tc>
          <w:tcPr>
            <w:tcW w:w="674" w:type="pct"/>
            <w:shd w:val="clear" w:color="auto" w:fill="auto"/>
            <w:tcMar>
              <w:top w:w="100" w:type="dxa"/>
              <w:left w:w="100" w:type="dxa"/>
              <w:bottom w:w="100" w:type="dxa"/>
              <w:right w:w="100" w:type="dxa"/>
            </w:tcMar>
          </w:tcPr>
          <w:p w14:paraId="678F4430"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Estimated from MODIS data at 1 km spatial resolution</w:t>
            </w:r>
          </w:p>
        </w:tc>
        <w:tc>
          <w:tcPr>
            <w:tcW w:w="909" w:type="pct"/>
            <w:shd w:val="clear" w:color="auto" w:fill="auto"/>
            <w:tcMar>
              <w:top w:w="100" w:type="dxa"/>
              <w:left w:w="100" w:type="dxa"/>
              <w:bottom w:w="100" w:type="dxa"/>
              <w:right w:w="100" w:type="dxa"/>
            </w:tcMar>
          </w:tcPr>
          <w:p w14:paraId="7E37CA4A" w14:textId="5F7C0D87" w:rsidR="00FE4FFF" w:rsidRPr="002B7637" w:rsidRDefault="005D6995" w:rsidP="00D91ED4">
            <w:pPr>
              <w:spacing w:after="0"/>
              <w:rPr>
                <w:rFonts w:ascii="Times New Roman" w:hAnsi="Times New Roman" w:cs="Times New Roman"/>
                <w:highlight w:val="yellow"/>
              </w:rPr>
            </w:pPr>
            <w:r w:rsidRPr="002B7637">
              <w:rPr>
                <w:rFonts w:ascii="Times New Roman" w:hAnsi="Times New Roman" w:cs="Times New Roman"/>
                <w:noProof/>
              </w:rPr>
              <w:t>(Dewan et al., 2021)</w:t>
            </w:r>
          </w:p>
        </w:tc>
      </w:tr>
      <w:tr w:rsidR="00FE4FFF" w:rsidRPr="002B7637" w14:paraId="0BE15245" w14:textId="77777777" w:rsidTr="00FE4FFF">
        <w:trPr>
          <w:trHeight w:val="678"/>
        </w:trPr>
        <w:tc>
          <w:tcPr>
            <w:tcW w:w="441" w:type="pct"/>
            <w:vMerge/>
            <w:shd w:val="clear" w:color="auto" w:fill="auto"/>
            <w:tcMar>
              <w:top w:w="100" w:type="dxa"/>
              <w:left w:w="100" w:type="dxa"/>
              <w:bottom w:w="100" w:type="dxa"/>
              <w:right w:w="100" w:type="dxa"/>
            </w:tcMar>
          </w:tcPr>
          <w:p w14:paraId="0338F4A0"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3B0D5DAA" w14:textId="44F7C801"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Moisture stress index (MSI)</w:t>
            </w:r>
          </w:p>
        </w:tc>
        <w:tc>
          <w:tcPr>
            <w:tcW w:w="2380" w:type="pct"/>
            <w:shd w:val="clear" w:color="auto" w:fill="auto"/>
            <w:tcMar>
              <w:top w:w="100" w:type="dxa"/>
              <w:left w:w="100" w:type="dxa"/>
              <w:bottom w:w="100" w:type="dxa"/>
              <w:right w:w="100" w:type="dxa"/>
            </w:tcMar>
          </w:tcPr>
          <w:p w14:paraId="0ACF1DCD" w14:textId="4248798F"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Soil and plant moisture indicate how hot or cold an urban area is </w:t>
            </w:r>
            <w:r w:rsidR="005D6995" w:rsidRPr="002B7637">
              <w:rPr>
                <w:rFonts w:ascii="Times New Roman" w:hAnsi="Times New Roman" w:cs="Times New Roman"/>
                <w:noProof/>
              </w:rPr>
              <w:t>(Dewan et al., 2021; Rinner et al., 2010)</w:t>
            </w:r>
            <w:r w:rsidRPr="002B7637">
              <w:rPr>
                <w:rFonts w:ascii="Times New Roman" w:hAnsi="Times New Roman" w:cs="Times New Roman"/>
              </w:rPr>
              <w:t xml:space="preserve">. </w:t>
            </w:r>
          </w:p>
        </w:tc>
        <w:tc>
          <w:tcPr>
            <w:tcW w:w="674" w:type="pct"/>
            <w:shd w:val="clear" w:color="auto" w:fill="auto"/>
            <w:tcMar>
              <w:top w:w="100" w:type="dxa"/>
              <w:left w:w="100" w:type="dxa"/>
              <w:bottom w:w="100" w:type="dxa"/>
              <w:right w:w="100" w:type="dxa"/>
            </w:tcMar>
          </w:tcPr>
          <w:p w14:paraId="46B70030"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Estimated from MODIS data at 1k m spatial resolution</w:t>
            </w:r>
          </w:p>
        </w:tc>
        <w:tc>
          <w:tcPr>
            <w:tcW w:w="909" w:type="pct"/>
            <w:shd w:val="clear" w:color="auto" w:fill="auto"/>
            <w:tcMar>
              <w:top w:w="100" w:type="dxa"/>
              <w:left w:w="100" w:type="dxa"/>
              <w:bottom w:w="100" w:type="dxa"/>
              <w:right w:w="100" w:type="dxa"/>
            </w:tcMar>
          </w:tcPr>
          <w:p w14:paraId="758F0C8C" w14:textId="2635D4E6"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 </w:t>
            </w:r>
            <w:r w:rsidR="005D6995" w:rsidRPr="002B7637">
              <w:rPr>
                <w:rFonts w:ascii="Times New Roman" w:hAnsi="Times New Roman" w:cs="Times New Roman"/>
                <w:noProof/>
              </w:rPr>
              <w:t>(Dewan et al., 2021)</w:t>
            </w:r>
          </w:p>
        </w:tc>
      </w:tr>
      <w:tr w:rsidR="00FE4FFF" w:rsidRPr="002B7637" w14:paraId="6A17C1D4" w14:textId="77777777" w:rsidTr="00FE4FFF">
        <w:trPr>
          <w:trHeight w:val="678"/>
        </w:trPr>
        <w:tc>
          <w:tcPr>
            <w:tcW w:w="441" w:type="pct"/>
            <w:vMerge/>
            <w:shd w:val="clear" w:color="auto" w:fill="auto"/>
            <w:tcMar>
              <w:top w:w="100" w:type="dxa"/>
              <w:left w:w="100" w:type="dxa"/>
              <w:bottom w:w="100" w:type="dxa"/>
              <w:right w:w="100" w:type="dxa"/>
            </w:tcMar>
          </w:tcPr>
          <w:p w14:paraId="5E1DDAD6"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3A611F4E"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NDWI</w:t>
            </w:r>
          </w:p>
        </w:tc>
        <w:tc>
          <w:tcPr>
            <w:tcW w:w="2380" w:type="pct"/>
            <w:shd w:val="clear" w:color="auto" w:fill="auto"/>
            <w:tcMar>
              <w:top w:w="100" w:type="dxa"/>
              <w:left w:w="100" w:type="dxa"/>
              <w:bottom w:w="100" w:type="dxa"/>
              <w:right w:w="100" w:type="dxa"/>
            </w:tcMar>
          </w:tcPr>
          <w:p w14:paraId="3AFACBD4" w14:textId="127D66FB"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NDWI can be used to detect waterbodies. A high NDWI means more waterbodies and a reduced susceptibility to heatwaves </w:t>
            </w:r>
            <w:r w:rsidR="002B7637" w:rsidRPr="002B7637">
              <w:rPr>
                <w:rFonts w:ascii="Times New Roman" w:hAnsi="Times New Roman" w:cs="Times New Roman"/>
                <w:noProof/>
              </w:rPr>
              <w:t>(Inostroza et al., 2016; Wolf &amp; McGregor, 2013)</w:t>
            </w:r>
            <w:r w:rsidRPr="002B7637">
              <w:rPr>
                <w:rFonts w:ascii="Times New Roman" w:hAnsi="Times New Roman" w:cs="Times New Roman"/>
              </w:rPr>
              <w:t xml:space="preserve">. </w:t>
            </w:r>
          </w:p>
        </w:tc>
        <w:tc>
          <w:tcPr>
            <w:tcW w:w="674" w:type="pct"/>
            <w:shd w:val="clear" w:color="auto" w:fill="auto"/>
            <w:tcMar>
              <w:top w:w="100" w:type="dxa"/>
              <w:left w:w="100" w:type="dxa"/>
              <w:bottom w:w="100" w:type="dxa"/>
              <w:right w:w="100" w:type="dxa"/>
            </w:tcMar>
          </w:tcPr>
          <w:p w14:paraId="426A4B59"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Estimated from MODIS data at 1 km spatial resolution</w:t>
            </w:r>
          </w:p>
        </w:tc>
        <w:tc>
          <w:tcPr>
            <w:tcW w:w="909" w:type="pct"/>
            <w:shd w:val="clear" w:color="auto" w:fill="auto"/>
            <w:tcMar>
              <w:top w:w="100" w:type="dxa"/>
              <w:left w:w="100" w:type="dxa"/>
              <w:bottom w:w="100" w:type="dxa"/>
              <w:right w:w="100" w:type="dxa"/>
            </w:tcMar>
          </w:tcPr>
          <w:p w14:paraId="02D96C2E" w14:textId="383BB5C7" w:rsidR="00FE4FFF" w:rsidRPr="002B7637" w:rsidRDefault="005D6995" w:rsidP="00D91ED4">
            <w:pPr>
              <w:spacing w:after="0"/>
              <w:rPr>
                <w:rFonts w:ascii="Times New Roman" w:hAnsi="Times New Roman" w:cs="Times New Roman"/>
              </w:rPr>
            </w:pPr>
            <w:r w:rsidRPr="002B7637">
              <w:rPr>
                <w:rFonts w:ascii="Times New Roman" w:hAnsi="Times New Roman" w:cs="Times New Roman"/>
                <w:noProof/>
              </w:rPr>
              <w:t>(Dewan et al., 2021)</w:t>
            </w:r>
          </w:p>
        </w:tc>
      </w:tr>
      <w:tr w:rsidR="00FE4FFF" w:rsidRPr="002B7637" w14:paraId="6610F527" w14:textId="77777777" w:rsidTr="00FE4FFF">
        <w:trPr>
          <w:trHeight w:val="678"/>
        </w:trPr>
        <w:tc>
          <w:tcPr>
            <w:tcW w:w="441" w:type="pct"/>
            <w:vMerge/>
            <w:shd w:val="clear" w:color="auto" w:fill="auto"/>
            <w:tcMar>
              <w:top w:w="100" w:type="dxa"/>
              <w:left w:w="100" w:type="dxa"/>
              <w:bottom w:w="100" w:type="dxa"/>
              <w:right w:w="100" w:type="dxa"/>
            </w:tcMar>
          </w:tcPr>
          <w:p w14:paraId="2C73C6CC"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709E5659"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Access to medical services</w:t>
            </w:r>
          </w:p>
        </w:tc>
        <w:tc>
          <w:tcPr>
            <w:tcW w:w="2380" w:type="pct"/>
            <w:shd w:val="clear" w:color="auto" w:fill="auto"/>
            <w:tcMar>
              <w:top w:w="100" w:type="dxa"/>
              <w:left w:w="100" w:type="dxa"/>
              <w:bottom w:w="100" w:type="dxa"/>
              <w:right w:w="100" w:type="dxa"/>
            </w:tcMar>
          </w:tcPr>
          <w:p w14:paraId="05639729" w14:textId="1D185160"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Access to medical center is indicated by the distance (km) of an area from the nearest health facility </w:t>
            </w:r>
            <w:r w:rsidRPr="002B7637">
              <w:rPr>
                <w:rFonts w:ascii="Times New Roman" w:hAnsi="Times New Roman" w:cs="Times New Roman"/>
                <w:noProof/>
              </w:rPr>
              <w:t>(</w:t>
            </w:r>
            <w:r w:rsidRPr="002B7637">
              <w:rPr>
                <w:rFonts w:ascii="Times New Roman" w:hAnsi="Times New Roman" w:cs="Times New Roman"/>
              </w:rPr>
              <w:t>Adnan et al., 2022</w:t>
            </w:r>
            <w:r w:rsidRPr="002B7637">
              <w:rPr>
                <w:rFonts w:ascii="Times New Roman" w:hAnsi="Times New Roman" w:cs="Times New Roman"/>
                <w:noProof/>
              </w:rPr>
              <w:t xml:space="preserve">; </w:t>
            </w:r>
            <w:r w:rsidRPr="002B7637">
              <w:rPr>
                <w:rFonts w:ascii="Times New Roman" w:hAnsi="Times New Roman" w:cs="Times New Roman"/>
              </w:rPr>
              <w:t>Kim et al., 2017</w:t>
            </w:r>
            <w:r w:rsidRPr="002B7637">
              <w:rPr>
                <w:rFonts w:ascii="Times New Roman" w:hAnsi="Times New Roman" w:cs="Times New Roman"/>
                <w:noProof/>
              </w:rPr>
              <w:t>)</w:t>
            </w:r>
            <w:r w:rsidRPr="002B7637">
              <w:rPr>
                <w:rFonts w:ascii="Times New Roman" w:hAnsi="Times New Roman" w:cs="Times New Roman"/>
              </w:rPr>
              <w:t>.</w:t>
            </w:r>
          </w:p>
        </w:tc>
        <w:tc>
          <w:tcPr>
            <w:tcW w:w="674" w:type="pct"/>
            <w:shd w:val="clear" w:color="auto" w:fill="auto"/>
            <w:tcMar>
              <w:top w:w="100" w:type="dxa"/>
              <w:left w:w="100" w:type="dxa"/>
              <w:bottom w:w="100" w:type="dxa"/>
              <w:right w:w="100" w:type="dxa"/>
            </w:tcMar>
          </w:tcPr>
          <w:p w14:paraId="58AAB910" w14:textId="2974F495" w:rsidR="00FE4FFF" w:rsidRPr="002B7637" w:rsidRDefault="00FE4FFF" w:rsidP="00D91ED4">
            <w:pPr>
              <w:spacing w:after="0"/>
              <w:rPr>
                <w:rFonts w:ascii="Times New Roman" w:hAnsi="Times New Roman" w:cs="Times New Roman"/>
              </w:rPr>
            </w:pPr>
            <w:r w:rsidRPr="002B7637">
              <w:rPr>
                <w:rFonts w:ascii="Times New Roman" w:hAnsi="Times New Roman" w:cs="Times New Roman"/>
                <w:noProof/>
              </w:rPr>
              <w:t>(</w:t>
            </w:r>
            <w:r w:rsidRPr="002B7637">
              <w:rPr>
                <w:rFonts w:ascii="Times New Roman" w:hAnsi="Times New Roman" w:cs="Times New Roman"/>
              </w:rPr>
              <w:t>Inostroza et al., 2016</w:t>
            </w:r>
            <w:r w:rsidRPr="002B7637">
              <w:rPr>
                <w:rFonts w:ascii="Times New Roman" w:hAnsi="Times New Roman" w:cs="Times New Roman"/>
                <w:noProof/>
              </w:rPr>
              <w:t xml:space="preserve">; </w:t>
            </w:r>
            <w:r w:rsidRPr="002B7637">
              <w:rPr>
                <w:rFonts w:ascii="Times New Roman" w:hAnsi="Times New Roman" w:cs="Times New Roman"/>
              </w:rPr>
              <w:t>Kim et al., 2017</w:t>
            </w:r>
            <w:r w:rsidRPr="002B7637">
              <w:rPr>
                <w:rFonts w:ascii="Times New Roman" w:hAnsi="Times New Roman" w:cs="Times New Roman"/>
                <w:noProof/>
              </w:rPr>
              <w:t>)</w:t>
            </w:r>
          </w:p>
        </w:tc>
        <w:tc>
          <w:tcPr>
            <w:tcW w:w="909" w:type="pct"/>
            <w:shd w:val="clear" w:color="auto" w:fill="auto"/>
            <w:tcMar>
              <w:top w:w="100" w:type="dxa"/>
              <w:left w:w="100" w:type="dxa"/>
              <w:bottom w:w="100" w:type="dxa"/>
              <w:right w:w="100" w:type="dxa"/>
            </w:tcMar>
          </w:tcPr>
          <w:p w14:paraId="288A8B5B" w14:textId="050A124C"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Spatial data, UNISDR</w:t>
            </w:r>
          </w:p>
        </w:tc>
      </w:tr>
      <w:tr w:rsidR="00FE4FFF" w:rsidRPr="002B7637" w14:paraId="4F935623" w14:textId="77777777" w:rsidTr="00FE4FFF">
        <w:trPr>
          <w:trHeight w:val="313"/>
        </w:trPr>
        <w:tc>
          <w:tcPr>
            <w:tcW w:w="441" w:type="pct"/>
            <w:vMerge/>
            <w:shd w:val="clear" w:color="auto" w:fill="auto"/>
            <w:tcMar>
              <w:top w:w="100" w:type="dxa"/>
              <w:left w:w="100" w:type="dxa"/>
              <w:bottom w:w="100" w:type="dxa"/>
              <w:right w:w="100" w:type="dxa"/>
            </w:tcMar>
          </w:tcPr>
          <w:p w14:paraId="3399C3DE" w14:textId="77777777" w:rsidR="00FE4FFF" w:rsidRPr="002B7637" w:rsidRDefault="00FE4FFF" w:rsidP="00D91ED4">
            <w:pPr>
              <w:spacing w:after="0"/>
              <w:rPr>
                <w:rFonts w:ascii="Times New Roman" w:hAnsi="Times New Roman" w:cs="Times New Roman"/>
              </w:rPr>
            </w:pPr>
          </w:p>
        </w:tc>
        <w:tc>
          <w:tcPr>
            <w:tcW w:w="596" w:type="pct"/>
            <w:shd w:val="clear" w:color="auto" w:fill="auto"/>
            <w:tcMar>
              <w:top w:w="100" w:type="dxa"/>
              <w:left w:w="100" w:type="dxa"/>
              <w:bottom w:w="100" w:type="dxa"/>
              <w:right w:w="100" w:type="dxa"/>
            </w:tcMar>
          </w:tcPr>
          <w:p w14:paraId="2CFBE84D"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Meteorological factors</w:t>
            </w:r>
          </w:p>
          <w:p w14:paraId="570BA4D8" w14:textId="7777777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(Rainfall, windspeed, cloud cover)</w:t>
            </w:r>
          </w:p>
        </w:tc>
        <w:tc>
          <w:tcPr>
            <w:tcW w:w="2380" w:type="pct"/>
            <w:shd w:val="clear" w:color="auto" w:fill="auto"/>
            <w:tcMar>
              <w:top w:w="100" w:type="dxa"/>
              <w:left w:w="100" w:type="dxa"/>
              <w:bottom w:w="100" w:type="dxa"/>
              <w:right w:w="100" w:type="dxa"/>
            </w:tcMar>
          </w:tcPr>
          <w:p w14:paraId="74BFC842" w14:textId="3DDCE38C"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Rainfall, wind speed and cloud cover are significant meteorological parameters to mitigate the potential impact of heat stress</w:t>
            </w:r>
            <w:r w:rsidR="00FF6D24" w:rsidRPr="002B7637">
              <w:rPr>
                <w:rFonts w:ascii="Times New Roman" w:hAnsi="Times New Roman" w:cs="Times New Roman"/>
              </w:rPr>
              <w:t>.</w:t>
            </w:r>
          </w:p>
        </w:tc>
        <w:tc>
          <w:tcPr>
            <w:tcW w:w="674" w:type="pct"/>
            <w:shd w:val="clear" w:color="auto" w:fill="auto"/>
            <w:tcMar>
              <w:top w:w="100" w:type="dxa"/>
              <w:left w:w="100" w:type="dxa"/>
              <w:bottom w:w="100" w:type="dxa"/>
              <w:right w:w="100" w:type="dxa"/>
            </w:tcMar>
          </w:tcPr>
          <w:p w14:paraId="7C728B5A" w14:textId="1D48CBA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Gridded rainfall data at 1 km resolution</w:t>
            </w:r>
            <w:r w:rsidR="00A6721E" w:rsidRPr="002B7637">
              <w:rPr>
                <w:rFonts w:ascii="Times New Roman" w:hAnsi="Times New Roman" w:cs="Times New Roman"/>
              </w:rPr>
              <w:t>.</w:t>
            </w:r>
          </w:p>
          <w:p w14:paraId="5158F3CE" w14:textId="002DF559"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Station data of windspeed and cloud cover </w:t>
            </w:r>
          </w:p>
        </w:tc>
        <w:tc>
          <w:tcPr>
            <w:tcW w:w="909" w:type="pct"/>
            <w:shd w:val="clear" w:color="auto" w:fill="auto"/>
            <w:tcMar>
              <w:top w:w="100" w:type="dxa"/>
              <w:left w:w="100" w:type="dxa"/>
              <w:bottom w:w="100" w:type="dxa"/>
              <w:right w:w="100" w:type="dxa"/>
            </w:tcMar>
          </w:tcPr>
          <w:p w14:paraId="5C8E0644" w14:textId="639576A7" w:rsidR="00FE4FFF" w:rsidRPr="002B7637" w:rsidRDefault="00FE4FFF" w:rsidP="00D91ED4">
            <w:pPr>
              <w:spacing w:after="0"/>
              <w:rPr>
                <w:rFonts w:ascii="Times New Roman" w:hAnsi="Times New Roman" w:cs="Times New Roman"/>
              </w:rPr>
            </w:pPr>
            <w:r w:rsidRPr="002B7637">
              <w:rPr>
                <w:rFonts w:ascii="Times New Roman" w:hAnsi="Times New Roman" w:cs="Times New Roman"/>
              </w:rPr>
              <w:t xml:space="preserve"> </w:t>
            </w:r>
            <w:r w:rsidRPr="002B7637">
              <w:rPr>
                <w:rFonts w:ascii="Times New Roman" w:hAnsi="Times New Roman" w:cs="Times New Roman"/>
                <w:noProof/>
              </w:rPr>
              <w:t>(</w:t>
            </w:r>
            <w:r w:rsidRPr="002B7637">
              <w:rPr>
                <w:rFonts w:ascii="Times New Roman" w:hAnsi="Times New Roman" w:cs="Times New Roman"/>
              </w:rPr>
              <w:t>Dewan et al., 2022</w:t>
            </w:r>
            <w:r w:rsidRPr="002B7637">
              <w:rPr>
                <w:rFonts w:ascii="Times New Roman" w:hAnsi="Times New Roman" w:cs="Times New Roman"/>
                <w:noProof/>
              </w:rPr>
              <w:t>)</w:t>
            </w:r>
          </w:p>
        </w:tc>
      </w:tr>
      <w:bookmarkEnd w:id="3"/>
    </w:tbl>
    <w:p w14:paraId="34C8DE62" w14:textId="77777777" w:rsidR="00FE4FFF" w:rsidRPr="002B7637" w:rsidRDefault="00FE4FFF" w:rsidP="00857484">
      <w:pPr>
        <w:tabs>
          <w:tab w:val="left" w:pos="916"/>
        </w:tabs>
        <w:rPr>
          <w:rFonts w:ascii="Times New Roman" w:hAnsi="Times New Roman" w:cs="Times New Roman"/>
          <w:sz w:val="24"/>
          <w:szCs w:val="24"/>
        </w:rPr>
      </w:pPr>
    </w:p>
    <w:p w14:paraId="1DEB7687" w14:textId="77777777" w:rsidR="006D74B0" w:rsidRPr="002B7637" w:rsidRDefault="00857484" w:rsidP="00857484">
      <w:pPr>
        <w:rPr>
          <w:rFonts w:ascii="Times New Roman" w:hAnsi="Times New Roman" w:cs="Times New Roman"/>
          <w:sz w:val="24"/>
          <w:szCs w:val="24"/>
        </w:rPr>
        <w:sectPr w:rsidR="006D74B0" w:rsidRPr="002B7637" w:rsidSect="00857484">
          <w:headerReference w:type="default" r:id="rId9"/>
          <w:pgSz w:w="15840" w:h="12240" w:orient="landscape"/>
          <w:pgMar w:top="1440" w:right="1440" w:bottom="1440" w:left="1440" w:header="720" w:footer="720" w:gutter="0"/>
          <w:cols w:space="720"/>
          <w:docGrid w:linePitch="360"/>
        </w:sectPr>
      </w:pPr>
      <w:r w:rsidRPr="002B7637">
        <w:rPr>
          <w:rFonts w:ascii="Times New Roman" w:hAnsi="Times New Roman" w:cs="Times New Roman"/>
          <w:sz w:val="24"/>
          <w:szCs w:val="24"/>
        </w:rPr>
        <w:br w:type="page"/>
      </w:r>
    </w:p>
    <w:p w14:paraId="0108A997" w14:textId="77777777" w:rsidR="005D6995" w:rsidRPr="002B7637" w:rsidRDefault="005D6995" w:rsidP="00857484">
      <w:pPr>
        <w:rPr>
          <w:rFonts w:ascii="Times New Roman" w:hAnsi="Times New Roman" w:cs="Times New Roman"/>
          <w:sz w:val="24"/>
          <w:szCs w:val="24"/>
        </w:rPr>
      </w:pPr>
    </w:p>
    <w:p w14:paraId="7F9CF332" w14:textId="1834A68F" w:rsidR="005D6995" w:rsidRPr="002B7637" w:rsidRDefault="006D74B0" w:rsidP="00857484">
      <w:pPr>
        <w:rPr>
          <w:rFonts w:ascii="Times New Roman" w:hAnsi="Times New Roman" w:cs="Times New Roman"/>
          <w:b/>
          <w:bCs/>
          <w:sz w:val="28"/>
          <w:szCs w:val="28"/>
        </w:rPr>
      </w:pPr>
      <w:r w:rsidRPr="002B7637">
        <w:rPr>
          <w:rFonts w:ascii="Times New Roman" w:hAnsi="Times New Roman" w:cs="Times New Roman"/>
          <w:b/>
          <w:bCs/>
          <w:sz w:val="28"/>
          <w:szCs w:val="28"/>
        </w:rPr>
        <w:t xml:space="preserve">References </w:t>
      </w:r>
    </w:p>
    <w:p w14:paraId="430F56DB" w14:textId="4E206AA4"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Adnan, M. S. G., Dewan, A., Botje, D., Shahid, S., &amp; Hassan, Q. K. (2022). Vulnerability of Australia to heatwaves: A systematic review on influencing factors, impacts, and mitigation options. </w:t>
      </w:r>
      <w:r w:rsidRPr="002B7637">
        <w:rPr>
          <w:rFonts w:ascii="Times New Roman" w:hAnsi="Times New Roman" w:cs="Times New Roman"/>
          <w:i/>
        </w:rPr>
        <w:t>Environmental Research, 213</w:t>
      </w:r>
      <w:r w:rsidRPr="002B7637">
        <w:rPr>
          <w:rFonts w:ascii="Times New Roman" w:hAnsi="Times New Roman" w:cs="Times New Roman"/>
        </w:rPr>
        <w:t xml:space="preserve">, 113703. </w:t>
      </w:r>
    </w:p>
    <w:p w14:paraId="15696AA0" w14:textId="063E0402"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Costello, A., Abbas, M., Allen, A., Ball, S., Bell, S., Bellamy, R., Friel, S., Groce, N., Johnson, A., &amp; Kett, M. (2009). Managing the health effects of climate change: lancet and University College London Institute for Global Health Commission. </w:t>
      </w:r>
      <w:r w:rsidRPr="002B7637">
        <w:rPr>
          <w:rFonts w:ascii="Times New Roman" w:hAnsi="Times New Roman" w:cs="Times New Roman"/>
          <w:i/>
        </w:rPr>
        <w:t>The lancet, 373</w:t>
      </w:r>
      <w:r w:rsidRPr="002B7637">
        <w:rPr>
          <w:rFonts w:ascii="Times New Roman" w:hAnsi="Times New Roman" w:cs="Times New Roman"/>
        </w:rPr>
        <w:t xml:space="preserve">(9676), 1693-1733. </w:t>
      </w:r>
    </w:p>
    <w:p w14:paraId="09464289" w14:textId="142C801E"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De Bono, A., &amp; Chatenoux, B. (2014). </w:t>
      </w:r>
      <w:r w:rsidRPr="002B7637">
        <w:rPr>
          <w:rFonts w:ascii="Times New Roman" w:hAnsi="Times New Roman" w:cs="Times New Roman"/>
          <w:i/>
        </w:rPr>
        <w:t>A Global Exposure Model for GAR 2015, the Global Assessment Report on Disaster Risk Reduction 2015</w:t>
      </w:r>
      <w:r w:rsidRPr="002B7637">
        <w:rPr>
          <w:rFonts w:ascii="Times New Roman" w:hAnsi="Times New Roman" w:cs="Times New Roman"/>
        </w:rPr>
        <w:t xml:space="preserve"> </w:t>
      </w:r>
    </w:p>
    <w:p w14:paraId="3C802361" w14:textId="4F4FF6FA"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Dewan, A., Kiselev, G., Botje, D., Mahmud, G. I., Bhuian, M. H., &amp; Hassan, Q. K. (2021, 2021/04/15/). Surface urban heat island intensity in five major cities of Bangladesh: patterns, drivers and trends. </w:t>
      </w:r>
      <w:r w:rsidRPr="002B7637">
        <w:rPr>
          <w:rFonts w:ascii="Times New Roman" w:hAnsi="Times New Roman" w:cs="Times New Roman"/>
          <w:i/>
        </w:rPr>
        <w:t>Sustainable Cities and Society</w:t>
      </w:r>
      <w:r w:rsidRPr="002B7637">
        <w:rPr>
          <w:rFonts w:ascii="Times New Roman" w:hAnsi="Times New Roman" w:cs="Times New Roman"/>
        </w:rPr>
        <w:t xml:space="preserve">, 102926. </w:t>
      </w:r>
      <w:r w:rsidRPr="00AF28F7">
        <w:rPr>
          <w:rFonts w:ascii="Times New Roman" w:hAnsi="Times New Roman" w:cs="Times New Roman"/>
        </w:rPr>
        <w:t>https://doi.org/https://doi.org/10.1016/j.scs.2021.102926</w:t>
      </w:r>
      <w:r w:rsidRPr="002B7637">
        <w:rPr>
          <w:rFonts w:ascii="Times New Roman" w:hAnsi="Times New Roman" w:cs="Times New Roman"/>
        </w:rPr>
        <w:t xml:space="preserve"> </w:t>
      </w:r>
    </w:p>
    <w:p w14:paraId="365B998E" w14:textId="330DF252"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Dewan, A., Shahid, S., Bhuian, M. H., Hossain, S. M. J., Nashwan, M. S., Chung, E.-S., Hassan, Q. K., &amp; Asaduzzaman, M. (2022). Developing a high-resolution gridded rainfall product for Bangladesh during 1901–2018. </w:t>
      </w:r>
      <w:r w:rsidRPr="002B7637">
        <w:rPr>
          <w:rFonts w:ascii="Times New Roman" w:hAnsi="Times New Roman" w:cs="Times New Roman"/>
          <w:i/>
        </w:rPr>
        <w:t>Scientific Data, 9</w:t>
      </w:r>
      <w:r w:rsidRPr="002B7637">
        <w:rPr>
          <w:rFonts w:ascii="Times New Roman" w:hAnsi="Times New Roman" w:cs="Times New Roman"/>
        </w:rPr>
        <w:t xml:space="preserve">(1), 471. </w:t>
      </w:r>
    </w:p>
    <w:p w14:paraId="0E16FB51" w14:textId="3915F0DB"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Gabriel, K. M., &amp; Endlicher, W. R. (2011). Urban and rural mortality rates during heat waves in Berlin and Brandenburg, Germany. </w:t>
      </w:r>
      <w:r w:rsidRPr="002B7637">
        <w:rPr>
          <w:rFonts w:ascii="Times New Roman" w:hAnsi="Times New Roman" w:cs="Times New Roman"/>
          <w:i/>
        </w:rPr>
        <w:t>Environmental pollution, 159</w:t>
      </w:r>
      <w:r w:rsidRPr="002B7637">
        <w:rPr>
          <w:rFonts w:ascii="Times New Roman" w:hAnsi="Times New Roman" w:cs="Times New Roman"/>
        </w:rPr>
        <w:t xml:space="preserve">(8-9), 2044-2050. </w:t>
      </w:r>
    </w:p>
    <w:p w14:paraId="402FF923" w14:textId="19C5DCD3"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Inostroza, L., Palme, M., &amp; de la Barrera, F. (2016). A heat vulnerability index: spatial patterns of exposure, sensitivity and adaptive capacity for Santiago de Chile. </w:t>
      </w:r>
      <w:r w:rsidRPr="002B7637">
        <w:rPr>
          <w:rFonts w:ascii="Times New Roman" w:hAnsi="Times New Roman" w:cs="Times New Roman"/>
          <w:i/>
        </w:rPr>
        <w:t>PLoS One, 11</w:t>
      </w:r>
      <w:r w:rsidRPr="002B7637">
        <w:rPr>
          <w:rFonts w:ascii="Times New Roman" w:hAnsi="Times New Roman" w:cs="Times New Roman"/>
        </w:rPr>
        <w:t xml:space="preserve">(9), e0162464. </w:t>
      </w:r>
    </w:p>
    <w:p w14:paraId="5728894A" w14:textId="0B72F289"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Jaxa. (2015). </w:t>
      </w:r>
      <w:r w:rsidRPr="002B7637">
        <w:rPr>
          <w:rFonts w:ascii="Times New Roman" w:hAnsi="Times New Roman" w:cs="Times New Roman"/>
          <w:i/>
        </w:rPr>
        <w:t>ALOS Global Digital Surface Model “ALOS World 3D–30m”(AW3D30)</w:t>
      </w:r>
      <w:r w:rsidRPr="002B7637">
        <w:rPr>
          <w:rFonts w:ascii="Times New Roman" w:hAnsi="Times New Roman" w:cs="Times New Roman"/>
        </w:rPr>
        <w:t xml:space="preserve"> </w:t>
      </w:r>
      <w:r w:rsidRPr="00AF28F7">
        <w:rPr>
          <w:rFonts w:ascii="Times New Roman" w:hAnsi="Times New Roman" w:cs="Times New Roman"/>
        </w:rPr>
        <w:t>https://www.eorc.jaxa.jp/ALOS/en/dataset/aw3d30/aw3d30_e.htm</w:t>
      </w:r>
      <w:r w:rsidRPr="002B7637">
        <w:rPr>
          <w:rFonts w:ascii="Times New Roman" w:hAnsi="Times New Roman" w:cs="Times New Roman"/>
        </w:rPr>
        <w:t xml:space="preserve"> </w:t>
      </w:r>
    </w:p>
    <w:p w14:paraId="5FE3ACCB" w14:textId="037BF9E3"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Kalkstein, L. S., Eisenman, D. P., de Guzman, E. B., &amp; Sailor, D. J. (2022). Increasing trees and high-albedo surfaces decreases heat impacts and mortality in Los Angeles, CA. </w:t>
      </w:r>
      <w:r w:rsidRPr="002B7637">
        <w:rPr>
          <w:rFonts w:ascii="Times New Roman" w:hAnsi="Times New Roman" w:cs="Times New Roman"/>
          <w:i/>
        </w:rPr>
        <w:t>International journal of biometeorology, 66</w:t>
      </w:r>
      <w:r w:rsidRPr="002B7637">
        <w:rPr>
          <w:rFonts w:ascii="Times New Roman" w:hAnsi="Times New Roman" w:cs="Times New Roman"/>
        </w:rPr>
        <w:t xml:space="preserve">(5), 911-925. </w:t>
      </w:r>
    </w:p>
    <w:p w14:paraId="011B0E25" w14:textId="462E2872"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Kim, D.-W., Deo, R. C., Lee, J.-S., &amp; Yeom, J.-M. (2017). Mapping heatwave vulnerability in Korea. </w:t>
      </w:r>
      <w:r w:rsidRPr="002B7637">
        <w:rPr>
          <w:rFonts w:ascii="Times New Roman" w:hAnsi="Times New Roman" w:cs="Times New Roman"/>
          <w:i/>
        </w:rPr>
        <w:t>Natural Hazards, 89</w:t>
      </w:r>
      <w:r w:rsidRPr="002B7637">
        <w:rPr>
          <w:rFonts w:ascii="Times New Roman" w:hAnsi="Times New Roman" w:cs="Times New Roman"/>
        </w:rPr>
        <w:t xml:space="preserve">(1), 35-55. </w:t>
      </w:r>
    </w:p>
    <w:p w14:paraId="3F6DCB2F" w14:textId="73D272FB"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Li, L., Yu, T., Zhao, L., Zhan, Y., Zheng, F., Zhang, Y., Mumtaz, F., &amp; Wang, C. (2019). Characteristics and trend analysis of the relationship between land surface temperature and nighttime light intensity levels over China. </w:t>
      </w:r>
      <w:r w:rsidRPr="002B7637">
        <w:rPr>
          <w:rFonts w:ascii="Times New Roman" w:hAnsi="Times New Roman" w:cs="Times New Roman"/>
          <w:i/>
        </w:rPr>
        <w:t>Infrared Physics &amp; Technology, 97</w:t>
      </w:r>
      <w:r w:rsidRPr="002B7637">
        <w:rPr>
          <w:rFonts w:ascii="Times New Roman" w:hAnsi="Times New Roman" w:cs="Times New Roman"/>
        </w:rPr>
        <w:t xml:space="preserve">, 381-390. </w:t>
      </w:r>
    </w:p>
    <w:p w14:paraId="7524704F" w14:textId="77B2C121"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Lyapustin, A., &amp; Wang, Y. (2018). </w:t>
      </w:r>
      <w:r w:rsidRPr="002B7637">
        <w:rPr>
          <w:rFonts w:ascii="Times New Roman" w:hAnsi="Times New Roman" w:cs="Times New Roman"/>
          <w:i/>
        </w:rPr>
        <w:t>MCD19A2 MODIS/Terra+Aqua Land Aerosol Optical Depth Daily L2G Global 1km SIN Grid V006 [Data set]</w:t>
      </w:r>
      <w:r w:rsidRPr="002B7637">
        <w:rPr>
          <w:rFonts w:ascii="Times New Roman" w:hAnsi="Times New Roman" w:cs="Times New Roman"/>
        </w:rPr>
        <w:t xml:space="preserve"> </w:t>
      </w:r>
      <w:r w:rsidRPr="00AF28F7">
        <w:rPr>
          <w:rFonts w:ascii="Times New Roman" w:hAnsi="Times New Roman" w:cs="Times New Roman"/>
        </w:rPr>
        <w:t>https://doi.org/https://doi.org/10.5067/MODIS/MCD19A2.006</w:t>
      </w:r>
    </w:p>
    <w:p w14:paraId="78C82864" w14:textId="58F09837"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Mora, C., Dousset, B., Caldwell, I. R., Powell, F. E., Geronimo, R. C., Bielecki, C. R., Counsell, C. W., Dietrich, B. S., Johnston, E. T., &amp; Louis, L. V. (2017). Global risk of deadly heat. </w:t>
      </w:r>
      <w:r w:rsidRPr="002B7637">
        <w:rPr>
          <w:rFonts w:ascii="Times New Roman" w:hAnsi="Times New Roman" w:cs="Times New Roman"/>
          <w:i/>
        </w:rPr>
        <w:t>Nature climate change, 7</w:t>
      </w:r>
      <w:r w:rsidRPr="002B7637">
        <w:rPr>
          <w:rFonts w:ascii="Times New Roman" w:hAnsi="Times New Roman" w:cs="Times New Roman"/>
        </w:rPr>
        <w:t xml:space="preserve">(7), 501-506. </w:t>
      </w:r>
    </w:p>
    <w:p w14:paraId="7CAD5913" w14:textId="210C5C43"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Raja, D. R., Hredoy, M. S. N., Islam, M. K., Islam, K. A., &amp; Adnan, M. S. G. (2021). Spatial distribution of heatwave vulnerability in a coastal city of Bangladesh. </w:t>
      </w:r>
      <w:r w:rsidRPr="002B7637">
        <w:rPr>
          <w:rFonts w:ascii="Times New Roman" w:hAnsi="Times New Roman" w:cs="Times New Roman"/>
          <w:i/>
        </w:rPr>
        <w:t>Environmental Challenges, 4</w:t>
      </w:r>
      <w:r w:rsidRPr="002B7637">
        <w:rPr>
          <w:rFonts w:ascii="Times New Roman" w:hAnsi="Times New Roman" w:cs="Times New Roman"/>
        </w:rPr>
        <w:t xml:space="preserve">, 100122. </w:t>
      </w:r>
    </w:p>
    <w:p w14:paraId="08E7B3CC" w14:textId="723C277D"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Refslund, J., Dellwik, E., Hahmann, A. N., Barlage, M. J., &amp; Boegh, E. (2014). Development of satellite green vegetation fraction time series for use in mesoscale modeling: application to the European heat wave 2006. </w:t>
      </w:r>
      <w:r w:rsidRPr="002B7637">
        <w:rPr>
          <w:rFonts w:ascii="Times New Roman" w:hAnsi="Times New Roman" w:cs="Times New Roman"/>
          <w:i/>
        </w:rPr>
        <w:t>Theoretical and applied climatology, 117</w:t>
      </w:r>
      <w:r w:rsidRPr="002B7637">
        <w:rPr>
          <w:rFonts w:ascii="Times New Roman" w:hAnsi="Times New Roman" w:cs="Times New Roman"/>
        </w:rPr>
        <w:t xml:space="preserve">, 377-392. </w:t>
      </w:r>
    </w:p>
    <w:p w14:paraId="2848C4C9" w14:textId="08C3EC9C"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Rinner, C., Patychuk, D., Bassil, K., Nasr, S., Gower, S., &amp; Campbell, M. (2010). The role of maps in neighborhood-level heat vulnerability assessment for the city of Toronto. </w:t>
      </w:r>
      <w:r w:rsidRPr="002B7637">
        <w:rPr>
          <w:rFonts w:ascii="Times New Roman" w:hAnsi="Times New Roman" w:cs="Times New Roman"/>
          <w:i/>
        </w:rPr>
        <w:t>Cartography and Geographic Information Science, 37</w:t>
      </w:r>
      <w:r w:rsidRPr="002B7637">
        <w:rPr>
          <w:rFonts w:ascii="Times New Roman" w:hAnsi="Times New Roman" w:cs="Times New Roman"/>
        </w:rPr>
        <w:t xml:space="preserve">(1), 31-44. </w:t>
      </w:r>
    </w:p>
    <w:p w14:paraId="4C7E2968" w14:textId="5F58DC6F"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Salvati, A., &amp; Kolokotroni, M. (2020). Impact of urban albedo on microclimate and thermal comfort over a heat wave event in London. </w:t>
      </w:r>
    </w:p>
    <w:p w14:paraId="73106C7E" w14:textId="09124145"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Schaaf, C., &amp; Wang, Z. (2015). </w:t>
      </w:r>
      <w:r w:rsidRPr="002B7637">
        <w:rPr>
          <w:rFonts w:ascii="Times New Roman" w:hAnsi="Times New Roman" w:cs="Times New Roman"/>
          <w:i/>
        </w:rPr>
        <w:t>MCD43A3 MODIS/Terra+Aqua BRDF/Albedo Daily L3 Global - 500m V006 [Data set]</w:t>
      </w:r>
      <w:r w:rsidRPr="002B7637">
        <w:rPr>
          <w:rFonts w:ascii="Times New Roman" w:hAnsi="Times New Roman" w:cs="Times New Roman"/>
        </w:rPr>
        <w:t xml:space="preserve"> </w:t>
      </w:r>
      <w:r w:rsidRPr="00AF28F7">
        <w:rPr>
          <w:rFonts w:ascii="Times New Roman" w:hAnsi="Times New Roman" w:cs="Times New Roman"/>
        </w:rPr>
        <w:t>https://doi.org/https://doi.org/10.5067/MODIS/MCD43A3.006</w:t>
      </w:r>
    </w:p>
    <w:p w14:paraId="25DB04F4" w14:textId="73B1DEC7"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lastRenderedPageBreak/>
        <w:t xml:space="preserve">Sharma, A., Andhikaputra, G., &amp; Wang, Y.-C. (2022). Heatwaves in South Asia: characterization, consequences on human health, and adaptation strategies. </w:t>
      </w:r>
      <w:r w:rsidRPr="002B7637">
        <w:rPr>
          <w:rFonts w:ascii="Times New Roman" w:hAnsi="Times New Roman" w:cs="Times New Roman"/>
          <w:i/>
        </w:rPr>
        <w:t>Atmosphere, 13</w:t>
      </w:r>
      <w:r w:rsidRPr="002B7637">
        <w:rPr>
          <w:rFonts w:ascii="Times New Roman" w:hAnsi="Times New Roman" w:cs="Times New Roman"/>
        </w:rPr>
        <w:t xml:space="preserve">(5), 734. </w:t>
      </w:r>
    </w:p>
    <w:p w14:paraId="5CFF3F85" w14:textId="09BC5DAD"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Steele, J. E., Sundsøy, P. R., Pezzulo, C., Alegana, V. A., Bird, T. J., Blumenstock, J., Bjelland, J., Engø-Monsen, K., De Montjoye, Y.-A., &amp; Iqbal, A. M. (2017). Mapping poverty using mobile phone and satellite data. </w:t>
      </w:r>
      <w:r w:rsidRPr="002B7637">
        <w:rPr>
          <w:rFonts w:ascii="Times New Roman" w:hAnsi="Times New Roman" w:cs="Times New Roman"/>
          <w:i/>
        </w:rPr>
        <w:t>Journal of The Royal Society Interface, 14</w:t>
      </w:r>
      <w:r w:rsidRPr="002B7637">
        <w:rPr>
          <w:rFonts w:ascii="Times New Roman" w:hAnsi="Times New Roman" w:cs="Times New Roman"/>
        </w:rPr>
        <w:t xml:space="preserve">(127), 20160690. </w:t>
      </w:r>
    </w:p>
    <w:p w14:paraId="1F1368A3" w14:textId="0C568434"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Wan, Z., Hook, S., &amp; Hulley, G. (2015). </w:t>
      </w:r>
      <w:r w:rsidRPr="002B7637">
        <w:rPr>
          <w:rFonts w:ascii="Times New Roman" w:hAnsi="Times New Roman" w:cs="Times New Roman"/>
          <w:i/>
        </w:rPr>
        <w:t>MOD11A2 MODIS/Terra Land Surface Temperature/Emissivity 8-Day L3 Global 1km SIN Grid V006 [Data set]</w:t>
      </w:r>
      <w:r w:rsidRPr="002B7637">
        <w:rPr>
          <w:rFonts w:ascii="Times New Roman" w:hAnsi="Times New Roman" w:cs="Times New Roman"/>
        </w:rPr>
        <w:t xml:space="preserve"> </w:t>
      </w:r>
      <w:r w:rsidRPr="00AF28F7">
        <w:rPr>
          <w:rFonts w:ascii="Times New Roman" w:hAnsi="Times New Roman" w:cs="Times New Roman"/>
        </w:rPr>
        <w:t>https://doi.org/https://doi.org/10.5067/MODIS/MOD11A2.006</w:t>
      </w:r>
    </w:p>
    <w:p w14:paraId="59C3DD4F" w14:textId="4B10B69A"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Wheeler, B. W., Lovell, R., Higgins, S. L., White, M. P., Alcock, I., Osborne, N. J., Husk, K., Sabel, C. E., &amp; Depledge, M. H. (2015). Beyond greenspace: an ecological study of population general health and indicators of natural environment type and quality. </w:t>
      </w:r>
      <w:r w:rsidRPr="002B7637">
        <w:rPr>
          <w:rFonts w:ascii="Times New Roman" w:hAnsi="Times New Roman" w:cs="Times New Roman"/>
          <w:i/>
        </w:rPr>
        <w:t>International journal of health geographics, 14</w:t>
      </w:r>
      <w:r w:rsidRPr="002B7637">
        <w:rPr>
          <w:rFonts w:ascii="Times New Roman" w:hAnsi="Times New Roman" w:cs="Times New Roman"/>
        </w:rPr>
        <w:t xml:space="preserve">(1), 1-17. </w:t>
      </w:r>
    </w:p>
    <w:p w14:paraId="4D78AE85" w14:textId="5B3A0F61"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Wolf, T., &amp; McGregor, G. (2013). The development of a heat wave vulnerability index for London, United Kingdom. </w:t>
      </w:r>
      <w:r w:rsidRPr="002B7637">
        <w:rPr>
          <w:rFonts w:ascii="Times New Roman" w:hAnsi="Times New Roman" w:cs="Times New Roman"/>
          <w:i/>
        </w:rPr>
        <w:t>Weather and Climate Extremes, 1</w:t>
      </w:r>
      <w:r w:rsidRPr="002B7637">
        <w:rPr>
          <w:rFonts w:ascii="Times New Roman" w:hAnsi="Times New Roman" w:cs="Times New Roman"/>
        </w:rPr>
        <w:t xml:space="preserve">, 59-68. </w:t>
      </w:r>
    </w:p>
    <w:p w14:paraId="461F06BF" w14:textId="2CE9CBF0"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WorldPop. (2018). </w:t>
      </w:r>
      <w:r w:rsidRPr="002B7637">
        <w:rPr>
          <w:rFonts w:ascii="Times New Roman" w:hAnsi="Times New Roman" w:cs="Times New Roman"/>
          <w:i/>
        </w:rPr>
        <w:t>Global High Resolution Population Denominators Project - Funded by The Bill and Melinda Gates Foundation (OPP1134076)</w:t>
      </w:r>
      <w:r w:rsidRPr="002B7637">
        <w:rPr>
          <w:rFonts w:ascii="Times New Roman" w:hAnsi="Times New Roman" w:cs="Times New Roman"/>
        </w:rPr>
        <w:t xml:space="preserve"> </w:t>
      </w:r>
      <w:r w:rsidRPr="00AF28F7">
        <w:rPr>
          <w:rFonts w:ascii="Times New Roman" w:hAnsi="Times New Roman" w:cs="Times New Roman"/>
        </w:rPr>
        <w:t>https://doi.org/https://dx.doi.org/10.5258/SOTON/WP00645</w:t>
      </w:r>
    </w:p>
    <w:p w14:paraId="0BB239E5" w14:textId="36460D71"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Xiang, Y., Ye, Y., Peng, C., Teng, M., &amp; Zhou, Z. (2022). Seasonal variations for combined effects of landscape metrics on land surface temperature (LST) and aerosol optical depth (AOD). </w:t>
      </w:r>
      <w:r w:rsidRPr="002B7637">
        <w:rPr>
          <w:rFonts w:ascii="Times New Roman" w:hAnsi="Times New Roman" w:cs="Times New Roman"/>
          <w:i/>
        </w:rPr>
        <w:t>Ecological Indicators, 138</w:t>
      </w:r>
      <w:r w:rsidRPr="002B7637">
        <w:rPr>
          <w:rFonts w:ascii="Times New Roman" w:hAnsi="Times New Roman" w:cs="Times New Roman"/>
        </w:rPr>
        <w:t xml:space="preserve">, 108810. </w:t>
      </w:r>
    </w:p>
    <w:p w14:paraId="64B98356" w14:textId="387E8842"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Yang, J., Yin, P., Sun, J., Wang, B., Zhou, M., Li, M., Tong, S., Meng, B., Guo, Y., &amp; Liu, Q. (2019). Heatwave and mortality in 31 major Chinese cities: definition, vulnerability and implications. </w:t>
      </w:r>
      <w:r w:rsidRPr="002B7637">
        <w:rPr>
          <w:rFonts w:ascii="Times New Roman" w:hAnsi="Times New Roman" w:cs="Times New Roman"/>
          <w:i/>
        </w:rPr>
        <w:t>Science of The Total Environment, 649</w:t>
      </w:r>
      <w:r w:rsidRPr="002B7637">
        <w:rPr>
          <w:rFonts w:ascii="Times New Roman" w:hAnsi="Times New Roman" w:cs="Times New Roman"/>
        </w:rPr>
        <w:t xml:space="preserve">, 695-702. </w:t>
      </w:r>
    </w:p>
    <w:p w14:paraId="341137F6" w14:textId="693E2E81" w:rsidR="002B7637" w:rsidRPr="002B7637" w:rsidRDefault="002B7637" w:rsidP="002B7637">
      <w:pPr>
        <w:pStyle w:val="EndNoteBibliography"/>
        <w:spacing w:after="0"/>
        <w:ind w:left="720" w:hanging="720"/>
        <w:rPr>
          <w:rFonts w:ascii="Times New Roman" w:hAnsi="Times New Roman" w:cs="Times New Roman"/>
        </w:rPr>
      </w:pPr>
      <w:r w:rsidRPr="002B7637">
        <w:rPr>
          <w:rFonts w:ascii="Times New Roman" w:hAnsi="Times New Roman" w:cs="Times New Roman"/>
        </w:rPr>
        <w:t xml:space="preserve">Zhang, W., McManus, P., &amp; Duncan, E. (2018). A raster-based subdividing indicator to map urban heat vulnerability: A case study in sydney, australia. </w:t>
      </w:r>
      <w:r w:rsidRPr="002B7637">
        <w:rPr>
          <w:rFonts w:ascii="Times New Roman" w:hAnsi="Times New Roman" w:cs="Times New Roman"/>
          <w:i/>
        </w:rPr>
        <w:t>International journal of environmental research and public health, 15</w:t>
      </w:r>
      <w:r w:rsidRPr="002B7637">
        <w:rPr>
          <w:rFonts w:ascii="Times New Roman" w:hAnsi="Times New Roman" w:cs="Times New Roman"/>
        </w:rPr>
        <w:t xml:space="preserve">(11), 2516. </w:t>
      </w:r>
    </w:p>
    <w:p w14:paraId="26392563" w14:textId="49C2B82D" w:rsidR="00797FEC" w:rsidRPr="002B7637" w:rsidRDefault="00797FEC" w:rsidP="002B7637">
      <w:pPr>
        <w:spacing w:after="0"/>
        <w:ind w:left="720" w:hanging="720"/>
        <w:rPr>
          <w:rFonts w:ascii="Times New Roman" w:hAnsi="Times New Roman" w:cs="Times New Roman"/>
          <w:sz w:val="24"/>
          <w:szCs w:val="24"/>
        </w:rPr>
      </w:pPr>
    </w:p>
    <w:sectPr w:rsidR="00797FEC" w:rsidRPr="002B7637" w:rsidSect="006D74B0">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7E586" w14:textId="77777777" w:rsidR="00D36C61" w:rsidRDefault="00D36C61" w:rsidP="00857484">
      <w:pPr>
        <w:spacing w:after="0" w:line="240" w:lineRule="auto"/>
      </w:pPr>
      <w:r>
        <w:separator/>
      </w:r>
    </w:p>
  </w:endnote>
  <w:endnote w:type="continuationSeparator" w:id="0">
    <w:p w14:paraId="111A763F" w14:textId="77777777" w:rsidR="00D36C61" w:rsidRDefault="00D36C61" w:rsidP="00857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3306482"/>
      <w:docPartObj>
        <w:docPartGallery w:val="Page Numbers (Bottom of Page)"/>
        <w:docPartUnique/>
      </w:docPartObj>
    </w:sdtPr>
    <w:sdtEndPr>
      <w:rPr>
        <w:noProof/>
      </w:rPr>
    </w:sdtEndPr>
    <w:sdtContent>
      <w:p w14:paraId="32E48E48" w14:textId="3DDABA86" w:rsidR="0023068C" w:rsidRDefault="0023068C">
        <w:pPr>
          <w:pStyle w:val="Footer"/>
          <w:jc w:val="center"/>
        </w:pPr>
        <w:r>
          <w:t>S-</w:t>
        </w:r>
        <w:r>
          <w:fldChar w:fldCharType="begin"/>
        </w:r>
        <w:r>
          <w:instrText xml:space="preserve"> PAGE   \* MERGEFORMAT </w:instrText>
        </w:r>
        <w:r>
          <w:fldChar w:fldCharType="separate"/>
        </w:r>
        <w:r>
          <w:rPr>
            <w:noProof/>
          </w:rPr>
          <w:t>2</w:t>
        </w:r>
        <w:r>
          <w:rPr>
            <w:noProof/>
          </w:rPr>
          <w:fldChar w:fldCharType="end"/>
        </w:r>
      </w:p>
    </w:sdtContent>
  </w:sdt>
  <w:p w14:paraId="337C5691" w14:textId="77777777" w:rsidR="0023068C" w:rsidRDefault="002306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5127F" w14:textId="77777777" w:rsidR="00D36C61" w:rsidRDefault="00D36C61" w:rsidP="00857484">
      <w:pPr>
        <w:spacing w:after="0" w:line="240" w:lineRule="auto"/>
      </w:pPr>
      <w:r>
        <w:separator/>
      </w:r>
    </w:p>
  </w:footnote>
  <w:footnote w:type="continuationSeparator" w:id="0">
    <w:p w14:paraId="1DDED165" w14:textId="77777777" w:rsidR="00D36C61" w:rsidRDefault="00D36C61" w:rsidP="008574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8462F" w14:textId="77777777" w:rsidR="00857484" w:rsidRDefault="008574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A6F30" w14:textId="77777777" w:rsidR="006D74B0" w:rsidRDefault="006D74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5r0rxwd5xdzdjevea8va5t9292esx0v2vee&quot;&gt;Heatwave vulnerability&lt;record-ids&gt;&lt;item&gt;1&lt;/item&gt;&lt;item&gt;5&lt;/item&gt;&lt;item&gt;10&lt;/item&gt;&lt;item&gt;15&lt;/item&gt;&lt;item&gt;63&lt;/item&gt;&lt;item&gt;82&lt;/item&gt;&lt;item&gt;92&lt;/item&gt;&lt;item&gt;100&lt;/item&gt;&lt;item&gt;103&lt;/item&gt;&lt;item&gt;105&lt;/item&gt;&lt;item&gt;106&lt;/item&gt;&lt;item&gt;107&lt;/item&gt;&lt;item&gt;108&lt;/item&gt;&lt;item&gt;109&lt;/item&gt;&lt;item&gt;110&lt;/item&gt;&lt;item&gt;111&lt;/item&gt;&lt;item&gt;112&lt;/item&gt;&lt;item&gt;120&lt;/item&gt;&lt;item&gt;121&lt;/item&gt;&lt;item&gt;122&lt;/item&gt;&lt;item&gt;123&lt;/item&gt;&lt;item&gt;124&lt;/item&gt;&lt;item&gt;126&lt;/item&gt;&lt;item&gt;127&lt;/item&gt;&lt;item&gt;128&lt;/item&gt;&lt;item&gt;129&lt;/item&gt;&lt;item&gt;148&lt;/item&gt;&lt;/record-ids&gt;&lt;/item&gt;&lt;/Libraries&gt;"/>
  </w:docVars>
  <w:rsids>
    <w:rsidRoot w:val="00F92B92"/>
    <w:rsid w:val="00037DCB"/>
    <w:rsid w:val="0004636B"/>
    <w:rsid w:val="0009329A"/>
    <w:rsid w:val="00171192"/>
    <w:rsid w:val="001B32DB"/>
    <w:rsid w:val="001F3D84"/>
    <w:rsid w:val="0023068C"/>
    <w:rsid w:val="002B7637"/>
    <w:rsid w:val="002F560F"/>
    <w:rsid w:val="003A4FE8"/>
    <w:rsid w:val="00490EEF"/>
    <w:rsid w:val="00545823"/>
    <w:rsid w:val="005A6796"/>
    <w:rsid w:val="005D6995"/>
    <w:rsid w:val="00624584"/>
    <w:rsid w:val="006314BF"/>
    <w:rsid w:val="00634AB1"/>
    <w:rsid w:val="006C51E9"/>
    <w:rsid w:val="006D74B0"/>
    <w:rsid w:val="006E3C22"/>
    <w:rsid w:val="00716DB8"/>
    <w:rsid w:val="00797FEC"/>
    <w:rsid w:val="00841210"/>
    <w:rsid w:val="0085595A"/>
    <w:rsid w:val="00857484"/>
    <w:rsid w:val="00922CDA"/>
    <w:rsid w:val="009C0F63"/>
    <w:rsid w:val="009D1FA5"/>
    <w:rsid w:val="00A17A31"/>
    <w:rsid w:val="00A6721E"/>
    <w:rsid w:val="00A835C2"/>
    <w:rsid w:val="00AA186E"/>
    <w:rsid w:val="00AF28F7"/>
    <w:rsid w:val="00B06DA9"/>
    <w:rsid w:val="00B132CC"/>
    <w:rsid w:val="00B96F61"/>
    <w:rsid w:val="00D005FB"/>
    <w:rsid w:val="00D36C61"/>
    <w:rsid w:val="00DA2D60"/>
    <w:rsid w:val="00EB22DE"/>
    <w:rsid w:val="00EB5811"/>
    <w:rsid w:val="00ED7A24"/>
    <w:rsid w:val="00F6666C"/>
    <w:rsid w:val="00F92B92"/>
    <w:rsid w:val="00FE4FFF"/>
    <w:rsid w:val="00FF0F29"/>
    <w:rsid w:val="00FF6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2F36B3"/>
  <w14:defaultImageDpi w14:val="32767"/>
  <w15:chartTrackingRefBased/>
  <w15:docId w15:val="{B2D7C04E-9281-4FD8-9E8D-7CE53F172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7A31"/>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A17A3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8574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7484"/>
  </w:style>
  <w:style w:type="paragraph" w:styleId="Footer">
    <w:name w:val="footer"/>
    <w:basedOn w:val="Normal"/>
    <w:link w:val="FooterChar"/>
    <w:uiPriority w:val="99"/>
    <w:unhideWhenUsed/>
    <w:rsid w:val="008574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7484"/>
  </w:style>
  <w:style w:type="character" w:styleId="Hyperlink">
    <w:name w:val="Hyperlink"/>
    <w:basedOn w:val="DefaultParagraphFont"/>
    <w:uiPriority w:val="99"/>
    <w:unhideWhenUsed/>
    <w:rsid w:val="00FE4FFF"/>
    <w:rPr>
      <w:color w:val="0563C1" w:themeColor="hyperlink"/>
      <w:u w:val="single"/>
    </w:rPr>
  </w:style>
  <w:style w:type="character" w:styleId="CommentReference">
    <w:name w:val="annotation reference"/>
    <w:basedOn w:val="DefaultParagraphFont"/>
    <w:uiPriority w:val="99"/>
    <w:semiHidden/>
    <w:unhideWhenUsed/>
    <w:rsid w:val="00FE4FFF"/>
    <w:rPr>
      <w:sz w:val="16"/>
      <w:szCs w:val="16"/>
    </w:rPr>
  </w:style>
  <w:style w:type="paragraph" w:styleId="CommentText">
    <w:name w:val="annotation text"/>
    <w:basedOn w:val="Normal"/>
    <w:link w:val="CommentTextChar"/>
    <w:uiPriority w:val="99"/>
    <w:unhideWhenUsed/>
    <w:rsid w:val="00FE4FFF"/>
    <w:pPr>
      <w:spacing w:line="240" w:lineRule="auto"/>
    </w:pPr>
    <w:rPr>
      <w:sz w:val="20"/>
      <w:szCs w:val="20"/>
    </w:rPr>
  </w:style>
  <w:style w:type="character" w:customStyle="1" w:styleId="CommentTextChar">
    <w:name w:val="Comment Text Char"/>
    <w:basedOn w:val="DefaultParagraphFont"/>
    <w:link w:val="CommentText"/>
    <w:uiPriority w:val="99"/>
    <w:rsid w:val="00FE4FFF"/>
    <w:rPr>
      <w:sz w:val="20"/>
      <w:szCs w:val="20"/>
    </w:rPr>
  </w:style>
  <w:style w:type="paragraph" w:customStyle="1" w:styleId="EndNoteBibliographyTitle">
    <w:name w:val="EndNote Bibliography Title"/>
    <w:basedOn w:val="Normal"/>
    <w:link w:val="EndNoteBibliographyTitleChar"/>
    <w:rsid w:val="005D699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5D6995"/>
    <w:rPr>
      <w:rFonts w:ascii="Calibri" w:hAnsi="Calibri" w:cs="Calibri"/>
      <w:noProof/>
    </w:rPr>
  </w:style>
  <w:style w:type="paragraph" w:customStyle="1" w:styleId="EndNoteBibliography">
    <w:name w:val="EndNote Bibliography"/>
    <w:basedOn w:val="Normal"/>
    <w:link w:val="EndNoteBibliographyChar"/>
    <w:rsid w:val="005D699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5D6995"/>
    <w:rPr>
      <w:rFonts w:ascii="Calibri" w:hAnsi="Calibri" w:cs="Calibri"/>
      <w:noProof/>
    </w:rPr>
  </w:style>
  <w:style w:type="paragraph" w:styleId="Revision">
    <w:name w:val="Revision"/>
    <w:hidden/>
    <w:uiPriority w:val="99"/>
    <w:semiHidden/>
    <w:rsid w:val="00AA186E"/>
    <w:pPr>
      <w:spacing w:after="0" w:line="240" w:lineRule="auto"/>
    </w:pPr>
  </w:style>
  <w:style w:type="character" w:styleId="UnresolvedMention">
    <w:name w:val="Unresolved Mention"/>
    <w:basedOn w:val="DefaultParagraphFont"/>
    <w:uiPriority w:val="99"/>
    <w:semiHidden/>
    <w:unhideWhenUsed/>
    <w:rsid w:val="002B7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8</Pages>
  <Words>1703</Words>
  <Characters>9712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Sarfaraz Adnan</dc:creator>
  <cp:keywords/>
  <dc:description/>
  <cp:lastModifiedBy>Sarfaraz Adnan</cp:lastModifiedBy>
  <cp:revision>10</cp:revision>
  <dcterms:created xsi:type="dcterms:W3CDTF">2023-04-08T03:46:00Z</dcterms:created>
  <dcterms:modified xsi:type="dcterms:W3CDTF">2023-04-09T13:32:00Z</dcterms:modified>
</cp:coreProperties>
</file>