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D88163" w14:textId="77777777" w:rsidR="007C6BE4" w:rsidRDefault="00E85B86" w:rsidP="00E85B86">
      <w:pPr>
        <w:jc w:val="center"/>
      </w:pPr>
      <w:r>
        <w:rPr>
          <w:noProof/>
        </w:rPr>
        <w:drawing>
          <wp:inline distT="0" distB="0" distL="0" distR="0" wp14:anchorId="7BAD5135" wp14:editId="7F54719B">
            <wp:extent cx="5939155" cy="5323066"/>
            <wp:effectExtent l="0" t="0" r="0" b="0"/>
            <wp:docPr id="3" name="Picture 3" descr="F:\2020 manuscipts\COVID -19 Submitted manuscript\FINAL 13 MAY 2020\SUPPLIMENTRY FUGURS\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2020 manuscipts\COVID -19 Submitted manuscript\FINAL 13 MAY 2020\SUPPLIMENTRY FUGURS\S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294" cy="5335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E86FD0" w14:textId="77777777" w:rsidR="00E41684" w:rsidRPr="00E41684" w:rsidRDefault="00911954" w:rsidP="00E41684">
      <w:pPr>
        <w:jc w:val="both"/>
        <w:rPr>
          <w:rFonts w:ascii="Times New Roman" w:eastAsia="Calibri" w:hAnsi="Times New Roman" w:cs="Times New Roman"/>
          <w:b/>
          <w:bCs/>
          <w:sz w:val="24"/>
        </w:rPr>
      </w:pPr>
      <w:r w:rsidRPr="00E41684">
        <w:rPr>
          <w:rFonts w:ascii="Times New Roman" w:hAnsi="Times New Roman" w:cs="Times New Roman"/>
          <w:b/>
        </w:rPr>
        <w:t xml:space="preserve">Fig. S1: </w:t>
      </w:r>
      <w:r w:rsidR="00E41684" w:rsidRPr="00E41684">
        <w:rPr>
          <w:rFonts w:ascii="Times New Roman" w:hAnsi="Times New Roman" w:cs="Times New Roman"/>
          <w:b/>
        </w:rPr>
        <w:t xml:space="preserve"> </w:t>
      </w:r>
      <w:r w:rsidR="00E41684" w:rsidRPr="006F7899">
        <w:rPr>
          <w:rFonts w:ascii="Times New Roman" w:eastAsia="Calibri" w:hAnsi="Times New Roman" w:cs="Times New Roman"/>
          <w:b/>
          <w:bCs/>
          <w:sz w:val="24"/>
        </w:rPr>
        <w:t xml:space="preserve">Interactions between targeted protein receptor SARS-CoV-2 spike glycoprotein (PDB ID: 6VXX) with </w:t>
      </w:r>
      <w:r w:rsidR="00C52985" w:rsidRPr="006F7899">
        <w:rPr>
          <w:rFonts w:ascii="Times New Roman" w:eastAsia="Calibri" w:hAnsi="Times New Roman" w:cs="Times New Roman"/>
          <w:b/>
          <w:bCs/>
          <w:sz w:val="24"/>
        </w:rPr>
        <w:t xml:space="preserve">Carvacrol (A), Chloroquine (B) </w:t>
      </w:r>
      <w:r w:rsidR="00E41684" w:rsidRPr="006F7899">
        <w:rPr>
          <w:rFonts w:ascii="Times New Roman" w:eastAsia="Calibri" w:hAnsi="Times New Roman" w:cs="Times New Roman"/>
          <w:b/>
          <w:bCs/>
          <w:sz w:val="24"/>
        </w:rPr>
        <w:t xml:space="preserve">using Chimera and </w:t>
      </w:r>
      <w:proofErr w:type="spellStart"/>
      <w:r w:rsidR="00E41684" w:rsidRPr="006F7899">
        <w:rPr>
          <w:rFonts w:ascii="Times New Roman" w:eastAsia="Calibri" w:hAnsi="Times New Roman" w:cs="Times New Roman"/>
          <w:b/>
          <w:bCs/>
          <w:sz w:val="24"/>
        </w:rPr>
        <w:t>LigPlot</w:t>
      </w:r>
      <w:proofErr w:type="spellEnd"/>
      <w:r w:rsidR="00E41684" w:rsidRPr="006F7899">
        <w:rPr>
          <w:rFonts w:ascii="Times New Roman" w:eastAsia="Calibri" w:hAnsi="Times New Roman" w:cs="Times New Roman"/>
          <w:b/>
          <w:bCs/>
          <w:sz w:val="24"/>
        </w:rPr>
        <w:t xml:space="preserve"> analysis</w:t>
      </w:r>
    </w:p>
    <w:p w14:paraId="57162A0F" w14:textId="77777777" w:rsidR="00911954" w:rsidRPr="00E41684" w:rsidRDefault="00911954">
      <w:pPr>
        <w:rPr>
          <w:rFonts w:ascii="Times New Roman" w:hAnsi="Times New Roman" w:cs="Times New Roman"/>
          <w:b/>
        </w:rPr>
      </w:pPr>
    </w:p>
    <w:p w14:paraId="08585915" w14:textId="77777777" w:rsidR="00911954" w:rsidRDefault="00911954"/>
    <w:p w14:paraId="405E2B55" w14:textId="77777777" w:rsidR="00911954" w:rsidRDefault="00911954"/>
    <w:p w14:paraId="77B13843" w14:textId="77777777" w:rsidR="00911954" w:rsidRPr="00911954" w:rsidRDefault="00E85B86" w:rsidP="00E85B86">
      <w:pPr>
        <w:jc w:val="center"/>
      </w:pPr>
      <w:r>
        <w:rPr>
          <w:noProof/>
        </w:rPr>
        <w:lastRenderedPageBreak/>
        <w:drawing>
          <wp:inline distT="0" distB="0" distL="0" distR="0" wp14:anchorId="0AF190CF" wp14:editId="00EC6261">
            <wp:extent cx="5999194" cy="4693920"/>
            <wp:effectExtent l="0" t="0" r="0" b="0"/>
            <wp:docPr id="2" name="Picture 2" descr="F:\2020 manuscipts\COVID -19 Submitted manuscript\FINAL 13 MAY 2020\SUPPLIMENTRY FUGURS\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2020 manuscipts\COVID -19 Submitted manuscript\FINAL 13 MAY 2020\SUPPLIMENTRY FUGURS\S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887" cy="470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C8611E" w14:textId="77777777" w:rsidR="00E41684" w:rsidRPr="00E41684" w:rsidRDefault="00911954" w:rsidP="00E41684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41684">
        <w:rPr>
          <w:rFonts w:ascii="Times New Roman" w:hAnsi="Times New Roman" w:cs="Times New Roman"/>
          <w:b/>
          <w:sz w:val="24"/>
          <w:szCs w:val="24"/>
        </w:rPr>
        <w:t>Fig. S2</w:t>
      </w:r>
      <w:r w:rsidRPr="006F7899">
        <w:rPr>
          <w:rFonts w:ascii="Times New Roman" w:hAnsi="Times New Roman" w:cs="Times New Roman"/>
          <w:b/>
          <w:sz w:val="24"/>
          <w:szCs w:val="24"/>
        </w:rPr>
        <w:t>:</w:t>
      </w:r>
      <w:r w:rsidR="00E41684" w:rsidRPr="006F78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1684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Interactions between targeted protein receptor SARS-CoV-2 spike ectodomain structure (PDB ID: 6VYB) with </w:t>
      </w:r>
      <w:r w:rsidR="00A17C8F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Thymol (A), Carvacrol </w:t>
      </w:r>
      <w:r w:rsidR="00E41684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>(B)</w:t>
      </w:r>
      <w:r w:rsidR="00A17C8F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and Chloroquine (C)</w:t>
      </w:r>
      <w:r w:rsidR="00E41684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using Chimera and </w:t>
      </w:r>
      <w:proofErr w:type="spellStart"/>
      <w:r w:rsidR="00E41684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>LigPlot</w:t>
      </w:r>
      <w:proofErr w:type="spellEnd"/>
      <w:r w:rsidR="00E41684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analysis.</w:t>
      </w:r>
      <w:r w:rsidR="00E41684" w:rsidRPr="00E4168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14:paraId="7642A29F" w14:textId="77777777" w:rsidR="00911954" w:rsidRDefault="00911954" w:rsidP="00911954">
      <w:pPr>
        <w:tabs>
          <w:tab w:val="left" w:pos="4004"/>
        </w:tabs>
      </w:pPr>
    </w:p>
    <w:p w14:paraId="7565AF16" w14:textId="77777777" w:rsidR="00911954" w:rsidRDefault="00911954" w:rsidP="00911954">
      <w:pPr>
        <w:tabs>
          <w:tab w:val="left" w:pos="4004"/>
        </w:tabs>
      </w:pPr>
    </w:p>
    <w:p w14:paraId="58FACC9C" w14:textId="77777777" w:rsidR="00911954" w:rsidRDefault="00E85B86" w:rsidP="00911954">
      <w:pPr>
        <w:tabs>
          <w:tab w:val="left" w:pos="4004"/>
        </w:tabs>
      </w:pPr>
      <w:r>
        <w:rPr>
          <w:noProof/>
        </w:rPr>
        <w:lastRenderedPageBreak/>
        <w:drawing>
          <wp:inline distT="0" distB="0" distL="0" distR="0" wp14:anchorId="55DCCBD2" wp14:editId="10500B73">
            <wp:extent cx="6290740" cy="4960620"/>
            <wp:effectExtent l="0" t="0" r="0" b="0"/>
            <wp:docPr id="1" name="Picture 1" descr="F:\2020 manuscipts\COVID -19 Submitted manuscript\FINAL 13 MAY 2020\SUPPLIMENTRY FUGURS\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0 manuscipts\COVID -19 Submitted manuscript\FINAL 13 MAY 2020\SUPPLIMENTRY FUGURS\S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0117" cy="497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88872FC" w14:textId="77777777" w:rsidR="00E41684" w:rsidRPr="00E41684" w:rsidRDefault="00E41684" w:rsidP="00E41684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7899">
        <w:rPr>
          <w:rFonts w:ascii="Times New Roman" w:hAnsi="Times New Roman" w:cs="Times New Roman"/>
          <w:b/>
          <w:sz w:val="24"/>
          <w:szCs w:val="24"/>
        </w:rPr>
        <w:t>Fig. S3</w:t>
      </w:r>
      <w:r w:rsidR="00911954" w:rsidRPr="006F7899">
        <w:rPr>
          <w:rFonts w:ascii="Times New Roman" w:hAnsi="Times New Roman" w:cs="Times New Roman"/>
          <w:b/>
          <w:sz w:val="24"/>
          <w:szCs w:val="24"/>
        </w:rPr>
        <w:t>:</w:t>
      </w:r>
      <w:r w:rsidRPr="006F789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Interactions between targeted protein receptor SARS coronavirus spike receptor-binding domain (PDB ID: 2AJF) with </w:t>
      </w:r>
      <w:r w:rsidR="00A17C8F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>Thymol</w:t>
      </w:r>
      <w:r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(A),</w:t>
      </w:r>
      <w:r w:rsidR="00A17C8F"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Emodin, (B) Chloroquine (C)</w:t>
      </w:r>
      <w:r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using Chimera and </w:t>
      </w:r>
      <w:proofErr w:type="spellStart"/>
      <w:r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>LigPlot</w:t>
      </w:r>
      <w:proofErr w:type="spellEnd"/>
      <w:r w:rsidRPr="006F789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analysis.</w:t>
      </w:r>
      <w:r w:rsidRPr="00E4168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5B0001F" w14:textId="77777777" w:rsidR="00911954" w:rsidRDefault="00911954" w:rsidP="00911954">
      <w:pPr>
        <w:tabs>
          <w:tab w:val="left" w:pos="4004"/>
        </w:tabs>
      </w:pPr>
    </w:p>
    <w:p w14:paraId="1C015F2F" w14:textId="77777777" w:rsidR="00911954" w:rsidRPr="00911954" w:rsidRDefault="00911954" w:rsidP="00911954">
      <w:pPr>
        <w:tabs>
          <w:tab w:val="left" w:pos="4004"/>
        </w:tabs>
      </w:pPr>
    </w:p>
    <w:sectPr w:rsidR="00911954" w:rsidRPr="00911954" w:rsidSect="007C6B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954"/>
    <w:rsid w:val="003603A5"/>
    <w:rsid w:val="003B40F3"/>
    <w:rsid w:val="006A58C1"/>
    <w:rsid w:val="006F7899"/>
    <w:rsid w:val="007575AD"/>
    <w:rsid w:val="007C6BE4"/>
    <w:rsid w:val="00911954"/>
    <w:rsid w:val="00A17C8F"/>
    <w:rsid w:val="00C52985"/>
    <w:rsid w:val="00E41684"/>
    <w:rsid w:val="00E8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9EAB3"/>
  <w15:docId w15:val="{D9130A49-8E6A-45F3-A8EB-5A94A0F8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B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1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9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pc</dc:creator>
  <cp:lastModifiedBy>Dell</cp:lastModifiedBy>
  <cp:revision>2</cp:revision>
  <dcterms:created xsi:type="dcterms:W3CDTF">2020-05-22T04:06:00Z</dcterms:created>
  <dcterms:modified xsi:type="dcterms:W3CDTF">2020-05-22T04:06:00Z</dcterms:modified>
</cp:coreProperties>
</file>