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9F9D4" w14:textId="77777777" w:rsidR="00231F97" w:rsidRDefault="00231F97" w:rsidP="00231F97">
      <w:pPr>
        <w:spacing w:line="48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S</w:t>
      </w:r>
      <w:r>
        <w:rPr>
          <w:b/>
          <w:bCs/>
          <w:sz w:val="24"/>
        </w:rPr>
        <w:t>upplementary Information</w:t>
      </w:r>
    </w:p>
    <w:p w14:paraId="1512082B" w14:textId="77777777" w:rsidR="00231F97" w:rsidRDefault="00231F97" w:rsidP="00231F97">
      <w:pPr>
        <w:spacing w:line="480" w:lineRule="auto"/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b/>
          <w:bCs/>
          <w:sz w:val="24"/>
        </w:rPr>
        <w:t>dditional file 1:</w:t>
      </w:r>
      <w:r>
        <w:rPr>
          <w:sz w:val="24"/>
        </w:rPr>
        <w:t xml:space="preserve"> </w:t>
      </w:r>
      <w:r>
        <w:rPr>
          <w:b/>
          <w:bCs/>
          <w:sz w:val="24"/>
        </w:rPr>
        <w:t>Table S1-S4.</w:t>
      </w:r>
      <w:r>
        <w:rPr>
          <w:sz w:val="24"/>
        </w:rPr>
        <w:t xml:space="preserve"> Detailed information of genetic variants (passed all the sensitivity analyses) associated with Periodontal disease (Table S1); Lichen planus (Table S2); Oral ulcer (Table S3); Dental caries (Table S4). </w:t>
      </w:r>
      <w:r>
        <w:rPr>
          <w:b/>
          <w:bCs/>
          <w:sz w:val="24"/>
        </w:rPr>
        <w:t>Table S5-S40.</w:t>
      </w:r>
      <w:r>
        <w:t xml:space="preserve"> </w:t>
      </w:r>
      <w:r>
        <w:rPr>
          <w:sz w:val="24"/>
        </w:rPr>
        <w:t>Detailed information of a single database of genetic variants associated with IBD and its major subtypes.</w:t>
      </w:r>
    </w:p>
    <w:p w14:paraId="6FD01E67" w14:textId="77777777" w:rsidR="00231F97" w:rsidRDefault="00231F97" w:rsidP="00231F97">
      <w:pPr>
        <w:spacing w:line="480" w:lineRule="auto"/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b/>
          <w:bCs/>
          <w:sz w:val="24"/>
        </w:rPr>
        <w:t>dditional file 2: Table S1.</w:t>
      </w:r>
      <w:r>
        <w:t xml:space="preserve"> </w:t>
      </w:r>
      <w:r>
        <w:rPr>
          <w:sz w:val="24"/>
        </w:rPr>
        <w:t>Effect estimation of complementary approaches for the association of genetic instrumental variables in oral diseases with risk of IBD.</w:t>
      </w:r>
      <w:r>
        <w:rPr>
          <w:rFonts w:hint="eastAsia"/>
          <w:sz w:val="24"/>
        </w:rPr>
        <w:t xml:space="preserve"> </w:t>
      </w:r>
      <w:r>
        <w:rPr>
          <w:b/>
          <w:bCs/>
          <w:sz w:val="24"/>
        </w:rPr>
        <w:t>Table S2.</w:t>
      </w:r>
      <w:r>
        <w:t xml:space="preserve"> </w:t>
      </w:r>
      <w:r>
        <w:rPr>
          <w:sz w:val="24"/>
        </w:rPr>
        <w:t>Effect estimation of complementary approaches for the association of genetic instrumental variables in IBD with risk of oral disease.</w:t>
      </w:r>
    </w:p>
    <w:p w14:paraId="1E2B4BE2" w14:textId="77777777" w:rsidR="00231F97" w:rsidRDefault="00231F97" w:rsidP="00231F97">
      <w:pPr>
        <w:spacing w:line="480" w:lineRule="auto"/>
        <w:rPr>
          <w:sz w:val="24"/>
        </w:rPr>
      </w:pPr>
      <w:r>
        <w:rPr>
          <w:rFonts w:hint="eastAsia"/>
          <w:b/>
          <w:bCs/>
          <w:sz w:val="24"/>
        </w:rPr>
        <w:t>A</w:t>
      </w:r>
      <w:r>
        <w:rPr>
          <w:b/>
          <w:bCs/>
          <w:sz w:val="24"/>
        </w:rPr>
        <w:t>dditional file 3: Figure S1.</w:t>
      </w:r>
      <w:r>
        <w:rPr>
          <w:sz w:val="24"/>
        </w:rPr>
        <w:t xml:space="preserve"> Scatter plot of MR analysis from lichen planus to inflammatory bowel disease and its two main subtypes. </w:t>
      </w:r>
      <w:r>
        <w:rPr>
          <w:b/>
          <w:bCs/>
          <w:sz w:val="24"/>
        </w:rPr>
        <w:t>Figure S2.</w:t>
      </w:r>
      <w:r>
        <w:rPr>
          <w:sz w:val="24"/>
        </w:rPr>
        <w:t xml:space="preserve"> leave-one-out sensitivity analysis from lichen planus to inflammatory bowel disease and its two main subtypes. </w:t>
      </w:r>
      <w:r>
        <w:rPr>
          <w:b/>
          <w:bCs/>
          <w:sz w:val="24"/>
        </w:rPr>
        <w:t xml:space="preserve">Figure S3-S5. </w:t>
      </w:r>
      <w:r>
        <w:rPr>
          <w:sz w:val="24"/>
        </w:rPr>
        <w:t xml:space="preserve">Scatter plot of MR analysis from inflammatory bowel disease and its two main subtypes to Periodontal disease (Figure S3); Lichen planus (Figure S4); Oral ulcer (Figure S5). </w:t>
      </w:r>
      <w:r>
        <w:rPr>
          <w:b/>
          <w:bCs/>
          <w:sz w:val="24"/>
        </w:rPr>
        <w:t>Figure S6-S8.</w:t>
      </w:r>
      <w:r>
        <w:rPr>
          <w:sz w:val="24"/>
        </w:rPr>
        <w:t xml:space="preserve"> leave-one-out sensitivity analysis from inflammatory bowel disease and its two main subtypes to Periodontal disease (Figure </w:t>
      </w:r>
      <w:r>
        <w:rPr>
          <w:rFonts w:hint="eastAsia"/>
          <w:sz w:val="24"/>
        </w:rPr>
        <w:t>S</w:t>
      </w:r>
      <w:r>
        <w:rPr>
          <w:sz w:val="24"/>
        </w:rPr>
        <w:t>6); Lichen planus (Figure S7); Oral ulcer (Figure S8).</w:t>
      </w:r>
    </w:p>
    <w:p w14:paraId="249BCF4F" w14:textId="77777777" w:rsidR="00E1715D" w:rsidRDefault="00231F9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97"/>
    <w:rsid w:val="001942F0"/>
    <w:rsid w:val="00231F97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6D8BE"/>
  <w15:chartTrackingRefBased/>
  <w15:docId w15:val="{4A224C5A-43D1-4589-8523-02A7F9E1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F9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1129</Characters>
  <Application>Microsoft Office Word</Application>
  <DocSecurity>0</DocSecurity>
  <Lines>9</Lines>
  <Paragraphs>2</Paragraphs>
  <ScaleCrop>false</ScaleCrop>
  <Company>Springer Nature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2023-07-06T14:10:00Z</dcterms:created>
  <dcterms:modified xsi:type="dcterms:W3CDTF">2023-07-06T14:10:00Z</dcterms:modified>
</cp:coreProperties>
</file>