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b/>
          <w:bCs/>
          <w:i/>
          <w:i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i/>
          <w:iCs/>
          <w:lang w:val="en-US" w:eastAsia="zh-CN"/>
        </w:rPr>
        <w:t>Supplementary Materials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Additional file 3: Fig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ure 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S1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catter plot of MR analysis from lichen planus to inflammatory bowel disease and its two main subtypes.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Additional file 3: Fig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ure 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S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2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leave-one-out sensitivity analysis from lichen planus to inflammatory bowel disease and its two main subtypes.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Additional file 3: Fig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ure 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S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3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catter plot of MR analysis from inflammatory bowel disease and its two main subtypes to periodontal disease.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Additional file 3: Fig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ure 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S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4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catter plot of MR analysis from inflammatory bowel disease and its two main subtypes to lichen planus.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Additional file 3: Fig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ure 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S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5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catter plot of MR analysis from inflammatory bowel disease and its two main subtypes to oral ulcer.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Additional file 3: Fig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ure 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S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6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leave-one-out sensitivity analysis from inflammatory bowel disease and its two main subtypes to periodontal disease.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Additional file 3: Fig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ure 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S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7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leave-one-out sensitivity analysis from inflammatory bowel disease and its two main subtypes to lichen planus.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Additional file 3: Fig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ure 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S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8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leave-one-out sensitivity analysis from inflammatory bowel disease and its two main subtypes to oral ulcer.</w:t>
      </w:r>
    </w:p>
    <w:p>
      <w:p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br w:type="page"/>
      </w:r>
    </w:p>
    <w:p>
      <w:pPr>
        <w:rPr>
          <w:rFonts w:hint="default" w:ascii="Times New Roman" w:hAnsi="Times New Roman" w:cs="Times New Roman"/>
          <w:b/>
          <w:bCs/>
          <w:lang w:val="en-US" w:eastAsia="zh-CN"/>
        </w:rPr>
      </w:pPr>
      <w:r>
        <w:rPr>
          <w:rFonts w:hint="default" w:ascii="Times New Roman" w:hAnsi="Times New Roman" w:cs="Times New Roman"/>
          <w:b/>
          <w:bCs/>
          <w:lang w:val="en-US" w:eastAsia="zh-CN"/>
        </w:rPr>
        <w:drawing>
          <wp:inline distT="0" distB="0" distL="114300" distR="114300">
            <wp:extent cx="6178550" cy="4642485"/>
            <wp:effectExtent l="0" t="0" r="6985" b="10160"/>
            <wp:docPr id="14" name="图片 14" descr="Figure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igure-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78550" cy="464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Additional file 3: Fig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ure 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S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1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catter plot of MR analysis from lichen planus to inflammatory bowel disease and its two main subtypes. [A-C] </w:t>
      </w:r>
      <w:r>
        <w:rPr>
          <w:rFonts w:hint="eastAsia" w:ascii="Times New Roman" w:hAnsi="Times New Roman" w:cs="Times New Roman"/>
          <w:szCs w:val="21"/>
        </w:rPr>
        <w:t xml:space="preserve">Scatter plot of MR analyses from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lichen planus</w:t>
      </w:r>
      <w:r>
        <w:rPr>
          <w:rFonts w:hint="eastAsia" w:ascii="Times New Roman" w:hAnsi="Times New Roman" w:cs="Times New Roman"/>
          <w:szCs w:val="21"/>
        </w:rPr>
        <w:t xml:space="preserve"> to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IBD (databases including de Lange et al., the IIBDGC and the FinnGen study). [D-F] </w:t>
      </w:r>
      <w:r>
        <w:rPr>
          <w:rFonts w:hint="eastAsia" w:ascii="Times New Roman" w:hAnsi="Times New Roman" w:cs="Times New Roman"/>
          <w:szCs w:val="21"/>
        </w:rPr>
        <w:t xml:space="preserve">Scatter plot of MR analyses from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lichen planus</w:t>
      </w:r>
      <w:r>
        <w:rPr>
          <w:rFonts w:hint="eastAsia" w:ascii="Times New Roman" w:hAnsi="Times New Roman" w:cs="Times New Roman"/>
          <w:szCs w:val="21"/>
        </w:rPr>
        <w:t xml:space="preserve"> to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CD (databases including de Lange et al., the IIBDGC and the FinnGen study). [G-I] </w:t>
      </w:r>
      <w:r>
        <w:rPr>
          <w:rFonts w:hint="eastAsia" w:ascii="Times New Roman" w:hAnsi="Times New Roman" w:cs="Times New Roman"/>
          <w:szCs w:val="21"/>
        </w:rPr>
        <w:t xml:space="preserve">Scatter plot of MR analyses from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lichen planus</w:t>
      </w:r>
      <w:r>
        <w:rPr>
          <w:rFonts w:hint="eastAsia" w:ascii="Times New Roman" w:hAnsi="Times New Roman" w:cs="Times New Roman"/>
          <w:szCs w:val="21"/>
        </w:rPr>
        <w:t xml:space="preserve"> to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UC (databases including de Lange et al., the IIBDGC and the FinnGen study). </w:t>
      </w:r>
    </w:p>
    <w:p>
      <w:p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page"/>
      </w:r>
      <w:bookmarkStart w:id="0" w:name="_GoBack"/>
      <w:bookmarkEnd w:id="0"/>
    </w:p>
    <w:p>
      <w:p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-81280</wp:posOffset>
            </wp:positionH>
            <wp:positionV relativeFrom="paragraph">
              <wp:posOffset>69215</wp:posOffset>
            </wp:positionV>
            <wp:extent cx="6262370" cy="4867910"/>
            <wp:effectExtent l="0" t="0" r="9525" b="635"/>
            <wp:wrapThrough wrapText="bothSides">
              <wp:wrapPolygon>
                <wp:start x="0" y="0"/>
                <wp:lineTo x="0" y="21363"/>
                <wp:lineTo x="21372" y="21363"/>
                <wp:lineTo x="21372" y="0"/>
                <wp:lineTo x="0" y="0"/>
              </wp:wrapPolygon>
            </wp:wrapThrough>
            <wp:docPr id="15" name="图片 15" descr="Figure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igure-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62370" cy="4867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default" w:ascii="Times New Roman" w:hAnsi="Times New Roman" w:cs="Times New Roman" w:eastAsia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Additional file 3: Fig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ure 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S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2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Leave-one-out sensitivity analysis from lichen planus to inflammatory bowel disease and its two main subtypes. [A-C] </w:t>
      </w:r>
      <w:r>
        <w:rPr>
          <w:rFonts w:hint="eastAsia" w:ascii="Times New Roman" w:hAnsi="Times New Roman" w:cs="Times New Roman"/>
          <w:szCs w:val="21"/>
        </w:rPr>
        <w:t xml:space="preserve">Sensitivity analysis plot for the leave-one-out method for </w:t>
      </w:r>
      <w:r>
        <w:rPr>
          <w:rFonts w:hint="eastAsia" w:ascii="Times New Roman" w:hAnsi="Times New Roman" w:cs="Times New Roman"/>
          <w:szCs w:val="21"/>
          <w:lang w:val="en-US" w:eastAsia="zh-CN"/>
        </w:rPr>
        <w:t>lichen planus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to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IBD (databases include, from left to right, de Lange et al., the IIBDGC and the FinnGen study)</w:t>
      </w:r>
      <w:r>
        <w:rPr>
          <w:rFonts w:hint="eastAsia" w:ascii="Times New Roman" w:hAnsi="Times New Roman" w:cs="Times New Roman"/>
          <w:szCs w:val="21"/>
        </w:rPr>
        <w:t>.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[D-F] </w:t>
      </w:r>
      <w:r>
        <w:rPr>
          <w:rFonts w:hint="eastAsia" w:ascii="Times New Roman" w:hAnsi="Times New Roman" w:cs="Times New Roman"/>
          <w:szCs w:val="21"/>
        </w:rPr>
        <w:t xml:space="preserve">Sensitivity analysis plot for the leave-one-out method for </w:t>
      </w:r>
      <w:r>
        <w:rPr>
          <w:rFonts w:hint="eastAsia" w:ascii="Times New Roman" w:hAnsi="Times New Roman" w:cs="Times New Roman"/>
          <w:szCs w:val="21"/>
          <w:lang w:val="en-US" w:eastAsia="zh-CN"/>
        </w:rPr>
        <w:t>lichen planus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to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CD (databases include, from left to right, de Lange et al., the IIBDGC and the FinnGen study)</w:t>
      </w:r>
      <w:r>
        <w:rPr>
          <w:rFonts w:hint="eastAsia" w:ascii="Times New Roman" w:hAnsi="Times New Roman" w:cs="Times New Roman"/>
          <w:szCs w:val="21"/>
        </w:rPr>
        <w:t>.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[G-I] </w:t>
      </w:r>
      <w:r>
        <w:rPr>
          <w:rFonts w:hint="eastAsia" w:ascii="Times New Roman" w:hAnsi="Times New Roman" w:cs="Times New Roman"/>
          <w:szCs w:val="21"/>
        </w:rPr>
        <w:t xml:space="preserve">Sensitivity analysis plot for the leave-one-out method for </w:t>
      </w:r>
      <w:r>
        <w:rPr>
          <w:rFonts w:hint="eastAsia" w:ascii="Times New Roman" w:hAnsi="Times New Roman" w:cs="Times New Roman"/>
          <w:szCs w:val="21"/>
          <w:lang w:val="en-US" w:eastAsia="zh-CN"/>
        </w:rPr>
        <w:t>lichen planus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to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UC (databases include, from left to right, de Lange et al., the IIBDGC and the FinnGen study)</w:t>
      </w:r>
      <w:r>
        <w:rPr>
          <w:rFonts w:hint="eastAsia" w:ascii="Times New Roman" w:hAnsi="Times New Roman" w:cs="Times New Roman"/>
          <w:szCs w:val="21"/>
        </w:rPr>
        <w:t>.</w:t>
      </w:r>
    </w:p>
    <w:p>
      <w:p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page"/>
      </w:r>
    </w:p>
    <w:p>
      <w:p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drawing>
          <wp:inline distT="0" distB="0" distL="114300" distR="114300">
            <wp:extent cx="6181090" cy="4682490"/>
            <wp:effectExtent l="0" t="0" r="4445" b="2540"/>
            <wp:docPr id="4" name="图片 4" descr="Figure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-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81090" cy="468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Additional file 3: Fig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ure 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S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3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catter plot of MR analysis from inflammatory bowel disease and its two main subtypes to periodontal disease. [A-C] </w:t>
      </w:r>
      <w:r>
        <w:rPr>
          <w:rFonts w:hint="eastAsia" w:ascii="Times New Roman" w:hAnsi="Times New Roman" w:cs="Times New Roman"/>
          <w:szCs w:val="21"/>
        </w:rPr>
        <w:t xml:space="preserve">Scatter plot of MR analyses from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IBD (databases include, from left to right, de Lange et al., the IIBDGC and the FinnGen study) to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periodontal disease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. [D-F] </w:t>
      </w:r>
      <w:r>
        <w:rPr>
          <w:rFonts w:hint="eastAsia" w:ascii="Times New Roman" w:hAnsi="Times New Roman" w:cs="Times New Roman"/>
          <w:szCs w:val="21"/>
        </w:rPr>
        <w:t xml:space="preserve">Scatter plot of MR analyses from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CD (databases include, from left to right, de Lange et al., the IIBDGC and the FinnGen study) to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periodontal disease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. [G-I] </w:t>
      </w:r>
      <w:r>
        <w:rPr>
          <w:rFonts w:hint="eastAsia" w:ascii="Times New Roman" w:hAnsi="Times New Roman" w:cs="Times New Roman"/>
          <w:szCs w:val="21"/>
        </w:rPr>
        <w:t xml:space="preserve">Scatter plot of MR analyses from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UC (databases include, from left to right, de Lange et al., the IIBDGC and the FinnGen study) to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periodontal disease</w:t>
      </w:r>
      <w:r>
        <w:rPr>
          <w:rFonts w:hint="eastAsia" w:ascii="Times New Roman" w:hAnsi="Times New Roman" w:cs="Times New Roman"/>
          <w:szCs w:val="21"/>
          <w:lang w:val="en-US" w:eastAsia="zh-CN"/>
        </w:rPr>
        <w:t>.</w:t>
      </w:r>
    </w:p>
    <w:p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page"/>
      </w:r>
    </w:p>
    <w:p>
      <w:pP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drawing>
          <wp:inline distT="0" distB="0" distL="114300" distR="114300">
            <wp:extent cx="6181090" cy="4528185"/>
            <wp:effectExtent l="0" t="0" r="4445" b="5715"/>
            <wp:docPr id="2" name="图片 2" descr="Figure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-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81090" cy="452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Additional file 3: Fig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ure 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S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4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catter plot of MR analysis from inflammatory bowel disease and its two main subtypes to lichen planus. [A-C] </w:t>
      </w:r>
      <w:r>
        <w:rPr>
          <w:rFonts w:hint="eastAsia" w:ascii="Times New Roman" w:hAnsi="Times New Roman" w:cs="Times New Roman"/>
          <w:szCs w:val="21"/>
        </w:rPr>
        <w:t xml:space="preserve">Scatter plot of MR analyses from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IBD (databases include, from left to right, de Lange et al., the IIBDGC and the FinnGen study) to lichen planus. [D-F] </w:t>
      </w:r>
      <w:r>
        <w:rPr>
          <w:rFonts w:hint="eastAsia" w:ascii="Times New Roman" w:hAnsi="Times New Roman" w:cs="Times New Roman"/>
          <w:szCs w:val="21"/>
        </w:rPr>
        <w:t xml:space="preserve">Scatter plot of MR analyses from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CD (databases include, from left to right, de Lange et al., the IIBDGC and the FinnGen study) to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periodontal disease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. [G-I] </w:t>
      </w:r>
      <w:r>
        <w:rPr>
          <w:rFonts w:hint="eastAsia" w:ascii="Times New Roman" w:hAnsi="Times New Roman" w:cs="Times New Roman"/>
          <w:szCs w:val="21"/>
        </w:rPr>
        <w:t xml:space="preserve">Scatter plot of MR analyses from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UC (databases include, from left to right, de Lange et al., the IIBDGC and the FinnGen study) to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periodontal disease</w:t>
      </w:r>
      <w:r>
        <w:rPr>
          <w:rFonts w:hint="eastAsia" w:ascii="Times New Roman" w:hAnsi="Times New Roman" w:cs="Times New Roman"/>
          <w:szCs w:val="21"/>
          <w:lang w:val="en-US" w:eastAsia="zh-CN"/>
        </w:rPr>
        <w:t>.</w:t>
      </w:r>
    </w:p>
    <w:p>
      <w:p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page"/>
      </w:r>
    </w:p>
    <w:p>
      <w:p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drawing>
          <wp:inline distT="0" distB="0" distL="114300" distR="114300">
            <wp:extent cx="6178550" cy="4552315"/>
            <wp:effectExtent l="0" t="0" r="6985" b="3175"/>
            <wp:docPr id="6" name="图片 6" descr="UC-口腔溃疡 Finn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UC-口腔溃疡 FinnGen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78550" cy="4552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Additional file 3: Fig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ure 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S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5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S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catter plot of MR analysis from inflammatory bowel disease and its two main subtypes to oral ulcer. [A-C] </w:t>
      </w:r>
      <w:r>
        <w:rPr>
          <w:rFonts w:hint="eastAsia" w:ascii="Times New Roman" w:hAnsi="Times New Roman" w:cs="Times New Roman"/>
          <w:szCs w:val="21"/>
        </w:rPr>
        <w:t>Scatter plot of MR analyses from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IBD (databases include, from left to right, de Lange et al., the IIBDGC and the FinnGen study) to lichen oral ulcer. [D-F] </w:t>
      </w:r>
      <w:r>
        <w:rPr>
          <w:rFonts w:hint="eastAsia" w:ascii="Times New Roman" w:hAnsi="Times New Roman" w:cs="Times New Roman"/>
          <w:szCs w:val="21"/>
        </w:rPr>
        <w:t>Scatter plot of MR analyses from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CD (databases include, from left to right, de Lange et al., the IIBDGC and the FinnGen study) to lichen oral ulcer. [G-I] </w:t>
      </w:r>
      <w:r>
        <w:rPr>
          <w:rFonts w:hint="eastAsia" w:ascii="Times New Roman" w:hAnsi="Times New Roman" w:cs="Times New Roman"/>
          <w:szCs w:val="21"/>
        </w:rPr>
        <w:t>Scatter plot of MR analyses from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UC (databases include, from left to right, de Lange et al., the IIBDGC and the FinnGen study) to lichen oral ulcer.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page"/>
      </w:r>
    </w:p>
    <w:p>
      <w:pP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drawing>
          <wp:inline distT="0" distB="0" distL="114300" distR="114300">
            <wp:extent cx="6181090" cy="5544820"/>
            <wp:effectExtent l="0" t="0" r="4445" b="3810"/>
            <wp:docPr id="1" name="图片 1" descr="Figure-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-6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81090" cy="5544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Additional file 3: Fig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ure 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S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6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leave-one-out sensitivity analysis from inflammatory bowel disease and its two main subtypes to periodontal disease. [A-C] </w:t>
      </w:r>
      <w:r>
        <w:rPr>
          <w:rFonts w:hint="eastAsia" w:ascii="Times New Roman" w:hAnsi="Times New Roman" w:cs="Times New Roman"/>
          <w:szCs w:val="21"/>
        </w:rPr>
        <w:t xml:space="preserve">Sensitivity analysis plot for the leave-one-out method for </w:t>
      </w:r>
      <w:r>
        <w:rPr>
          <w:rFonts w:hint="eastAsia" w:ascii="Times New Roman" w:hAnsi="Times New Roman" w:cs="Times New Roman"/>
          <w:szCs w:val="21"/>
          <w:lang w:val="en-US" w:eastAsia="zh-CN"/>
        </w:rPr>
        <w:t>IBD (databases include, from left to right, de Lange et al., the IIBDGC and the FinnGen study)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to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periodontal disease</w:t>
      </w:r>
      <w:r>
        <w:rPr>
          <w:rFonts w:hint="eastAsia" w:ascii="Times New Roman" w:hAnsi="Times New Roman" w:cs="Times New Roman"/>
          <w:szCs w:val="21"/>
        </w:rPr>
        <w:t>.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[D-F] </w:t>
      </w:r>
      <w:r>
        <w:rPr>
          <w:rFonts w:hint="eastAsia" w:ascii="Times New Roman" w:hAnsi="Times New Roman" w:cs="Times New Roman"/>
          <w:szCs w:val="21"/>
        </w:rPr>
        <w:t xml:space="preserve">Sensitivity analysis plot for the leave-one-out method for </w:t>
      </w:r>
      <w:r>
        <w:rPr>
          <w:rFonts w:hint="eastAsia" w:ascii="Times New Roman" w:hAnsi="Times New Roman" w:cs="Times New Roman"/>
          <w:szCs w:val="21"/>
          <w:lang w:val="en-US" w:eastAsia="zh-CN"/>
        </w:rPr>
        <w:t>CD (databases include, from left to right, de Lange et al., the IIBDGC and the FinnGen study)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to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periodontal disease</w:t>
      </w:r>
      <w:r>
        <w:rPr>
          <w:rFonts w:hint="eastAsia" w:ascii="Times New Roman" w:hAnsi="Times New Roman" w:cs="Times New Roman"/>
          <w:szCs w:val="21"/>
        </w:rPr>
        <w:t>.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[G-I] </w:t>
      </w:r>
      <w:r>
        <w:rPr>
          <w:rFonts w:hint="eastAsia" w:ascii="Times New Roman" w:hAnsi="Times New Roman" w:cs="Times New Roman"/>
          <w:szCs w:val="21"/>
        </w:rPr>
        <w:t xml:space="preserve">Sensitivity analysis plot for the leave-one-out method for </w:t>
      </w:r>
      <w:r>
        <w:rPr>
          <w:rFonts w:hint="eastAsia" w:ascii="Times New Roman" w:hAnsi="Times New Roman" w:cs="Times New Roman"/>
          <w:szCs w:val="21"/>
          <w:lang w:val="en-US" w:eastAsia="zh-CN"/>
        </w:rPr>
        <w:t>UC (databases include, from left to right, de Lange et al., the IIBDGC and the FinnGen study)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to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>periodontal disease</w:t>
      </w:r>
      <w:r>
        <w:rPr>
          <w:rFonts w:hint="eastAsia" w:ascii="Times New Roman" w:hAnsi="Times New Roman" w:cs="Times New Roman"/>
          <w:szCs w:val="21"/>
        </w:rPr>
        <w:t>.</w:t>
      </w:r>
    </w:p>
    <w:p>
      <w:p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page"/>
      </w:r>
    </w:p>
    <w:p>
      <w:p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  <w:drawing>
          <wp:inline distT="0" distB="0" distL="114300" distR="114300">
            <wp:extent cx="6181090" cy="5447030"/>
            <wp:effectExtent l="0" t="0" r="4445" b="4445"/>
            <wp:docPr id="7" name="图片 7" descr="Figure-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ure-1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1090" cy="5447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Additional file 3: Fig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ure 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S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7</w:t>
      </w:r>
      <w:r>
        <w:rPr>
          <w:rFonts w:hint="eastAsia" w:ascii="Times New Roman" w:hAnsi="Times New Roman" w:cs="Times New Roman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leave-one-out sensitivity analysis from inflammatory bowel disease and its two main subtypes to lichen planus. [A-C] </w:t>
      </w:r>
      <w:r>
        <w:rPr>
          <w:rFonts w:hint="eastAsia" w:ascii="Times New Roman" w:hAnsi="Times New Roman" w:cs="Times New Roman"/>
          <w:szCs w:val="21"/>
        </w:rPr>
        <w:t xml:space="preserve">Sensitivity analysis plot for the leave-one-out method for </w:t>
      </w:r>
      <w:r>
        <w:rPr>
          <w:rFonts w:hint="eastAsia" w:ascii="Times New Roman" w:hAnsi="Times New Roman" w:cs="Times New Roman"/>
          <w:szCs w:val="21"/>
          <w:lang w:val="en-US" w:eastAsia="zh-CN"/>
        </w:rPr>
        <w:t>IBD (databases include, from left to right, de Lange et al., the IIBDGC and the FinnGen study)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to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lichen planus</w:t>
      </w:r>
      <w:r>
        <w:rPr>
          <w:rFonts w:hint="eastAsia" w:ascii="Times New Roman" w:hAnsi="Times New Roman" w:cs="Times New Roman"/>
          <w:szCs w:val="21"/>
        </w:rPr>
        <w:t>.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[D-F] </w:t>
      </w:r>
      <w:r>
        <w:rPr>
          <w:rFonts w:hint="eastAsia" w:ascii="Times New Roman" w:hAnsi="Times New Roman" w:cs="Times New Roman"/>
          <w:szCs w:val="21"/>
        </w:rPr>
        <w:t xml:space="preserve">Sensitivity analysis plot for the leave-one-out method for </w:t>
      </w:r>
      <w:r>
        <w:rPr>
          <w:rFonts w:hint="eastAsia" w:ascii="Times New Roman" w:hAnsi="Times New Roman" w:cs="Times New Roman"/>
          <w:szCs w:val="21"/>
          <w:lang w:val="en-US" w:eastAsia="zh-CN"/>
        </w:rPr>
        <w:t>CD (databases include, from left to right, de Lange et al., the IIBDGC and the FinnGen study)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to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lichen planus</w:t>
      </w:r>
      <w:r>
        <w:rPr>
          <w:rFonts w:hint="eastAsia" w:ascii="Times New Roman" w:hAnsi="Times New Roman" w:cs="Times New Roman"/>
          <w:szCs w:val="21"/>
        </w:rPr>
        <w:t>.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[G-I] </w:t>
      </w:r>
      <w:r>
        <w:rPr>
          <w:rFonts w:hint="eastAsia" w:ascii="Times New Roman" w:hAnsi="Times New Roman" w:cs="Times New Roman"/>
          <w:szCs w:val="21"/>
        </w:rPr>
        <w:t xml:space="preserve">Sensitivity analysis plot for the leave-one-out method for </w:t>
      </w:r>
      <w:r>
        <w:rPr>
          <w:rFonts w:hint="eastAsia" w:ascii="Times New Roman" w:hAnsi="Times New Roman" w:cs="Times New Roman"/>
          <w:szCs w:val="21"/>
          <w:lang w:val="en-US" w:eastAsia="zh-CN"/>
        </w:rPr>
        <w:t>UC (databases include, from left to right, de Lange et al., the IIBDGC and the FinnGen study)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to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lichen planus</w:t>
      </w:r>
      <w:r>
        <w:rPr>
          <w:rFonts w:hint="eastAsia" w:ascii="Times New Roman" w:hAnsi="Times New Roman" w:cs="Times New Roman"/>
          <w:szCs w:val="21"/>
        </w:rPr>
        <w:t>.</w:t>
      </w:r>
    </w:p>
    <w:p>
      <w:p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br w:type="page"/>
      </w:r>
    </w:p>
    <w:p>
      <w:pP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drawing>
          <wp:inline distT="0" distB="0" distL="114300" distR="114300">
            <wp:extent cx="6178550" cy="5312410"/>
            <wp:effectExtent l="0" t="0" r="6985" b="9525"/>
            <wp:docPr id="5" name="图片 5" descr="UC-口腔溃疡 FinnGen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UC-口腔溃疡 FinnGen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78550" cy="5312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b w:val="0"/>
          <w:bCs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Additional file 3: Fig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ure 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S</w:t>
      </w:r>
      <w:r>
        <w:rPr>
          <w:rFonts w:hint="eastAsia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8</w:t>
      </w:r>
      <w:r>
        <w:rPr>
          <w:rFonts w:hint="eastAsia" w:ascii="Times New Roman" w:hAnsi="Times New Roman" w:cs="Times New Roman"/>
          <w:b w:val="0"/>
          <w:bCs w:val="0"/>
          <w:sz w:val="21"/>
          <w:szCs w:val="21"/>
          <w:lang w:val="en-US" w:eastAsia="zh-CN"/>
        </w:rPr>
        <w:t xml:space="preserve"> leave-one-out sensitivity analysis from inflammatory bowel disease and its two main subtypes to oral ulcer. [A-C] </w:t>
      </w:r>
      <w:r>
        <w:rPr>
          <w:rFonts w:hint="eastAsia" w:ascii="Times New Roman" w:hAnsi="Times New Roman" w:cs="Times New Roman"/>
          <w:szCs w:val="21"/>
        </w:rPr>
        <w:t xml:space="preserve">Sensitivity analysis plot for the leave-one-out method for </w:t>
      </w:r>
      <w:r>
        <w:rPr>
          <w:rFonts w:hint="eastAsia" w:ascii="Times New Roman" w:hAnsi="Times New Roman" w:cs="Times New Roman"/>
          <w:szCs w:val="21"/>
          <w:lang w:val="en-US" w:eastAsia="zh-CN"/>
        </w:rPr>
        <w:t>IBD (databases include, from left to right, de Lange et al., the IIBDGC and the FinnGen study)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to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oral ulcer</w:t>
      </w:r>
      <w:r>
        <w:rPr>
          <w:rFonts w:hint="eastAsia" w:ascii="Times New Roman" w:hAnsi="Times New Roman" w:cs="Times New Roman"/>
          <w:szCs w:val="21"/>
        </w:rPr>
        <w:t>.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[D-F] </w:t>
      </w:r>
      <w:r>
        <w:rPr>
          <w:rFonts w:hint="eastAsia" w:ascii="Times New Roman" w:hAnsi="Times New Roman" w:cs="Times New Roman"/>
          <w:szCs w:val="21"/>
        </w:rPr>
        <w:t xml:space="preserve">Sensitivity analysis plot for the leave-one-out method for </w:t>
      </w:r>
      <w:r>
        <w:rPr>
          <w:rFonts w:hint="eastAsia" w:ascii="Times New Roman" w:hAnsi="Times New Roman" w:cs="Times New Roman"/>
          <w:szCs w:val="21"/>
          <w:lang w:val="en-US" w:eastAsia="zh-CN"/>
        </w:rPr>
        <w:t>CD (databases include, from left to right, de Lange et al., the IIBDGC and the FinnGen study)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to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oral ulcer</w:t>
      </w:r>
      <w:r>
        <w:rPr>
          <w:rFonts w:hint="eastAsia" w:ascii="Times New Roman" w:hAnsi="Times New Roman" w:cs="Times New Roman"/>
          <w:szCs w:val="21"/>
        </w:rPr>
        <w:t>.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[G-I] </w:t>
      </w:r>
      <w:r>
        <w:rPr>
          <w:rFonts w:hint="eastAsia" w:ascii="Times New Roman" w:hAnsi="Times New Roman" w:cs="Times New Roman"/>
          <w:szCs w:val="21"/>
        </w:rPr>
        <w:t xml:space="preserve">Sensitivity analysis plot for the leave-one-out method for </w:t>
      </w:r>
      <w:r>
        <w:rPr>
          <w:rFonts w:hint="eastAsia" w:ascii="Times New Roman" w:hAnsi="Times New Roman" w:cs="Times New Roman"/>
          <w:szCs w:val="21"/>
          <w:lang w:val="en-US" w:eastAsia="zh-CN"/>
        </w:rPr>
        <w:t>UC (databases include, from left to right, de Lange et al., the IIBDGC and the FinnGen study)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to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oral ulcer.</w:t>
      </w:r>
    </w:p>
    <w:p>
      <w:pPr>
        <w:rPr>
          <w:rFonts w:hint="default" w:ascii="Times New Roman" w:hAnsi="Times New Roman" w:cs="Times New Roman"/>
          <w:b/>
          <w:bCs/>
          <w:sz w:val="21"/>
          <w:szCs w:val="21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dit="readOnly" w:formatting="1" w:enforcement="1" w:cryptProviderType="rsaFull" w:cryptAlgorithmClass="hash" w:cryptAlgorithmType="typeAny" w:cryptAlgorithmSid="4" w:cryptSpinCount="0" w:hash="Hz6B9ur5417mxAIPI0wxPY60ReA=" w:salt="5FL4COQyYZmTqqXIXOWctw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3MWE1MWE4MDYzYzFkZDVjZTliZDI2ZDYyMzc4ZDcifQ=="/>
  </w:docVars>
  <w:rsids>
    <w:rsidRoot w:val="00000000"/>
    <w:rsid w:val="007D4296"/>
    <w:rsid w:val="00E865C2"/>
    <w:rsid w:val="02BD239A"/>
    <w:rsid w:val="036C34DA"/>
    <w:rsid w:val="03B5742C"/>
    <w:rsid w:val="04BD7D66"/>
    <w:rsid w:val="0534627A"/>
    <w:rsid w:val="07E01DA1"/>
    <w:rsid w:val="083B16CD"/>
    <w:rsid w:val="08DC58E8"/>
    <w:rsid w:val="0BBD34B1"/>
    <w:rsid w:val="0BCD088E"/>
    <w:rsid w:val="0CCD48BE"/>
    <w:rsid w:val="0CFE2CC9"/>
    <w:rsid w:val="0D2210AE"/>
    <w:rsid w:val="0D7116ED"/>
    <w:rsid w:val="0D9C676A"/>
    <w:rsid w:val="120174E4"/>
    <w:rsid w:val="1232769D"/>
    <w:rsid w:val="1272218F"/>
    <w:rsid w:val="13B3480E"/>
    <w:rsid w:val="13E64BE3"/>
    <w:rsid w:val="141352AC"/>
    <w:rsid w:val="141D25CF"/>
    <w:rsid w:val="14B720DC"/>
    <w:rsid w:val="14BC3B96"/>
    <w:rsid w:val="15A85EC8"/>
    <w:rsid w:val="17143815"/>
    <w:rsid w:val="17CB2353"/>
    <w:rsid w:val="17F13B56"/>
    <w:rsid w:val="189C7F66"/>
    <w:rsid w:val="190A1374"/>
    <w:rsid w:val="1A3F6DFB"/>
    <w:rsid w:val="1C454471"/>
    <w:rsid w:val="1D036806"/>
    <w:rsid w:val="1D482603"/>
    <w:rsid w:val="1D81772B"/>
    <w:rsid w:val="1E831280"/>
    <w:rsid w:val="1EE75CB3"/>
    <w:rsid w:val="1F3832F9"/>
    <w:rsid w:val="1FDB32ED"/>
    <w:rsid w:val="203458FD"/>
    <w:rsid w:val="2196568E"/>
    <w:rsid w:val="22295FF0"/>
    <w:rsid w:val="25BD7B7E"/>
    <w:rsid w:val="25F27417"/>
    <w:rsid w:val="25F80F5A"/>
    <w:rsid w:val="26B20955"/>
    <w:rsid w:val="2778394C"/>
    <w:rsid w:val="28853AA6"/>
    <w:rsid w:val="289A78F2"/>
    <w:rsid w:val="293320BC"/>
    <w:rsid w:val="296E14AB"/>
    <w:rsid w:val="2A995D5F"/>
    <w:rsid w:val="2C520C10"/>
    <w:rsid w:val="2D7745C4"/>
    <w:rsid w:val="2E516CA5"/>
    <w:rsid w:val="2F130889"/>
    <w:rsid w:val="2F1F0B51"/>
    <w:rsid w:val="30275F10"/>
    <w:rsid w:val="30E63241"/>
    <w:rsid w:val="314C75BB"/>
    <w:rsid w:val="31B47C77"/>
    <w:rsid w:val="31F462C5"/>
    <w:rsid w:val="32543208"/>
    <w:rsid w:val="33525999"/>
    <w:rsid w:val="33661445"/>
    <w:rsid w:val="34C401D1"/>
    <w:rsid w:val="36987B67"/>
    <w:rsid w:val="36C413A7"/>
    <w:rsid w:val="37936580"/>
    <w:rsid w:val="37D526F5"/>
    <w:rsid w:val="387C7014"/>
    <w:rsid w:val="39535FC7"/>
    <w:rsid w:val="3962445C"/>
    <w:rsid w:val="39B27192"/>
    <w:rsid w:val="3A142B15"/>
    <w:rsid w:val="3BA25BEE"/>
    <w:rsid w:val="3C6127A9"/>
    <w:rsid w:val="3C830972"/>
    <w:rsid w:val="3C913B2C"/>
    <w:rsid w:val="3D1E069A"/>
    <w:rsid w:val="3DC94AAA"/>
    <w:rsid w:val="3DDA2813"/>
    <w:rsid w:val="3EE80F60"/>
    <w:rsid w:val="3F716AD8"/>
    <w:rsid w:val="405014B2"/>
    <w:rsid w:val="41D61543"/>
    <w:rsid w:val="427A6373"/>
    <w:rsid w:val="431C5B0B"/>
    <w:rsid w:val="43B35FE0"/>
    <w:rsid w:val="44B10046"/>
    <w:rsid w:val="46592743"/>
    <w:rsid w:val="47574ED5"/>
    <w:rsid w:val="49E8450A"/>
    <w:rsid w:val="4A91628C"/>
    <w:rsid w:val="4B0709C0"/>
    <w:rsid w:val="4B4E4840"/>
    <w:rsid w:val="4B5D6832"/>
    <w:rsid w:val="4C392DFB"/>
    <w:rsid w:val="4C997D3D"/>
    <w:rsid w:val="4CF261E7"/>
    <w:rsid w:val="4DAB5F7A"/>
    <w:rsid w:val="4EBF62C4"/>
    <w:rsid w:val="51874608"/>
    <w:rsid w:val="51FA60F1"/>
    <w:rsid w:val="52816DE8"/>
    <w:rsid w:val="52E06644"/>
    <w:rsid w:val="58B32E3A"/>
    <w:rsid w:val="596D2336"/>
    <w:rsid w:val="59FC0EE1"/>
    <w:rsid w:val="5BF926CB"/>
    <w:rsid w:val="5C9F4EFC"/>
    <w:rsid w:val="5D443CF5"/>
    <w:rsid w:val="5DE30E18"/>
    <w:rsid w:val="5E131B74"/>
    <w:rsid w:val="5FE5531C"/>
    <w:rsid w:val="62361E5F"/>
    <w:rsid w:val="62A74353"/>
    <w:rsid w:val="62C0797A"/>
    <w:rsid w:val="64542A70"/>
    <w:rsid w:val="65143FAD"/>
    <w:rsid w:val="65363F24"/>
    <w:rsid w:val="6558033E"/>
    <w:rsid w:val="664F7571"/>
    <w:rsid w:val="66D734E4"/>
    <w:rsid w:val="66D932E1"/>
    <w:rsid w:val="676B07FC"/>
    <w:rsid w:val="67902011"/>
    <w:rsid w:val="6894168D"/>
    <w:rsid w:val="68A45648"/>
    <w:rsid w:val="68BE670A"/>
    <w:rsid w:val="68EF4B15"/>
    <w:rsid w:val="6938470E"/>
    <w:rsid w:val="69595134"/>
    <w:rsid w:val="699A7177"/>
    <w:rsid w:val="69E71C90"/>
    <w:rsid w:val="6AC36259"/>
    <w:rsid w:val="6CE150BD"/>
    <w:rsid w:val="6EAE0FCF"/>
    <w:rsid w:val="6ED76777"/>
    <w:rsid w:val="6F6D49E6"/>
    <w:rsid w:val="709A5CAE"/>
    <w:rsid w:val="71B44B4E"/>
    <w:rsid w:val="720553A9"/>
    <w:rsid w:val="72536115"/>
    <w:rsid w:val="730E4732"/>
    <w:rsid w:val="740B2A1F"/>
    <w:rsid w:val="74324450"/>
    <w:rsid w:val="748B3BD7"/>
    <w:rsid w:val="75EB48B6"/>
    <w:rsid w:val="763444AF"/>
    <w:rsid w:val="78F65A4C"/>
    <w:rsid w:val="7A431507"/>
    <w:rsid w:val="7AC83418"/>
    <w:rsid w:val="7BD32074"/>
    <w:rsid w:val="7C662EE9"/>
    <w:rsid w:val="7CDC31AB"/>
    <w:rsid w:val="7CF16C56"/>
    <w:rsid w:val="7DBA70CD"/>
    <w:rsid w:val="7DF06F0E"/>
    <w:rsid w:val="7F4F6B9E"/>
    <w:rsid w:val="7F875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1001</Words>
  <Characters>5157</Characters>
  <Lines>0</Lines>
  <Paragraphs>0</Paragraphs>
  <TotalTime>0</TotalTime>
  <ScaleCrop>false</ScaleCrop>
  <LinksUpToDate>false</LinksUpToDate>
  <CharactersWithSpaces>6143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2023-05-12T03:17:00Z</dcterms:created>
  <dc:creator>徐涯鑫</dc:creator>
  <cp:lastModifiedBy>仟</cp:lastModifiedBy>
  <dcterms:modified xsi:type="dcterms:W3CDTF">2023-05-30T08:51:48Z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2CB852561AD042979171F69C09F3473B_12</vt:lpwstr>
  </property>
</Properties>
</file>