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12F39" w14:textId="056AA1C9" w:rsidR="00B0686D" w:rsidRDefault="00B0686D">
      <w:r>
        <w:drawing>
          <wp:inline distT="0" distB="0" distL="0" distR="0" wp14:anchorId="1DBDC5DA" wp14:editId="145BEF13">
            <wp:extent cx="4967871" cy="2926800"/>
            <wp:effectExtent l="0" t="0" r="0" b="0"/>
            <wp:docPr id="1772012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67871" cy="2926800"/>
                    </a:xfrm>
                    <a:prstGeom prst="rect">
                      <a:avLst/>
                    </a:prstGeom>
                    <a:noFill/>
                    <a:ln>
                      <a:noFill/>
                    </a:ln>
                  </pic:spPr>
                </pic:pic>
              </a:graphicData>
            </a:graphic>
          </wp:inline>
        </w:drawing>
      </w:r>
    </w:p>
    <w:p w14:paraId="6EF95B17" w14:textId="0903496D" w:rsidR="00B0686D" w:rsidRDefault="00B0686D" w:rsidP="00B0686D">
      <w:pPr>
        <w:widowControl w:val="0"/>
        <w:spacing w:line="228" w:lineRule="auto"/>
        <w:rPr>
          <w:rFonts w:eastAsia="DengXian"/>
          <w:sz w:val="18"/>
          <w:szCs w:val="18"/>
        </w:rPr>
      </w:pPr>
      <w:r w:rsidRPr="00CC3976">
        <w:rPr>
          <w:rFonts w:eastAsia="DengXian"/>
          <w:b/>
          <w:bCs/>
          <w:sz w:val="18"/>
          <w:szCs w:val="18"/>
        </w:rPr>
        <w:t>Figure S1.</w:t>
      </w:r>
      <w:r w:rsidRPr="00CC3976">
        <w:rPr>
          <w:rFonts w:eastAsia="DengXian"/>
          <w:sz w:val="18"/>
          <w:szCs w:val="18"/>
        </w:rPr>
        <w:t xml:space="preserve"> An overview of tobacco stem thickening. (A) Cross section of tobacco stem with TBO staining. Light green arc arrow indicated primary stage (the same day of the stem marked). Green arc arrow indicated transition stage (four days after the stem marked). Red arc arrows indicated secondary stage (eight days after the stem marked, typical secondary structure formation of stem). Scale bar of (A) was 2 mm. (B) Stem girth increment in each time period after marking.</w:t>
      </w:r>
    </w:p>
    <w:p w14:paraId="5E248694" w14:textId="77777777" w:rsidR="00B0686D" w:rsidRDefault="00B0686D">
      <w:pPr>
        <w:rPr>
          <w:rFonts w:eastAsia="DengXian"/>
          <w:sz w:val="18"/>
          <w:szCs w:val="18"/>
        </w:rPr>
      </w:pPr>
      <w:r>
        <w:rPr>
          <w:rFonts w:eastAsia="DengXian"/>
          <w:sz w:val="18"/>
          <w:szCs w:val="18"/>
        </w:rPr>
        <w:br w:type="page"/>
      </w:r>
    </w:p>
    <w:p w14:paraId="7570F210" w14:textId="77777777" w:rsidR="00B0686D" w:rsidRDefault="00B0686D" w:rsidP="00B0686D">
      <w:pPr>
        <w:widowControl w:val="0"/>
        <w:spacing w:line="228" w:lineRule="auto"/>
        <w:rPr>
          <w:rFonts w:eastAsia="DengXian"/>
          <w:sz w:val="18"/>
          <w:szCs w:val="18"/>
        </w:rPr>
      </w:pPr>
    </w:p>
    <w:p w14:paraId="7BCEED02" w14:textId="75F9B3E6" w:rsidR="00B0686D" w:rsidRDefault="00B0686D" w:rsidP="00B0686D">
      <w:pPr>
        <w:widowControl w:val="0"/>
        <w:spacing w:line="228" w:lineRule="auto"/>
        <w:ind w:firstLine="284"/>
        <w:rPr>
          <w:rFonts w:eastAsia="DengXian"/>
          <w:sz w:val="18"/>
          <w:szCs w:val="18"/>
        </w:rPr>
      </w:pPr>
      <w:r>
        <w:drawing>
          <wp:inline distT="0" distB="0" distL="0" distR="0" wp14:anchorId="04CDCA0A" wp14:editId="65CC9EEC">
            <wp:extent cx="4911519" cy="6013865"/>
            <wp:effectExtent l="0" t="0" r="3810" b="6350"/>
            <wp:docPr id="13398290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14936" cy="6018049"/>
                    </a:xfrm>
                    <a:prstGeom prst="rect">
                      <a:avLst/>
                    </a:prstGeom>
                    <a:noFill/>
                    <a:ln>
                      <a:noFill/>
                    </a:ln>
                  </pic:spPr>
                </pic:pic>
              </a:graphicData>
            </a:graphic>
          </wp:inline>
        </w:drawing>
      </w:r>
    </w:p>
    <w:p w14:paraId="07777B8A" w14:textId="0DCB0FB6" w:rsidR="00B0686D" w:rsidRDefault="00B0686D" w:rsidP="00B0686D">
      <w:pPr>
        <w:widowControl w:val="0"/>
        <w:spacing w:line="228" w:lineRule="auto"/>
        <w:ind w:firstLine="284"/>
        <w:rPr>
          <w:rFonts w:eastAsia="DengXian"/>
          <w:sz w:val="18"/>
          <w:szCs w:val="18"/>
        </w:rPr>
      </w:pPr>
    </w:p>
    <w:p w14:paraId="4D51E003" w14:textId="77777777" w:rsidR="00B0686D" w:rsidRDefault="00B0686D" w:rsidP="00B0686D">
      <w:pPr>
        <w:widowControl w:val="0"/>
        <w:spacing w:line="228" w:lineRule="auto"/>
        <w:rPr>
          <w:kern w:val="2"/>
          <w:sz w:val="18"/>
          <w:szCs w:val="18"/>
        </w:rPr>
      </w:pPr>
      <w:r w:rsidRPr="00DC1B4F">
        <w:rPr>
          <w:rFonts w:eastAsia="DengXian"/>
          <w:b/>
          <w:bCs/>
          <w:sz w:val="18"/>
          <w:szCs w:val="18"/>
        </w:rPr>
        <w:t xml:space="preserve">Figure S2. </w:t>
      </w:r>
      <w:r w:rsidRPr="00DC1B4F">
        <w:rPr>
          <w:rFonts w:eastAsia="DengXian"/>
          <w:sz w:val="18"/>
          <w:szCs w:val="18"/>
        </w:rPr>
        <w:t xml:space="preserve">Development law of anatomical structure of tobacco stem. (A) Development law of cortex, </w:t>
      </w:r>
      <w:r w:rsidRPr="00DC1B4F">
        <w:rPr>
          <w:rFonts w:eastAsia="DengXian"/>
          <w:kern w:val="2"/>
          <w:sz w:val="18"/>
          <w:szCs w:val="18"/>
        </w:rPr>
        <w:t xml:space="preserve">cortical parenchyma cell and phloem. (B) </w:t>
      </w:r>
      <w:r w:rsidRPr="00DC1B4F">
        <w:rPr>
          <w:rFonts w:eastAsia="DengXian"/>
          <w:sz w:val="18"/>
          <w:szCs w:val="18"/>
        </w:rPr>
        <w:t>Development law of cambium, the embedding diagram showed</w:t>
      </w:r>
      <w:r w:rsidRPr="00DC1B4F">
        <w:rPr>
          <w:rFonts w:eastAsia="DengXian"/>
          <w:kern w:val="24"/>
          <w:sz w:val="18"/>
          <w:szCs w:val="18"/>
        </w:rPr>
        <w:t xml:space="preserve"> c</w:t>
      </w:r>
      <w:r w:rsidRPr="00DC1B4F">
        <w:rPr>
          <w:rFonts w:eastAsia="DengXian"/>
          <w:kern w:val="2"/>
          <w:sz w:val="18"/>
          <w:szCs w:val="18"/>
        </w:rPr>
        <w:t xml:space="preserve">ambium cell number. (C) </w:t>
      </w:r>
      <w:r w:rsidRPr="00DC1B4F">
        <w:rPr>
          <w:rFonts w:eastAsia="DengXian"/>
          <w:sz w:val="18"/>
          <w:szCs w:val="18"/>
        </w:rPr>
        <w:t xml:space="preserve">Development law of xylem. Green </w:t>
      </w:r>
      <w:r w:rsidRPr="00DC1B4F">
        <w:rPr>
          <w:color w:val="333333"/>
          <w:kern w:val="2"/>
          <w:sz w:val="18"/>
          <w:szCs w:val="18"/>
          <w:shd w:val="clear" w:color="auto" w:fill="FFFFFF"/>
        </w:rPr>
        <w:t>arrows</w:t>
      </w:r>
      <w:r w:rsidRPr="00DC1B4F">
        <w:rPr>
          <w:rFonts w:eastAsia="DengXian"/>
          <w:sz w:val="18"/>
          <w:szCs w:val="18"/>
        </w:rPr>
        <w:t xml:space="preserve"> represented the development process of tobacco stem, blue arrows represented the initial date of phloem fiber secondary cell wall formation, and the red broken line represented the xylem thickening after marking. </w:t>
      </w:r>
      <w:r w:rsidRPr="00DC1B4F">
        <w:rPr>
          <w:rFonts w:eastAsia="Times New Roman"/>
          <w:sz w:val="18"/>
          <w:szCs w:val="18"/>
          <w:lang w:eastAsia="de-DE"/>
        </w:rPr>
        <w:t xml:space="preserve">Scale bar of anatomical structure of xylem was 200 μm. (D) </w:t>
      </w:r>
      <w:r w:rsidRPr="00DC1B4F">
        <w:rPr>
          <w:rFonts w:eastAsia="DengXian"/>
          <w:sz w:val="18"/>
          <w:szCs w:val="18"/>
        </w:rPr>
        <w:t xml:space="preserve">Development of maximum vessel diameter after marking. (E) Development of the size of pith cells after marking. </w:t>
      </w:r>
      <w:r w:rsidRPr="00DC1B4F">
        <w:rPr>
          <w:kern w:val="2"/>
          <w:sz w:val="18"/>
          <w:szCs w:val="18"/>
        </w:rPr>
        <w:t>The bars represented the standard error of the mean, the letters above each bar represent significant differences of different treatments (P&lt;0.5).</w:t>
      </w:r>
    </w:p>
    <w:p w14:paraId="422683E5" w14:textId="2A2811BB" w:rsidR="00B0686D" w:rsidRDefault="00B0686D">
      <w:pPr>
        <w:rPr>
          <w:rFonts w:eastAsia="DengXian"/>
          <w:sz w:val="18"/>
          <w:szCs w:val="18"/>
        </w:rPr>
      </w:pPr>
      <w:r>
        <w:rPr>
          <w:rFonts w:eastAsia="DengXian"/>
          <w:sz w:val="18"/>
          <w:szCs w:val="18"/>
        </w:rPr>
        <w:br w:type="page"/>
      </w:r>
    </w:p>
    <w:p w14:paraId="5E3D061A" w14:textId="77777777" w:rsidR="00B0686D" w:rsidRDefault="00B0686D" w:rsidP="00B0686D">
      <w:pPr>
        <w:widowControl w:val="0"/>
        <w:spacing w:line="228" w:lineRule="auto"/>
        <w:ind w:firstLine="284"/>
        <w:rPr>
          <w:rFonts w:eastAsia="DengXian"/>
          <w:sz w:val="18"/>
          <w:szCs w:val="18"/>
        </w:rPr>
      </w:pPr>
    </w:p>
    <w:p w14:paraId="66CD59C2" w14:textId="2799EBE5" w:rsidR="00B0686D" w:rsidRDefault="00B0686D">
      <w:r>
        <w:drawing>
          <wp:inline distT="0" distB="0" distL="0" distR="0" wp14:anchorId="0917C3BB" wp14:editId="6FBC85B1">
            <wp:extent cx="5001370" cy="3016781"/>
            <wp:effectExtent l="0" t="0" r="0" b="0"/>
            <wp:docPr id="11012630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245" cy="3020928"/>
                    </a:xfrm>
                    <a:prstGeom prst="rect">
                      <a:avLst/>
                    </a:prstGeom>
                    <a:noFill/>
                    <a:ln>
                      <a:noFill/>
                    </a:ln>
                  </pic:spPr>
                </pic:pic>
              </a:graphicData>
            </a:graphic>
          </wp:inline>
        </w:drawing>
      </w:r>
    </w:p>
    <w:p w14:paraId="088F81BD" w14:textId="77777777" w:rsidR="00B0686D" w:rsidRDefault="00B0686D" w:rsidP="00B0686D">
      <w:pPr>
        <w:widowControl w:val="0"/>
        <w:spacing w:line="228" w:lineRule="auto"/>
        <w:rPr>
          <w:kern w:val="2"/>
          <w:sz w:val="18"/>
          <w:szCs w:val="18"/>
        </w:rPr>
      </w:pPr>
      <w:r w:rsidRPr="009B6AC7">
        <w:rPr>
          <w:rFonts w:eastAsia="DengXian"/>
          <w:b/>
          <w:bCs/>
          <w:sz w:val="18"/>
          <w:szCs w:val="18"/>
        </w:rPr>
        <w:t>Figure S3.</w:t>
      </w:r>
      <w:r w:rsidRPr="009B6AC7">
        <w:rPr>
          <w:rFonts w:eastAsia="DengXian"/>
          <w:sz w:val="18"/>
          <w:szCs w:val="18"/>
        </w:rPr>
        <w:t xml:space="preserve"> </w:t>
      </w:r>
      <w:r w:rsidRPr="009B6AC7">
        <w:rPr>
          <w:kern w:val="2"/>
          <w:sz w:val="18"/>
          <w:szCs w:val="18"/>
        </w:rPr>
        <w:t xml:space="preserve">qRT-PCR analysis of </w:t>
      </w:r>
      <w:r w:rsidRPr="009B6AC7">
        <w:rPr>
          <w:i/>
          <w:iCs/>
          <w:kern w:val="2"/>
          <w:sz w:val="18"/>
          <w:szCs w:val="18"/>
        </w:rPr>
        <w:t>NtHB8sy</w:t>
      </w:r>
      <w:r w:rsidRPr="009B6AC7">
        <w:rPr>
          <w:kern w:val="2"/>
          <w:sz w:val="18"/>
          <w:szCs w:val="18"/>
        </w:rPr>
        <w:t xml:space="preserve">, </w:t>
      </w:r>
      <w:r w:rsidRPr="009B6AC7">
        <w:rPr>
          <w:i/>
          <w:iCs/>
          <w:kern w:val="2"/>
          <w:sz w:val="18"/>
          <w:szCs w:val="18"/>
        </w:rPr>
        <w:t>NtHB8to</w:t>
      </w:r>
      <w:r w:rsidRPr="009B6AC7">
        <w:rPr>
          <w:kern w:val="2"/>
          <w:sz w:val="18"/>
          <w:szCs w:val="18"/>
        </w:rPr>
        <w:t xml:space="preserve">, </w:t>
      </w:r>
      <w:r w:rsidRPr="009B6AC7">
        <w:rPr>
          <w:i/>
          <w:iCs/>
          <w:kern w:val="2"/>
          <w:sz w:val="18"/>
          <w:szCs w:val="18"/>
        </w:rPr>
        <w:t xml:space="preserve">NtNST3sy </w:t>
      </w:r>
      <w:r w:rsidRPr="009B6AC7">
        <w:rPr>
          <w:kern w:val="2"/>
          <w:sz w:val="18"/>
          <w:szCs w:val="18"/>
        </w:rPr>
        <w:t>and</w:t>
      </w:r>
      <w:r w:rsidRPr="009B6AC7">
        <w:rPr>
          <w:i/>
          <w:iCs/>
          <w:kern w:val="2"/>
          <w:sz w:val="18"/>
          <w:szCs w:val="18"/>
        </w:rPr>
        <w:t xml:space="preserve"> NtNST3to</w:t>
      </w:r>
      <w:r w:rsidRPr="009B6AC7">
        <w:rPr>
          <w:kern w:val="2"/>
          <w:sz w:val="18"/>
          <w:szCs w:val="18"/>
        </w:rPr>
        <w:t xml:space="preserve"> expression after tobacco stem marking. The bars represented the standard error of the mean, the letters above each bar represent significant differences of different treatments (P&lt;0.5).</w:t>
      </w:r>
    </w:p>
    <w:p w14:paraId="56FB7A4B" w14:textId="77777777" w:rsidR="00B0686D" w:rsidRPr="00B0686D" w:rsidRDefault="00B0686D" w:rsidP="00B0686D"/>
    <w:sectPr w:rsidR="00B0686D" w:rsidRPr="00B068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6D"/>
    <w:rsid w:val="0071229D"/>
    <w:rsid w:val="00B0686D"/>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85F9FF6"/>
  <w15:chartTrackingRefBased/>
  <w15:docId w15:val="{A3D17BF7-26CB-3D4D-9F9D-0D0A149E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戚 维聪</dc:creator>
  <cp:keywords/>
  <dc:description/>
  <cp:lastModifiedBy>戚 维聪</cp:lastModifiedBy>
  <cp:revision>1</cp:revision>
  <dcterms:created xsi:type="dcterms:W3CDTF">2023-06-29T02:58:00Z</dcterms:created>
  <dcterms:modified xsi:type="dcterms:W3CDTF">2023-06-29T03:02:00Z</dcterms:modified>
</cp:coreProperties>
</file>