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DBF2" w14:textId="77777777" w:rsidR="00521705" w:rsidRDefault="00521705" w:rsidP="00521705">
      <w:pPr>
        <w:jc w:val="center"/>
        <w:rPr>
          <w:rFonts w:eastAsiaTheme="majorEastAsia" w:cstheme="majorBidi"/>
          <w:b/>
          <w:color w:val="000000" w:themeColor="text1"/>
          <w:spacing w:val="-10"/>
          <w:kern w:val="28"/>
          <w:sz w:val="28"/>
          <w:szCs w:val="56"/>
          <w:u w:val="single"/>
        </w:rPr>
      </w:pPr>
      <w:r>
        <w:rPr>
          <w:rFonts w:eastAsiaTheme="majorEastAsia" w:cstheme="majorBidi"/>
          <w:b/>
          <w:color w:val="000000" w:themeColor="text1"/>
          <w:spacing w:val="-10"/>
          <w:kern w:val="28"/>
          <w:sz w:val="28"/>
          <w:szCs w:val="56"/>
          <w:u w:val="single"/>
        </w:rPr>
        <w:t>Supplementary Information</w:t>
      </w:r>
    </w:p>
    <w:p w14:paraId="251FA317" w14:textId="77777777" w:rsidR="00521705" w:rsidRDefault="00521705" w:rsidP="00521705">
      <w:pPr>
        <w:jc w:val="center"/>
        <w:rPr>
          <w:rFonts w:eastAsiaTheme="majorEastAsia" w:cstheme="majorBidi"/>
          <w:b/>
          <w:color w:val="000000" w:themeColor="text1"/>
          <w:spacing w:val="-10"/>
          <w:kern w:val="28"/>
          <w:sz w:val="28"/>
          <w:szCs w:val="56"/>
          <w:u w:val="single"/>
        </w:rPr>
      </w:pPr>
    </w:p>
    <w:p w14:paraId="69063A52" w14:textId="77777777" w:rsidR="001B4AD3" w:rsidRDefault="001B4AD3" w:rsidP="00521705">
      <w:pPr>
        <w:jc w:val="center"/>
        <w:rPr>
          <w:rFonts w:eastAsiaTheme="majorEastAsia" w:cstheme="majorBidi"/>
          <w:b/>
          <w:color w:val="000000" w:themeColor="text1"/>
          <w:spacing w:val="-10"/>
          <w:kern w:val="28"/>
          <w:szCs w:val="24"/>
        </w:rPr>
      </w:pPr>
      <w:r w:rsidRPr="001B4AD3">
        <w:rPr>
          <w:rFonts w:eastAsiaTheme="majorEastAsia" w:cstheme="majorBidi"/>
          <w:b/>
          <w:color w:val="000000" w:themeColor="text1"/>
          <w:spacing w:val="-10"/>
          <w:kern w:val="28"/>
          <w:szCs w:val="24"/>
        </w:rPr>
        <w:t>Submerged Photosynthesis of TiO</w:t>
      </w:r>
      <w:r w:rsidRPr="001B4AD3">
        <w:rPr>
          <w:rFonts w:eastAsiaTheme="majorEastAsia" w:cstheme="majorBidi"/>
          <w:b/>
          <w:color w:val="000000" w:themeColor="text1"/>
          <w:spacing w:val="-10"/>
          <w:kern w:val="28"/>
          <w:szCs w:val="24"/>
          <w:vertAlign w:val="subscript"/>
        </w:rPr>
        <w:t>2</w:t>
      </w:r>
      <w:r w:rsidRPr="001B4AD3">
        <w:rPr>
          <w:rFonts w:eastAsiaTheme="majorEastAsia" w:cstheme="majorBidi"/>
          <w:b/>
          <w:color w:val="000000" w:themeColor="text1"/>
          <w:spacing w:val="-10"/>
          <w:kern w:val="28"/>
          <w:szCs w:val="24"/>
        </w:rPr>
        <w:t>-CuO Hetero-nanoparticles for the Solar Photo-electrolysis of Multiple Environmental Hazardous Substances</w:t>
      </w:r>
    </w:p>
    <w:p w14:paraId="02888CE6" w14:textId="77777777" w:rsidR="00192ECB" w:rsidRPr="006715BF" w:rsidRDefault="00192ECB" w:rsidP="00192ECB">
      <w:pPr>
        <w:jc w:val="center"/>
        <w:rPr>
          <w:rFonts w:cs="Times New Roman"/>
          <w:color w:val="000000" w:themeColor="text1"/>
          <w:szCs w:val="24"/>
        </w:rPr>
      </w:pPr>
      <w:r w:rsidRPr="006715BF">
        <w:rPr>
          <w:rFonts w:cs="Times New Roman"/>
          <w:color w:val="000000" w:themeColor="text1"/>
          <w:szCs w:val="24"/>
        </w:rPr>
        <w:t>Zhehan Yu</w:t>
      </w:r>
      <w:r w:rsidRPr="006715BF">
        <w:rPr>
          <w:rFonts w:cs="Times New Roman"/>
          <w:color w:val="000000" w:themeColor="text1"/>
          <w:szCs w:val="24"/>
          <w:vertAlign w:val="superscript"/>
        </w:rPr>
        <w:t>1</w:t>
      </w:r>
      <w:r w:rsidRPr="006715BF">
        <w:rPr>
          <w:rFonts w:eastAsia="MS Mincho" w:cs="Times New Roman"/>
          <w:color w:val="000000" w:themeColor="text1"/>
          <w:szCs w:val="24"/>
          <w:lang w:eastAsia="ja-JP"/>
        </w:rPr>
        <w:t xml:space="preserve">, </w:t>
      </w:r>
      <w:r>
        <w:rPr>
          <w:rFonts w:eastAsia="MS Mincho" w:cs="Times New Roman"/>
          <w:color w:val="000000" w:themeColor="text1"/>
          <w:szCs w:val="24"/>
          <w:lang w:eastAsia="ja-JP"/>
        </w:rPr>
        <w:t>Shilei Zhu</w:t>
      </w:r>
      <w:r w:rsidRPr="00E31DD1">
        <w:rPr>
          <w:rFonts w:eastAsia="MS Mincho" w:cs="Times New Roman"/>
          <w:color w:val="000000" w:themeColor="text1"/>
          <w:szCs w:val="24"/>
          <w:vertAlign w:val="superscript"/>
          <w:lang w:eastAsia="ja-JP"/>
        </w:rPr>
        <w:t>2</w:t>
      </w:r>
      <w:r>
        <w:rPr>
          <w:rFonts w:eastAsia="MS Mincho" w:cs="Times New Roman"/>
          <w:color w:val="000000" w:themeColor="text1"/>
          <w:szCs w:val="24"/>
          <w:lang w:eastAsia="ja-JP"/>
        </w:rPr>
        <w:t xml:space="preserve">, </w:t>
      </w:r>
      <w:r w:rsidRPr="006715BF">
        <w:rPr>
          <w:rFonts w:cs="Times New Roman"/>
          <w:color w:val="000000" w:themeColor="text1"/>
          <w:szCs w:val="24"/>
        </w:rPr>
        <w:t>Lihua Zhang</w:t>
      </w:r>
      <w:r w:rsidRPr="006715BF">
        <w:rPr>
          <w:rFonts w:cs="Times New Roman"/>
          <w:color w:val="000000" w:themeColor="text1"/>
          <w:szCs w:val="24"/>
          <w:vertAlign w:val="superscript"/>
        </w:rPr>
        <w:t xml:space="preserve">*, </w:t>
      </w:r>
      <w:r>
        <w:rPr>
          <w:rFonts w:cs="Times New Roman"/>
          <w:color w:val="000000" w:themeColor="text1"/>
          <w:szCs w:val="24"/>
          <w:vertAlign w:val="superscript"/>
        </w:rPr>
        <w:t>1</w:t>
      </w:r>
      <w:r w:rsidRPr="006715BF">
        <w:rPr>
          <w:rFonts w:cs="Times New Roman"/>
          <w:color w:val="000000" w:themeColor="text1"/>
          <w:szCs w:val="24"/>
        </w:rPr>
        <w:t>, Seiichi Watanabe</w:t>
      </w:r>
      <w:r w:rsidRPr="006715BF">
        <w:rPr>
          <w:rFonts w:cs="Times New Roman"/>
          <w:color w:val="000000" w:themeColor="text1"/>
          <w:szCs w:val="24"/>
          <w:vertAlign w:val="superscript"/>
        </w:rPr>
        <w:t xml:space="preserve">*, </w:t>
      </w:r>
      <w:r>
        <w:rPr>
          <w:rFonts w:cs="Times New Roman"/>
          <w:color w:val="000000" w:themeColor="text1"/>
          <w:szCs w:val="24"/>
          <w:vertAlign w:val="superscript"/>
        </w:rPr>
        <w:t>1</w:t>
      </w:r>
    </w:p>
    <w:p w14:paraId="4B91FFC3" w14:textId="77777777" w:rsidR="00192ECB" w:rsidRDefault="00192ECB" w:rsidP="00192ECB">
      <w:pPr>
        <w:jc w:val="center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</w:t>
      </w:r>
      <w:r w:rsidRPr="006715BF">
        <w:rPr>
          <w:rFonts w:cs="Times New Roman"/>
          <w:color w:val="000000" w:themeColor="text1"/>
          <w:szCs w:val="24"/>
        </w:rPr>
        <w:t xml:space="preserve"> </w:t>
      </w:r>
      <w:r w:rsidRPr="006715BF">
        <w:rPr>
          <w:rFonts w:cs="Times New Roman"/>
          <w:i/>
          <w:color w:val="000000" w:themeColor="text1"/>
          <w:szCs w:val="24"/>
        </w:rPr>
        <w:t>Center for Advanced Research of Energy and Materials, Faculty of Engineering, Hokkaido University, Sapporo 060-8628, Japan</w:t>
      </w:r>
    </w:p>
    <w:p w14:paraId="3B0DBC20" w14:textId="77777777" w:rsidR="00192ECB" w:rsidRPr="00E31DD1" w:rsidRDefault="00192ECB" w:rsidP="00192ECB">
      <w:pPr>
        <w:jc w:val="center"/>
        <w:rPr>
          <w:rFonts w:cs="Times New Roman"/>
          <w:iCs/>
          <w:color w:val="000000" w:themeColor="text1"/>
          <w:szCs w:val="24"/>
        </w:rPr>
      </w:pPr>
      <w:r w:rsidRPr="00E31DD1">
        <w:rPr>
          <w:rFonts w:cs="Times New Roman"/>
          <w:iCs/>
          <w:color w:val="000000" w:themeColor="text1"/>
          <w:szCs w:val="24"/>
        </w:rPr>
        <w:t xml:space="preserve">2 </w:t>
      </w:r>
      <w:r w:rsidRPr="00F54ABC">
        <w:rPr>
          <w:rFonts w:cs="Times New Roman"/>
          <w:i/>
          <w:color w:val="000000" w:themeColor="text1"/>
          <w:szCs w:val="24"/>
        </w:rPr>
        <w:t>College of Physics, Taiyuan University of Technology, Taiyuan 030024, China</w:t>
      </w:r>
    </w:p>
    <w:p w14:paraId="18F6F1C4" w14:textId="77777777" w:rsidR="00192ECB" w:rsidRPr="006715BF" w:rsidRDefault="00192ECB" w:rsidP="00192ECB">
      <w:pPr>
        <w:jc w:val="center"/>
        <w:rPr>
          <w:rFonts w:cs="Times New Roman"/>
          <w:i/>
          <w:color w:val="000000" w:themeColor="text1"/>
          <w:szCs w:val="24"/>
        </w:rPr>
      </w:pPr>
      <w:r w:rsidRPr="006715BF">
        <w:rPr>
          <w:rFonts w:cs="Times New Roman"/>
          <w:i/>
          <w:color w:val="000000" w:themeColor="text1"/>
          <w:szCs w:val="24"/>
        </w:rPr>
        <w:t xml:space="preserve">Corresponding author: </w:t>
      </w:r>
      <w:r w:rsidRPr="006715BF">
        <w:rPr>
          <w:rFonts w:eastAsia="MS Mincho" w:cs="Times New Roman"/>
          <w:i/>
          <w:color w:val="000000" w:themeColor="text1"/>
          <w:szCs w:val="24"/>
          <w:lang w:eastAsia="ja-JP"/>
        </w:rPr>
        <w:t>Lihua Zhang</w:t>
      </w:r>
      <w:r w:rsidRPr="006715BF">
        <w:rPr>
          <w:rFonts w:eastAsia="MS Mincho" w:cs="Times New Roman"/>
          <w:color w:val="000000" w:themeColor="text1"/>
          <w:szCs w:val="24"/>
          <w:lang w:eastAsia="ja-JP"/>
        </w:rPr>
        <w:t>,</w:t>
      </w:r>
      <w:r w:rsidRPr="006715BF">
        <w:rPr>
          <w:rFonts w:cs="Times New Roman"/>
          <w:i/>
          <w:color w:val="000000" w:themeColor="text1"/>
          <w:szCs w:val="24"/>
        </w:rPr>
        <w:t xml:space="preserve"> </w:t>
      </w:r>
      <w:r w:rsidRPr="006715BF">
        <w:rPr>
          <w:rFonts w:cs="Times New Roman"/>
          <w:i/>
          <w:szCs w:val="24"/>
        </w:rPr>
        <w:t>zhanglihua@eng.hokudai.ac.jp</w:t>
      </w:r>
    </w:p>
    <w:p w14:paraId="54A5B362" w14:textId="77777777" w:rsidR="00192ECB" w:rsidRPr="006715BF" w:rsidRDefault="00192ECB" w:rsidP="00192ECB">
      <w:pPr>
        <w:jc w:val="center"/>
        <w:rPr>
          <w:rFonts w:cs="Times New Roman"/>
          <w:i/>
          <w:color w:val="000000" w:themeColor="text1"/>
          <w:szCs w:val="24"/>
        </w:rPr>
      </w:pPr>
      <w:r w:rsidRPr="006715BF">
        <w:rPr>
          <w:rFonts w:cs="Times New Roman"/>
          <w:i/>
          <w:color w:val="000000" w:themeColor="text1"/>
          <w:szCs w:val="24"/>
        </w:rPr>
        <w:t>Seiichi Watanabe, sw004@eng.hokudai.ac.jp</w:t>
      </w:r>
    </w:p>
    <w:p w14:paraId="25BF1570" w14:textId="77777777" w:rsidR="00521705" w:rsidRDefault="00521705" w:rsidP="00521705">
      <w:pPr>
        <w:ind w:firstLine="0"/>
        <w:rPr>
          <w:b/>
          <w:color w:val="000000" w:themeColor="text1"/>
        </w:rPr>
      </w:pPr>
    </w:p>
    <w:p w14:paraId="2EA62D33" w14:textId="77777777" w:rsidR="00521705" w:rsidRDefault="00521705" w:rsidP="00521705">
      <w:pPr>
        <w:spacing w:after="160" w:line="256" w:lineRule="auto"/>
        <w:ind w:firstLine="0"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51EA96B6" w14:textId="4D966F18" w:rsidR="00D47583" w:rsidRDefault="00D47583" w:rsidP="00521705">
      <w:pPr>
        <w:pStyle w:val="StandardStyle"/>
      </w:pPr>
      <w:r>
        <w:rPr>
          <w:noProof/>
        </w:rPr>
        <w:lastRenderedPageBreak/>
        <w:drawing>
          <wp:inline distT="0" distB="0" distL="0" distR="0" wp14:anchorId="1F30CB08" wp14:editId="0618AE33">
            <wp:extent cx="5943600" cy="2503805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28D61" w14:textId="1E1AA1CD" w:rsidR="00521705" w:rsidRDefault="00856BAF" w:rsidP="00521705">
      <w:pPr>
        <w:pStyle w:val="StandardStyle"/>
      </w:pPr>
      <w:r w:rsidRPr="00856BAF">
        <w:rPr>
          <w:rFonts w:hint="eastAsia"/>
          <w:b/>
          <w:bCs/>
        </w:rPr>
        <w:t>Fig.</w:t>
      </w:r>
      <w:r w:rsidR="003D320F" w:rsidRPr="00856BAF">
        <w:rPr>
          <w:b/>
          <w:bCs/>
        </w:rPr>
        <w:t xml:space="preserve"> S1</w:t>
      </w:r>
      <w:r w:rsidR="003D320F">
        <w:t xml:space="preserve"> </w:t>
      </w:r>
      <w:r w:rsidR="00D47583">
        <w:t>(a) s</w:t>
      </w:r>
      <w:r w:rsidR="003D320F">
        <w:t>chematic diagram of three electrode system</w:t>
      </w:r>
      <w:r w:rsidR="00D47583">
        <w:t>, (b) three</w:t>
      </w:r>
      <w:r w:rsidR="00192ECB">
        <w:t>-</w:t>
      </w:r>
      <w:r w:rsidR="00D47583">
        <w:t xml:space="preserve">electrode system used in our experiment </w:t>
      </w:r>
    </w:p>
    <w:p w14:paraId="4DF3B099" w14:textId="18CABF11" w:rsidR="003D320F" w:rsidRDefault="003D320F">
      <w:pPr>
        <w:spacing w:after="160" w:line="259" w:lineRule="auto"/>
        <w:ind w:firstLine="0"/>
        <w:jc w:val="left"/>
      </w:pPr>
      <w:r>
        <w:br w:type="page"/>
      </w:r>
    </w:p>
    <w:p w14:paraId="39C62911" w14:textId="3FF5FAC7" w:rsidR="00503336" w:rsidRDefault="00503336">
      <w:pPr>
        <w:spacing w:after="160" w:line="259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5AA26E52" wp14:editId="39BC98FA">
            <wp:extent cx="5943600" cy="2929890"/>
            <wp:effectExtent l="0" t="0" r="0" b="3810"/>
            <wp:docPr id="10" name="Picture 10" descr="A picture containing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screensho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CF451" w14:textId="58AC8C48" w:rsidR="00503336" w:rsidRDefault="00856BAF">
      <w:pPr>
        <w:spacing w:after="160" w:line="259" w:lineRule="auto"/>
        <w:ind w:firstLine="0"/>
        <w:jc w:val="left"/>
      </w:pPr>
      <w:r w:rsidRPr="00856BAF">
        <w:rPr>
          <w:b/>
          <w:bCs/>
        </w:rPr>
        <w:t>Fig.</w:t>
      </w:r>
      <w:r w:rsidR="00503336" w:rsidRPr="00856BAF">
        <w:rPr>
          <w:b/>
          <w:bCs/>
        </w:rPr>
        <w:t xml:space="preserve"> S2</w:t>
      </w:r>
      <w:r w:rsidR="00503336">
        <w:t xml:space="preserve"> TEM (top) and SAED (bottom) of (a) TCO 100, (b) TCO 500, (c) TCO 800, and (d) TCO 1000</w:t>
      </w:r>
    </w:p>
    <w:p w14:paraId="087CE819" w14:textId="4809C48D" w:rsidR="00894312" w:rsidRDefault="00894312">
      <w:pPr>
        <w:spacing w:after="160" w:line="259" w:lineRule="auto"/>
        <w:ind w:firstLine="0"/>
        <w:jc w:val="left"/>
      </w:pPr>
      <w:r>
        <w:br w:type="page"/>
      </w:r>
    </w:p>
    <w:p w14:paraId="4048B6E0" w14:textId="77777777" w:rsidR="00503336" w:rsidRDefault="00503336" w:rsidP="00503336">
      <w:pPr>
        <w:pStyle w:val="StandardStyle"/>
      </w:pPr>
      <w:r>
        <w:rPr>
          <w:noProof/>
        </w:rPr>
        <w:lastRenderedPageBreak/>
        <w:drawing>
          <wp:inline distT="0" distB="0" distL="0" distR="0" wp14:anchorId="52373E68" wp14:editId="2C620941">
            <wp:extent cx="5943600" cy="2270125"/>
            <wp:effectExtent l="0" t="0" r="0" b="0"/>
            <wp:docPr id="7" name="Picture 7" descr="A picture containing mol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mol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C961A" w14:textId="6DB9D552" w:rsidR="00503336" w:rsidRDefault="00856BAF" w:rsidP="00503336">
      <w:pPr>
        <w:pStyle w:val="StandardStyle"/>
      </w:pPr>
      <w:r w:rsidRPr="00856BAF">
        <w:rPr>
          <w:b/>
          <w:bCs/>
        </w:rPr>
        <w:t>Fig.</w:t>
      </w:r>
      <w:r w:rsidR="00503336" w:rsidRPr="00856BAF">
        <w:rPr>
          <w:b/>
          <w:bCs/>
        </w:rPr>
        <w:t xml:space="preserve"> S3</w:t>
      </w:r>
      <w:r w:rsidR="00503336">
        <w:t xml:space="preserve"> Overfocus (</w:t>
      </w:r>
      <w:r w:rsidR="00503336">
        <w:rPr>
          <w:rFonts w:hint="eastAsia"/>
        </w:rPr>
        <w:t>top</w:t>
      </w:r>
      <w:r w:rsidR="00503336">
        <w:t>) and underfocus (bottom) TEM images of (a) TCO 100, (b) TCO 200, (c) TCO 500, (d) TCO 800, and (e) TCO 1000 (scale bar: 20 nm)</w:t>
      </w:r>
    </w:p>
    <w:p w14:paraId="7D0F46DE" w14:textId="4E1EBFF6" w:rsidR="00C31B29" w:rsidRDefault="00C31B29">
      <w:pPr>
        <w:spacing w:after="160" w:line="259" w:lineRule="auto"/>
        <w:ind w:firstLine="0"/>
        <w:jc w:val="left"/>
      </w:pPr>
      <w:r>
        <w:br w:type="page"/>
      </w:r>
    </w:p>
    <w:p w14:paraId="510E274D" w14:textId="147310F8" w:rsidR="00C31B29" w:rsidRDefault="005D47F8" w:rsidP="00521705">
      <w:pPr>
        <w:pStyle w:val="StandardStyle"/>
      </w:pPr>
      <w:r>
        <w:rPr>
          <w:noProof/>
        </w:rPr>
        <w:lastRenderedPageBreak/>
        <w:drawing>
          <wp:inline distT="0" distB="0" distL="0" distR="0" wp14:anchorId="1D5EC7B9" wp14:editId="32E25959">
            <wp:extent cx="5943600" cy="131331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73063" w14:textId="76CF361F" w:rsidR="00C31B29" w:rsidRPr="006D2C45" w:rsidRDefault="00856BAF" w:rsidP="00521705">
      <w:pPr>
        <w:pStyle w:val="StandardStyle"/>
        <w:rPr>
          <w:color w:val="000000" w:themeColor="text1"/>
        </w:rPr>
      </w:pPr>
      <w:r w:rsidRPr="00856BAF">
        <w:rPr>
          <w:b/>
          <w:bCs/>
          <w:color w:val="000000" w:themeColor="text1"/>
        </w:rPr>
        <w:t>Fig.</w:t>
      </w:r>
      <w:r w:rsidR="00C31B29" w:rsidRPr="00856BAF">
        <w:rPr>
          <w:b/>
          <w:bCs/>
          <w:color w:val="000000" w:themeColor="text1"/>
        </w:rPr>
        <w:t xml:space="preserve"> S4</w:t>
      </w:r>
      <w:r w:rsidR="00E13A1B" w:rsidRPr="006D2C45">
        <w:rPr>
          <w:color w:val="000000" w:themeColor="text1"/>
        </w:rPr>
        <w:t xml:space="preserve"> </w:t>
      </w:r>
      <w:r w:rsidR="005D47F8" w:rsidRPr="006D2C45">
        <w:rPr>
          <w:color w:val="000000" w:themeColor="text1"/>
        </w:rPr>
        <w:t>XPS spectra of different TCO samples: (a) Ti 2p range, (b) Cu 2p range, (c) O 1s range</w:t>
      </w:r>
    </w:p>
    <w:p w14:paraId="601178D0" w14:textId="1954AE1D" w:rsidR="00C31B29" w:rsidRDefault="00C31B29">
      <w:pPr>
        <w:spacing w:after="160" w:line="259" w:lineRule="auto"/>
        <w:ind w:firstLine="0"/>
        <w:jc w:val="left"/>
      </w:pPr>
      <w:r>
        <w:br w:type="page"/>
      </w:r>
    </w:p>
    <w:p w14:paraId="78B02DC6" w14:textId="77777777" w:rsidR="006C7B28" w:rsidRDefault="006C7B28" w:rsidP="006C7B28">
      <w:pPr>
        <w:spacing w:after="160" w:line="259" w:lineRule="auto"/>
        <w:ind w:firstLine="0"/>
        <w:jc w:val="center"/>
        <w:rPr>
          <w:color w:val="FF0000"/>
        </w:rPr>
      </w:pPr>
      <w:r>
        <w:rPr>
          <w:noProof/>
          <w:color w:val="FF0000"/>
        </w:rPr>
        <w:lastRenderedPageBreak/>
        <w:drawing>
          <wp:inline distT="0" distB="0" distL="0" distR="0" wp14:anchorId="3161D44F" wp14:editId="111AA69B">
            <wp:extent cx="4806480" cy="7277100"/>
            <wp:effectExtent l="0" t="0" r="0" b="0"/>
            <wp:docPr id="11" name="Picture 11" descr="A picture containing screenshot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screenshot,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756" cy="727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F626" w14:textId="1DC89037" w:rsidR="006C7B28" w:rsidRPr="00345778" w:rsidRDefault="00856BAF" w:rsidP="006C7B28">
      <w:pPr>
        <w:spacing w:after="160" w:line="259" w:lineRule="auto"/>
        <w:ind w:firstLine="0"/>
        <w:rPr>
          <w:color w:val="000000" w:themeColor="text1"/>
        </w:rPr>
      </w:pPr>
      <w:r w:rsidRPr="00856BAF">
        <w:rPr>
          <w:b/>
          <w:bCs/>
          <w:color w:val="000000" w:themeColor="text1"/>
        </w:rPr>
        <w:t>Fig.</w:t>
      </w:r>
      <w:r w:rsidR="006C7B28" w:rsidRPr="00856BAF">
        <w:rPr>
          <w:b/>
          <w:bCs/>
          <w:color w:val="000000" w:themeColor="text1"/>
        </w:rPr>
        <w:t xml:space="preserve"> S5</w:t>
      </w:r>
      <w:r w:rsidR="006C7B28" w:rsidRPr="00345778">
        <w:rPr>
          <w:color w:val="000000" w:themeColor="text1"/>
        </w:rPr>
        <w:t xml:space="preserve"> </w:t>
      </w:r>
      <w:r w:rsidR="006C7B28">
        <w:rPr>
          <w:color w:val="000000" w:themeColor="text1"/>
        </w:rPr>
        <w:t>HRTEM (left) and HAADF-EDS (right) of (a) TCO 100, (b) TCO 500, and (</w:t>
      </w:r>
      <w:r w:rsidR="006C7B28">
        <w:rPr>
          <w:rFonts w:hint="eastAsia"/>
          <w:color w:val="000000" w:themeColor="text1"/>
        </w:rPr>
        <w:t>c)</w:t>
      </w:r>
      <w:r w:rsidR="006C7B28">
        <w:rPr>
          <w:color w:val="000000" w:themeColor="text1"/>
        </w:rPr>
        <w:t xml:space="preserve"> </w:t>
      </w:r>
      <w:r w:rsidR="006C7B28">
        <w:rPr>
          <w:rFonts w:hint="eastAsia"/>
          <w:color w:val="000000" w:themeColor="text1"/>
        </w:rPr>
        <w:t>TCO</w:t>
      </w:r>
      <w:r w:rsidR="006C7B28">
        <w:rPr>
          <w:color w:val="000000" w:themeColor="text1"/>
        </w:rPr>
        <w:t xml:space="preserve"> 1000. The red, blue, white mark represent rutile, anatase, tenorite, respectively</w:t>
      </w:r>
    </w:p>
    <w:p w14:paraId="3367D4F7" w14:textId="77777777" w:rsidR="006C7B28" w:rsidRDefault="006C7B28" w:rsidP="006C7B28">
      <w:pPr>
        <w:spacing w:after="160" w:line="259" w:lineRule="auto"/>
        <w:ind w:firstLine="0"/>
        <w:jc w:val="left"/>
        <w:rPr>
          <w:color w:val="FF0000"/>
        </w:rPr>
      </w:pPr>
      <w:r>
        <w:rPr>
          <w:color w:val="FF0000"/>
        </w:rPr>
        <w:br w:type="page"/>
      </w:r>
    </w:p>
    <w:p w14:paraId="293B0DD7" w14:textId="77777777" w:rsidR="006C7B28" w:rsidRPr="00C84A92" w:rsidRDefault="006C7B28" w:rsidP="00054689">
      <w:pPr>
        <w:pStyle w:val="StandardStyle"/>
        <w:jc w:val="both"/>
        <w:rPr>
          <w:color w:val="000000" w:themeColor="text1"/>
        </w:rPr>
      </w:pPr>
      <w:r w:rsidRPr="00C84A92">
        <w:rPr>
          <w:rFonts w:hint="eastAsia"/>
          <w:color w:val="000000" w:themeColor="text1"/>
        </w:rPr>
        <w:lastRenderedPageBreak/>
        <w:t>Scheme</w:t>
      </w:r>
      <w:r w:rsidRPr="00C84A92">
        <w:rPr>
          <w:color w:val="000000" w:themeColor="text1"/>
        </w:rPr>
        <w:t xml:space="preserve"> S1: EELS low loss thickness estimation.</w:t>
      </w:r>
    </w:p>
    <w:p w14:paraId="598EAED8" w14:textId="7736DE66" w:rsidR="006C7B28" w:rsidRPr="00C65BC8" w:rsidRDefault="006C7B28" w:rsidP="00054689">
      <w:pPr>
        <w:pStyle w:val="StandardStyle"/>
        <w:jc w:val="both"/>
      </w:pPr>
      <w:r>
        <w:t xml:space="preserve">The electron energy loss spectroscopy (EELS) was carried out by high resolution TEM. The low-loss EELS spectra of TCO 200 is shown in </w:t>
      </w:r>
      <w:r w:rsidR="00856BAF">
        <w:t>Fig.</w:t>
      </w:r>
      <w:r>
        <w:t xml:space="preserve"> S5, which can be used to estimate the thickness </w:t>
      </w:r>
      <w:r w:rsidRPr="00C65BC8">
        <w:t xml:space="preserve">of the selected position. The </w:t>
      </w:r>
      <w:r>
        <w:t>thickness was required by the following equation:</w:t>
      </w:r>
    </w:p>
    <w:p w14:paraId="51D68815" w14:textId="77777777" w:rsidR="006C7B28" w:rsidRPr="00C65BC8" w:rsidRDefault="00000000" w:rsidP="00054689">
      <w:pPr>
        <w:pStyle w:val="StandardStyle"/>
        <w:jc w:val="both"/>
        <w:rPr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f>
                <m:fPr>
                  <m:type m:val="skw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</w:rPr>
                    <m:t>λ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=ln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</m:oMath>
      </m:oMathPara>
    </w:p>
    <w:p w14:paraId="2E2F71E2" w14:textId="77777777" w:rsidR="006C7B28" w:rsidRDefault="006C7B28" w:rsidP="00054689">
      <w:pPr>
        <w:pStyle w:val="StandardStyle"/>
        <w:jc w:val="both"/>
      </w:pPr>
      <w:r w:rsidRPr="00C65BC8">
        <w:t xml:space="preserve">where </w:t>
      </w:r>
      <w:r w:rsidRPr="00C65BC8">
        <w:rPr>
          <w:i/>
          <w:iCs/>
        </w:rPr>
        <w:t>t</w:t>
      </w:r>
      <w:r w:rsidRPr="00C65BC8">
        <w:t xml:space="preserve"> is the thickness of sample, </w:t>
      </w:r>
      <w:r w:rsidRPr="00C65BC8">
        <w:rPr>
          <w:i/>
          <w:iCs/>
        </w:rPr>
        <w:t>λ</w:t>
      </w:r>
      <w:r w:rsidRPr="00C65BC8">
        <w:t xml:space="preserve"> is the inelastic mean free path of electron, </w:t>
      </w:r>
      <w:r w:rsidRPr="00C65BC8">
        <w:rPr>
          <w:i/>
          <w:iCs/>
        </w:rPr>
        <w:t>I</w:t>
      </w:r>
      <w:r w:rsidRPr="00C65BC8">
        <w:rPr>
          <w:i/>
          <w:iCs/>
          <w:vertAlign w:val="subscript"/>
        </w:rPr>
        <w:t>t</w:t>
      </w:r>
      <w:r w:rsidRPr="00C65BC8">
        <w:t xml:space="preserve"> is the total integrated intensity of all EELS spectrum, </w:t>
      </w:r>
      <w:r w:rsidRPr="00C65BC8">
        <w:rPr>
          <w:i/>
          <w:iCs/>
        </w:rPr>
        <w:t>I</w:t>
      </w:r>
      <w:r w:rsidRPr="00C65BC8">
        <w:rPr>
          <w:i/>
          <w:iCs/>
          <w:vertAlign w:val="subscript"/>
        </w:rPr>
        <w:t>0</w:t>
      </w:r>
      <w:r w:rsidRPr="00C65BC8">
        <w:t xml:space="preserve"> means the total integrated intensity of zero loss peak (ZLP). The inelastic mean free path is calculated by the following equation from Seah and Dench</w:t>
      </w:r>
    </w:p>
    <w:p w14:paraId="6D30C649" w14:textId="77777777" w:rsidR="006C7B28" w:rsidRPr="00C65BC8" w:rsidRDefault="00000000" w:rsidP="00054689">
      <w:pPr>
        <w:pStyle w:val="StandardStyle"/>
        <w:jc w:val="both"/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iCs/>
                </w:rPr>
              </m:ctrlPr>
            </m:eqArrPr>
            <m:e>
              <m:r>
                <w:rPr>
                  <w:rFonts w:ascii="Cambria Math" w:hAnsi="Cambria Math"/>
                </w:rPr>
                <m:t>λ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=2170</m:t>
              </m:r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+0.72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f>
                    <m:fPr>
                      <m:type m:val="lin"/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1/2</m:t>
                  </m:r>
                </m:sup>
              </m:sSup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0333E0E6" w14:textId="77777777" w:rsidR="006C7B28" w:rsidRDefault="006C7B28" w:rsidP="00054689">
      <w:pPr>
        <w:pStyle w:val="StandardStyle"/>
        <w:jc w:val="both"/>
        <w:rPr>
          <w:color w:val="FF0000"/>
        </w:rPr>
      </w:pPr>
      <w:r w:rsidRPr="00C65BC8">
        <w:t xml:space="preserve">where </w:t>
      </w:r>
      <w:r w:rsidRPr="00C65BC8">
        <w:rPr>
          <w:i/>
          <w:iCs/>
        </w:rPr>
        <w:t>a</w:t>
      </w:r>
      <w:r w:rsidRPr="00C65BC8">
        <w:t xml:space="preserve"> is the average single layer thickness for the selected material, and </w:t>
      </w:r>
      <w:r w:rsidRPr="00C65BC8">
        <w:rPr>
          <w:i/>
          <w:iCs/>
        </w:rPr>
        <w:t>E</w:t>
      </w:r>
      <w:r w:rsidRPr="00C65BC8">
        <w:t xml:space="preserve"> is the electron energy above the Fermi level. Based on the formula, the inelastic mean free path of TCO is 86.37 nm. </w:t>
      </w:r>
      <w:r w:rsidRPr="00C65BC8">
        <w:rPr>
          <w:i/>
          <w:iCs/>
        </w:rPr>
        <w:t>I</w:t>
      </w:r>
      <w:r w:rsidRPr="00C65BC8">
        <w:rPr>
          <w:i/>
          <w:iCs/>
          <w:vertAlign w:val="subscript"/>
        </w:rPr>
        <w:t>t</w:t>
      </w:r>
      <w:r w:rsidRPr="00C65BC8">
        <w:t xml:space="preserve"> and </w:t>
      </w:r>
      <w:r w:rsidRPr="00C65BC8">
        <w:rPr>
          <w:i/>
          <w:iCs/>
        </w:rPr>
        <w:t>I</w:t>
      </w:r>
      <w:r w:rsidRPr="00C65BC8">
        <w:rPr>
          <w:i/>
          <w:iCs/>
          <w:vertAlign w:val="subscript"/>
        </w:rPr>
        <w:t>0</w:t>
      </w:r>
      <w:r w:rsidRPr="00C65BC8">
        <w:t xml:space="preserve"> are calculated as 3.</w:t>
      </w:r>
      <w:r w:rsidRPr="00C65BC8">
        <w:rPr>
          <w:rFonts w:cs="Times New Roman"/>
        </w:rPr>
        <w:t>55 ×</w:t>
      </w:r>
      <w:r w:rsidRPr="00C65BC8">
        <w:t xml:space="preserve"> 10</w:t>
      </w:r>
      <w:r w:rsidRPr="00C65BC8">
        <w:rPr>
          <w:vertAlign w:val="superscript"/>
        </w:rPr>
        <w:t>6</w:t>
      </w:r>
      <w:r w:rsidRPr="00C65BC8">
        <w:t xml:space="preserve"> and 2.81 </w:t>
      </w:r>
      <w:r w:rsidRPr="00C65BC8">
        <w:rPr>
          <w:rFonts w:cs="Times New Roman"/>
        </w:rPr>
        <w:t>×</w:t>
      </w:r>
      <w:r w:rsidRPr="00C65BC8">
        <w:t xml:space="preserve"> 10</w:t>
      </w:r>
      <w:r w:rsidRPr="00C65BC8">
        <w:rPr>
          <w:vertAlign w:val="superscript"/>
        </w:rPr>
        <w:t>6</w:t>
      </w:r>
      <w:r w:rsidRPr="00C65BC8">
        <w:t>, respectively. Based on the calculation above, the estimated thickness at position 1 is 20.34 nm</w:t>
      </w:r>
      <w:r>
        <w:t>.</w:t>
      </w:r>
    </w:p>
    <w:p w14:paraId="78478D20" w14:textId="77777777" w:rsidR="006C7B28" w:rsidRPr="002D1144" w:rsidRDefault="006C7B28" w:rsidP="00054689">
      <w:pPr>
        <w:pStyle w:val="StandardStyle"/>
        <w:jc w:val="both"/>
        <w:rPr>
          <w:color w:val="FF0000"/>
        </w:rPr>
      </w:pPr>
      <w:r w:rsidRPr="002D1144">
        <w:rPr>
          <w:noProof/>
          <w:color w:val="FF0000"/>
        </w:rPr>
        <w:drawing>
          <wp:inline distT="0" distB="0" distL="0" distR="0" wp14:anchorId="0A514A2D" wp14:editId="6B9750AD">
            <wp:extent cx="5943600" cy="25050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6" b="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DFFF5" w14:textId="643373E6" w:rsidR="006C7B28" w:rsidRPr="00C84A92" w:rsidRDefault="00856BAF" w:rsidP="00054689">
      <w:pPr>
        <w:pStyle w:val="StandardStyle"/>
        <w:jc w:val="both"/>
        <w:rPr>
          <w:color w:val="000000" w:themeColor="text1"/>
        </w:rPr>
      </w:pPr>
      <w:r w:rsidRPr="00856BAF">
        <w:rPr>
          <w:b/>
          <w:bCs/>
          <w:color w:val="000000" w:themeColor="text1"/>
        </w:rPr>
        <w:t>Fig.</w:t>
      </w:r>
      <w:r w:rsidR="006C7B28" w:rsidRPr="00856BAF">
        <w:rPr>
          <w:b/>
          <w:bCs/>
          <w:color w:val="000000" w:themeColor="text1"/>
        </w:rPr>
        <w:t xml:space="preserve"> S6</w:t>
      </w:r>
      <w:r w:rsidR="006C7B28" w:rsidRPr="00C84A92">
        <w:rPr>
          <w:color w:val="000000" w:themeColor="text1"/>
        </w:rPr>
        <w:t xml:space="preserve"> The low-loss EELS of TCO 200 </w:t>
      </w:r>
      <w:r w:rsidR="006C7B28" w:rsidRPr="00C84A92">
        <w:rPr>
          <w:rFonts w:hint="eastAsia"/>
          <w:color w:val="000000" w:themeColor="text1"/>
        </w:rPr>
        <w:t>with</w:t>
      </w:r>
      <w:r w:rsidR="006C7B28" w:rsidRPr="00C84A92">
        <w:rPr>
          <w:color w:val="000000" w:themeColor="text1"/>
        </w:rPr>
        <w:t xml:space="preserve"> the position</w:t>
      </w:r>
    </w:p>
    <w:p w14:paraId="1F05CE75" w14:textId="0C23FC20" w:rsidR="00623647" w:rsidRDefault="00623647" w:rsidP="00054689">
      <w:pPr>
        <w:spacing w:after="160" w:line="259" w:lineRule="auto"/>
        <w:ind w:firstLine="0"/>
      </w:pPr>
      <w:r>
        <w:br w:type="page"/>
      </w:r>
    </w:p>
    <w:p w14:paraId="49A3409B" w14:textId="426E5D80" w:rsidR="00C8244C" w:rsidRDefault="004E0704" w:rsidP="00054689">
      <w:pPr>
        <w:pStyle w:val="StandardStyle"/>
        <w:jc w:val="both"/>
      </w:pPr>
      <w:r>
        <w:rPr>
          <w:noProof/>
        </w:rPr>
        <w:lastRenderedPageBreak/>
        <w:drawing>
          <wp:inline distT="0" distB="0" distL="0" distR="0" wp14:anchorId="2134F127" wp14:editId="74B29BBA">
            <wp:extent cx="5943600" cy="2641942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1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7A29C" w14:textId="788A363F" w:rsidR="006C7B28" w:rsidRPr="00C84A92" w:rsidRDefault="00856BAF" w:rsidP="00054689">
      <w:pPr>
        <w:pStyle w:val="StandardStyle"/>
        <w:jc w:val="both"/>
        <w:rPr>
          <w:color w:val="000000" w:themeColor="text1"/>
        </w:rPr>
      </w:pPr>
      <w:r w:rsidRPr="00856BAF">
        <w:rPr>
          <w:b/>
          <w:bCs/>
          <w:color w:val="000000" w:themeColor="text1"/>
        </w:rPr>
        <w:t>Fig.</w:t>
      </w:r>
      <w:r w:rsidR="006C7B28" w:rsidRPr="00856BAF">
        <w:rPr>
          <w:b/>
          <w:bCs/>
          <w:color w:val="000000" w:themeColor="text1"/>
        </w:rPr>
        <w:t xml:space="preserve"> S7</w:t>
      </w:r>
      <w:r w:rsidR="006C7B28" w:rsidRPr="00C84A92">
        <w:rPr>
          <w:color w:val="000000" w:themeColor="text1"/>
        </w:rPr>
        <w:t xml:space="preserve"> The fabrication process of TCO samples</w:t>
      </w:r>
      <w:r w:rsidR="006C7B28">
        <w:rPr>
          <w:color w:val="000000" w:themeColor="text1"/>
        </w:rPr>
        <w:t>: (a) addition, (b) step 1, (c) step 2</w:t>
      </w:r>
      <w:r w:rsidR="006C7B28" w:rsidRPr="00C84A92">
        <w:rPr>
          <w:color w:val="000000" w:themeColor="text1"/>
        </w:rPr>
        <w:t>.</w:t>
      </w:r>
    </w:p>
    <w:p w14:paraId="6C6D26A0" w14:textId="326FBCF0" w:rsidR="00C8244C" w:rsidRDefault="00C8244C" w:rsidP="00054689">
      <w:pPr>
        <w:spacing w:after="160" w:line="259" w:lineRule="auto"/>
        <w:ind w:firstLine="0"/>
      </w:pPr>
      <w:r>
        <w:br w:type="page"/>
      </w:r>
    </w:p>
    <w:p w14:paraId="432CC0BC" w14:textId="00DCB2A2" w:rsidR="0012608E" w:rsidRDefault="0012608E" w:rsidP="00054689">
      <w:pPr>
        <w:spacing w:after="160" w:line="259" w:lineRule="auto"/>
        <w:ind w:firstLine="0"/>
      </w:pPr>
      <w:r>
        <w:rPr>
          <w:noProof/>
        </w:rPr>
        <w:lastRenderedPageBreak/>
        <w:drawing>
          <wp:inline distT="0" distB="0" distL="0" distR="0" wp14:anchorId="79A36FC5" wp14:editId="5C61C770">
            <wp:extent cx="5943600" cy="330255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DA169" w14:textId="3D2F303F" w:rsidR="0012608E" w:rsidRDefault="00856BAF" w:rsidP="00054689">
      <w:pPr>
        <w:spacing w:after="160" w:line="259" w:lineRule="auto"/>
        <w:ind w:firstLine="0"/>
      </w:pPr>
      <w:r w:rsidRPr="00856BAF">
        <w:rPr>
          <w:rFonts w:hint="eastAsia"/>
          <w:b/>
          <w:bCs/>
        </w:rPr>
        <w:t>Fig.</w:t>
      </w:r>
      <w:r w:rsidR="0012608E" w:rsidRPr="00856BAF">
        <w:rPr>
          <w:b/>
          <w:bCs/>
        </w:rPr>
        <w:t xml:space="preserve"> S8</w:t>
      </w:r>
      <w:r w:rsidR="0012608E">
        <w:t xml:space="preserve"> LSV curves of 0.1 M NH</w:t>
      </w:r>
      <w:r w:rsidR="0012608E" w:rsidRPr="002E5E54">
        <w:rPr>
          <w:vertAlign w:val="subscript"/>
        </w:rPr>
        <w:t>3</w:t>
      </w:r>
      <w:r w:rsidR="0012608E">
        <w:t xml:space="preserve"> degraded in 0.25 M H</w:t>
      </w:r>
      <w:r w:rsidR="0012608E" w:rsidRPr="002E5E54">
        <w:rPr>
          <w:vertAlign w:val="subscript"/>
        </w:rPr>
        <w:t>2</w:t>
      </w:r>
      <w:r w:rsidR="0012608E">
        <w:t>SO</w:t>
      </w:r>
      <w:r w:rsidR="0012608E" w:rsidRPr="002E5E54">
        <w:rPr>
          <w:vertAlign w:val="subscript"/>
        </w:rPr>
        <w:t>4</w:t>
      </w:r>
      <w:r w:rsidR="0012608E">
        <w:t xml:space="preserve"> by (a) TCO 500, (b) TCO 800, and (c) TCO 1000</w:t>
      </w:r>
    </w:p>
    <w:p w14:paraId="06B47E7B" w14:textId="04476CFC" w:rsidR="00C31B29" w:rsidRDefault="00C31B29" w:rsidP="00054689">
      <w:pPr>
        <w:spacing w:after="160" w:line="259" w:lineRule="auto"/>
        <w:ind w:firstLine="0"/>
      </w:pPr>
      <w:r>
        <w:br w:type="page"/>
      </w:r>
    </w:p>
    <w:p w14:paraId="05D70DF3" w14:textId="77777777" w:rsidR="006C7B28" w:rsidRDefault="006C7B28" w:rsidP="00054689">
      <w:pPr>
        <w:pStyle w:val="StandardStyle"/>
        <w:jc w:val="both"/>
      </w:pPr>
      <w:r>
        <w:rPr>
          <w:noProof/>
        </w:rPr>
        <w:lastRenderedPageBreak/>
        <w:drawing>
          <wp:inline distT="0" distB="0" distL="0" distR="0" wp14:anchorId="5348D836" wp14:editId="2C9B6453">
            <wp:extent cx="5943600" cy="4956810"/>
            <wp:effectExtent l="0" t="0" r="0" b="0"/>
            <wp:docPr id="8" name="Picture 8" descr="A picture containing text, screenshot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screenshot, line, plo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5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D39C" w14:textId="715B6782" w:rsidR="006C7B28" w:rsidRDefault="00856BAF" w:rsidP="00054689">
      <w:pPr>
        <w:pStyle w:val="StandardStyle"/>
        <w:jc w:val="both"/>
      </w:pPr>
      <w:r w:rsidRPr="00856BAF">
        <w:rPr>
          <w:b/>
          <w:bCs/>
        </w:rPr>
        <w:t>Fig.</w:t>
      </w:r>
      <w:r w:rsidR="006C7B28" w:rsidRPr="00856BAF">
        <w:rPr>
          <w:b/>
          <w:bCs/>
        </w:rPr>
        <w:t xml:space="preserve"> S9</w:t>
      </w:r>
      <w:r w:rsidR="006C7B28">
        <w:t xml:space="preserve"> </w:t>
      </w:r>
      <w:r w:rsidR="006C7B28">
        <w:rPr>
          <w:rFonts w:hint="eastAsia"/>
        </w:rPr>
        <w:t>R</w:t>
      </w:r>
      <w:r w:rsidR="006C7B28">
        <w:t>hB degradation curve by carbon paper electrode (line: solar light, dash: dark)</w:t>
      </w:r>
    </w:p>
    <w:p w14:paraId="7F5E1996" w14:textId="580885BA" w:rsidR="00E35B1F" w:rsidRDefault="00E35B1F" w:rsidP="00054689">
      <w:pPr>
        <w:spacing w:after="160" w:line="259" w:lineRule="auto"/>
        <w:ind w:firstLine="0"/>
      </w:pPr>
      <w:r>
        <w:br w:type="page"/>
      </w:r>
    </w:p>
    <w:p w14:paraId="59FF22AF" w14:textId="3170F9D3" w:rsidR="00E35B1F" w:rsidRDefault="00E35B1F" w:rsidP="00054689">
      <w:pPr>
        <w:pStyle w:val="StandardStyle"/>
        <w:jc w:val="both"/>
      </w:pPr>
      <w:r>
        <w:rPr>
          <w:noProof/>
        </w:rPr>
        <w:lastRenderedPageBreak/>
        <w:drawing>
          <wp:inline distT="0" distB="0" distL="0" distR="0" wp14:anchorId="6C8E986C" wp14:editId="1C2E4ADA">
            <wp:extent cx="5943600" cy="479043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CDAFC" w14:textId="68FE7A12" w:rsidR="00E35B1F" w:rsidRDefault="00856BAF" w:rsidP="00054689">
      <w:pPr>
        <w:pStyle w:val="StandardStyle"/>
        <w:jc w:val="both"/>
      </w:pPr>
      <w:r w:rsidRPr="00856BAF">
        <w:rPr>
          <w:b/>
          <w:bCs/>
        </w:rPr>
        <w:t>Fig.</w:t>
      </w:r>
      <w:r w:rsidR="00E35B1F" w:rsidRPr="00856BAF">
        <w:rPr>
          <w:b/>
          <w:bCs/>
        </w:rPr>
        <w:t xml:space="preserve"> S</w:t>
      </w:r>
      <w:r w:rsidR="006C7B28" w:rsidRPr="00856BAF">
        <w:rPr>
          <w:b/>
          <w:bCs/>
        </w:rPr>
        <w:t>10</w:t>
      </w:r>
      <w:r w:rsidR="00E35B1F">
        <w:t xml:space="preserve"> </w:t>
      </w:r>
      <w:r w:rsidR="00E35B1F" w:rsidRPr="00E35B1F">
        <w:t xml:space="preserve">The UV-vis absorbance spectra of RhB </w:t>
      </w:r>
      <w:r w:rsidR="00E35B1F">
        <w:t>degraded under different conditions</w:t>
      </w:r>
    </w:p>
    <w:sectPr w:rsidR="00E35B1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99CEB" w14:textId="77777777" w:rsidR="00257139" w:rsidRDefault="00257139" w:rsidP="00D47583">
      <w:pPr>
        <w:spacing w:line="240" w:lineRule="auto"/>
      </w:pPr>
      <w:r>
        <w:separator/>
      </w:r>
    </w:p>
  </w:endnote>
  <w:endnote w:type="continuationSeparator" w:id="0">
    <w:p w14:paraId="0E5F44A4" w14:textId="77777777" w:rsidR="00257139" w:rsidRDefault="00257139" w:rsidP="00D475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F6D1D" w14:textId="77777777" w:rsidR="00135837" w:rsidRDefault="0013583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347747"/>
      <w:docPartObj>
        <w:docPartGallery w:val="Page Numbers (Bottom of Page)"/>
        <w:docPartUnique/>
      </w:docPartObj>
    </w:sdtPr>
    <w:sdtContent>
      <w:p w14:paraId="4243DCF1" w14:textId="04858D8A" w:rsidR="00135837" w:rsidRDefault="0013583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FC7E969" w14:textId="77777777" w:rsidR="00135837" w:rsidRDefault="0013583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E207" w14:textId="77777777" w:rsidR="00135837" w:rsidRDefault="001358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23C19" w14:textId="77777777" w:rsidR="00257139" w:rsidRDefault="00257139" w:rsidP="00D47583">
      <w:pPr>
        <w:spacing w:line="240" w:lineRule="auto"/>
      </w:pPr>
      <w:r>
        <w:separator/>
      </w:r>
    </w:p>
  </w:footnote>
  <w:footnote w:type="continuationSeparator" w:id="0">
    <w:p w14:paraId="18296FD4" w14:textId="77777777" w:rsidR="00257139" w:rsidRDefault="00257139" w:rsidP="00D475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7AC6" w14:textId="77777777" w:rsidR="00135837" w:rsidRDefault="0013583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AF94" w14:textId="77777777" w:rsidR="00135837" w:rsidRDefault="0013583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87A90" w14:textId="77777777" w:rsidR="00135837" w:rsidRDefault="0013583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A6"/>
    <w:rsid w:val="00054689"/>
    <w:rsid w:val="000614F1"/>
    <w:rsid w:val="000E68C6"/>
    <w:rsid w:val="0012608E"/>
    <w:rsid w:val="00126A1B"/>
    <w:rsid w:val="00135837"/>
    <w:rsid w:val="0018018B"/>
    <w:rsid w:val="00190757"/>
    <w:rsid w:val="00192ECB"/>
    <w:rsid w:val="001B4AD3"/>
    <w:rsid w:val="00257139"/>
    <w:rsid w:val="00266D8B"/>
    <w:rsid w:val="002E08F9"/>
    <w:rsid w:val="00354593"/>
    <w:rsid w:val="00392F9A"/>
    <w:rsid w:val="003A7055"/>
    <w:rsid w:val="003D320F"/>
    <w:rsid w:val="00414DB3"/>
    <w:rsid w:val="004156B6"/>
    <w:rsid w:val="00422A95"/>
    <w:rsid w:val="004E0704"/>
    <w:rsid w:val="00503336"/>
    <w:rsid w:val="00521705"/>
    <w:rsid w:val="00585DC4"/>
    <w:rsid w:val="005D3F41"/>
    <w:rsid w:val="005D47F8"/>
    <w:rsid w:val="005F315A"/>
    <w:rsid w:val="00623647"/>
    <w:rsid w:val="00624E7A"/>
    <w:rsid w:val="0063764F"/>
    <w:rsid w:val="006C7013"/>
    <w:rsid w:val="006C7B28"/>
    <w:rsid w:val="006D2C45"/>
    <w:rsid w:val="006F06B5"/>
    <w:rsid w:val="006F2B73"/>
    <w:rsid w:val="007746EC"/>
    <w:rsid w:val="00856BAF"/>
    <w:rsid w:val="00894312"/>
    <w:rsid w:val="008E0CCA"/>
    <w:rsid w:val="00954233"/>
    <w:rsid w:val="00960528"/>
    <w:rsid w:val="009A295B"/>
    <w:rsid w:val="00A028B6"/>
    <w:rsid w:val="00A128AD"/>
    <w:rsid w:val="00A2499A"/>
    <w:rsid w:val="00A4154D"/>
    <w:rsid w:val="00A62984"/>
    <w:rsid w:val="00AB6DDB"/>
    <w:rsid w:val="00B47F00"/>
    <w:rsid w:val="00C1680C"/>
    <w:rsid w:val="00C31B29"/>
    <w:rsid w:val="00C8244C"/>
    <w:rsid w:val="00CB3787"/>
    <w:rsid w:val="00D06436"/>
    <w:rsid w:val="00D47583"/>
    <w:rsid w:val="00D8224A"/>
    <w:rsid w:val="00E13A1B"/>
    <w:rsid w:val="00E35B1F"/>
    <w:rsid w:val="00E61B03"/>
    <w:rsid w:val="00ED1408"/>
    <w:rsid w:val="00F360A6"/>
    <w:rsid w:val="00F7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BF8A6"/>
  <w15:chartTrackingRefBased/>
  <w15:docId w15:val="{C8C6C4BE-ACFC-4864-B5C3-511F1626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705"/>
    <w:pPr>
      <w:spacing w:after="0" w:line="480" w:lineRule="auto"/>
      <w:ind w:firstLine="418"/>
      <w:jc w:val="both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A1B"/>
    <w:pPr>
      <w:keepNext/>
      <w:keepLines/>
      <w:spacing w:before="40" w:line="259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A1B"/>
    <w:pPr>
      <w:keepNext/>
      <w:keepLines/>
      <w:spacing w:before="40" w:line="259" w:lineRule="auto"/>
      <w:ind w:firstLine="0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Style">
    <w:name w:val="Standard Style"/>
    <w:basedOn w:val="a"/>
    <w:link w:val="StandardStyleChar"/>
    <w:qFormat/>
    <w:rsid w:val="00521705"/>
    <w:pPr>
      <w:ind w:firstLine="0"/>
      <w:jc w:val="left"/>
    </w:pPr>
  </w:style>
  <w:style w:type="character" w:customStyle="1" w:styleId="StandardStyleChar">
    <w:name w:val="Standard Style Char"/>
    <w:basedOn w:val="a0"/>
    <w:link w:val="StandardStyle"/>
    <w:rsid w:val="00521705"/>
    <w:rPr>
      <w:rFonts w:ascii="Times New Roman" w:hAnsi="Times New Roman"/>
      <w:sz w:val="24"/>
    </w:rPr>
  </w:style>
  <w:style w:type="paragraph" w:styleId="a3">
    <w:name w:val="Title"/>
    <w:basedOn w:val="a"/>
    <w:next w:val="a"/>
    <w:link w:val="a4"/>
    <w:uiPriority w:val="10"/>
    <w:qFormat/>
    <w:rsid w:val="005D3F41"/>
    <w:pPr>
      <w:spacing w:line="240" w:lineRule="auto"/>
      <w:ind w:firstLine="0"/>
      <w:jc w:val="left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a4">
    <w:name w:val="标题 字符"/>
    <w:basedOn w:val="a0"/>
    <w:link w:val="a3"/>
    <w:uiPriority w:val="10"/>
    <w:rsid w:val="005D3F41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customStyle="1" w:styleId="TitleI">
    <w:name w:val="Title I"/>
    <w:basedOn w:val="a3"/>
    <w:link w:val="TitleIChar"/>
    <w:qFormat/>
    <w:rsid w:val="00126A1B"/>
    <w:pPr>
      <w:spacing w:line="360" w:lineRule="auto"/>
      <w:jc w:val="center"/>
    </w:pPr>
    <w:rPr>
      <w:sz w:val="32"/>
    </w:rPr>
  </w:style>
  <w:style w:type="character" w:customStyle="1" w:styleId="TitleIChar">
    <w:name w:val="Title I Char"/>
    <w:basedOn w:val="a0"/>
    <w:link w:val="TitleI"/>
    <w:rsid w:val="00126A1B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paragraph" w:customStyle="1" w:styleId="Title1">
    <w:name w:val="Title 1"/>
    <w:basedOn w:val="a"/>
    <w:link w:val="Title1Char"/>
    <w:qFormat/>
    <w:rsid w:val="00126A1B"/>
    <w:pPr>
      <w:spacing w:line="360" w:lineRule="auto"/>
      <w:ind w:firstLine="0"/>
      <w:jc w:val="center"/>
    </w:pPr>
    <w:rPr>
      <w:b/>
      <w:sz w:val="32"/>
    </w:rPr>
  </w:style>
  <w:style w:type="character" w:customStyle="1" w:styleId="Title1Char">
    <w:name w:val="Title 1 Char"/>
    <w:basedOn w:val="a0"/>
    <w:link w:val="Title1"/>
    <w:rsid w:val="00126A1B"/>
    <w:rPr>
      <w:rFonts w:ascii="Times New Roman" w:hAnsi="Times New Roman"/>
      <w:b/>
      <w:sz w:val="32"/>
    </w:rPr>
  </w:style>
  <w:style w:type="paragraph" w:customStyle="1" w:styleId="Title3">
    <w:name w:val="Title 3"/>
    <w:basedOn w:val="3"/>
    <w:link w:val="Title3Char"/>
    <w:qFormat/>
    <w:rsid w:val="00126A1B"/>
    <w:pPr>
      <w:spacing w:before="0" w:line="360" w:lineRule="auto"/>
    </w:pPr>
    <w:rPr>
      <w:rFonts w:ascii="Times New Roman" w:hAnsi="Times New Roman"/>
      <w:b/>
      <w:color w:val="auto"/>
    </w:rPr>
  </w:style>
  <w:style w:type="character" w:customStyle="1" w:styleId="Title3Char">
    <w:name w:val="Title 3 Char"/>
    <w:basedOn w:val="a0"/>
    <w:link w:val="Title3"/>
    <w:rsid w:val="00126A1B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Title4">
    <w:name w:val="Title 4"/>
    <w:basedOn w:val="4"/>
    <w:link w:val="Title4Char"/>
    <w:qFormat/>
    <w:rsid w:val="00126A1B"/>
    <w:pPr>
      <w:spacing w:before="0"/>
    </w:pPr>
    <w:rPr>
      <w:rFonts w:ascii="Times New Roman" w:hAnsi="Times New Roman"/>
      <w:color w:val="auto"/>
      <w:sz w:val="24"/>
      <w:szCs w:val="24"/>
    </w:rPr>
  </w:style>
  <w:style w:type="character" w:customStyle="1" w:styleId="Title4Char">
    <w:name w:val="Title 4 Char"/>
    <w:basedOn w:val="Title3Char"/>
    <w:link w:val="Title4"/>
    <w:rsid w:val="00126A1B"/>
    <w:rPr>
      <w:rFonts w:ascii="Times New Roman" w:eastAsiaTheme="majorEastAsia" w:hAnsi="Times New Roman" w:cstheme="majorBidi"/>
      <w:b w:val="0"/>
      <w:i/>
      <w:iCs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126A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126A1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header"/>
    <w:basedOn w:val="a"/>
    <w:link w:val="a6"/>
    <w:uiPriority w:val="99"/>
    <w:unhideWhenUsed/>
    <w:rsid w:val="00D47583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页眉 字符"/>
    <w:basedOn w:val="a0"/>
    <w:link w:val="a5"/>
    <w:uiPriority w:val="99"/>
    <w:rsid w:val="00D47583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D47583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页脚 字符"/>
    <w:basedOn w:val="a0"/>
    <w:link w:val="a7"/>
    <w:uiPriority w:val="99"/>
    <w:rsid w:val="00D4758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tif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A009E-8116-4D6E-A8CB-97D4AEC06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　ゼンハン</dc:creator>
  <cp:keywords/>
  <dc:description/>
  <cp:lastModifiedBy>YU　ZHEHAN</cp:lastModifiedBy>
  <cp:revision>38</cp:revision>
  <dcterms:created xsi:type="dcterms:W3CDTF">2023-04-21T05:39:00Z</dcterms:created>
  <dcterms:modified xsi:type="dcterms:W3CDTF">2023-06-20T09:55:00Z</dcterms:modified>
</cp:coreProperties>
</file>