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3381CB" w14:textId="77777777" w:rsidR="00E00428" w:rsidRPr="00894B71" w:rsidRDefault="00E00428" w:rsidP="00E00428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1E4C82">
        <w:rPr>
          <w:rFonts w:ascii="Times New Roman" w:eastAsia="Times New Roman" w:hAnsi="Times New Roman" w:cs="Times New Roman"/>
          <w:b/>
          <w:sz w:val="32"/>
          <w:szCs w:val="32"/>
        </w:rPr>
        <w:t xml:space="preserve">Supplementary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information</w:t>
      </w:r>
    </w:p>
    <w:p w14:paraId="0D06FA80" w14:textId="77777777" w:rsidR="00E00428" w:rsidRPr="00894B71" w:rsidRDefault="00E00428" w:rsidP="00E0042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4B71">
        <w:rPr>
          <w:rFonts w:ascii="Times New Roman" w:eastAsia="Times New Roman" w:hAnsi="Times New Roman" w:cs="Times New Roman"/>
        </w:rPr>
        <w:t xml:space="preserve"> </w:t>
      </w:r>
    </w:p>
    <w:p w14:paraId="5FC4CB5B" w14:textId="77777777" w:rsidR="00E00428" w:rsidRDefault="00E00428" w:rsidP="00E00428">
      <w:pPr>
        <w:spacing w:line="360" w:lineRule="auto"/>
      </w:pPr>
      <w:r w:rsidRPr="00566F09">
        <w:rPr>
          <w:noProof/>
        </w:rPr>
        <w:t xml:space="preserve"> </w:t>
      </w:r>
    </w:p>
    <w:p w14:paraId="1BBA3E23" w14:textId="77777777" w:rsidR="00E00428" w:rsidRDefault="00E00428" w:rsidP="00E00428">
      <w:pPr>
        <w:spacing w:line="360" w:lineRule="auto"/>
      </w:pPr>
      <w:r w:rsidRPr="006F350E">
        <w:rPr>
          <w:noProof/>
        </w:rPr>
        <w:drawing>
          <wp:inline distT="0" distB="0" distL="0" distR="0" wp14:anchorId="72F8A44D" wp14:editId="47C40A05">
            <wp:extent cx="5676900" cy="2781300"/>
            <wp:effectExtent l="0" t="0" r="0" b="0"/>
            <wp:docPr id="1625690548" name="Picture 1625690548">
              <a:extLst xmlns:a="http://schemas.openxmlformats.org/drawingml/2006/main">
                <a:ext uri="{FF2B5EF4-FFF2-40B4-BE49-F238E27FC236}">
                  <a16:creationId xmlns:a16="http://schemas.microsoft.com/office/drawing/2014/main" id="{A2B03AFA-1107-659A-470C-1C46F193C4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A2B03AFA-1107-659A-470C-1C46F193C4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E9856" w14:textId="77777777" w:rsidR="00E00428" w:rsidRDefault="00E00428" w:rsidP="00E00428">
      <w:pPr>
        <w:spacing w:line="360" w:lineRule="auto"/>
      </w:pPr>
    </w:p>
    <w:p w14:paraId="2656E9FE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11F3D">
        <w:rPr>
          <w:rFonts w:ascii="Times New Roman" w:eastAsia="Times New Roman" w:hAnsi="Times New Roman" w:cs="Times New Roman"/>
          <w:b/>
          <w:bCs/>
        </w:rPr>
        <w:t xml:space="preserve">Supplementary </w:t>
      </w:r>
      <w:r w:rsidRPr="00E11F3D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1</w:t>
      </w:r>
      <w:r w:rsidRPr="00E11F3D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2A4979">
        <w:rPr>
          <w:rFonts w:ascii="Times New Roman" w:hAnsi="Times New Roman" w:cs="Times New Roman"/>
          <w:b/>
          <w:bCs/>
        </w:rPr>
        <w:t xml:space="preserve">Feature selection and feature importance by the logistic LASSO regression model. </w:t>
      </w:r>
    </w:p>
    <w:p w14:paraId="6F5B8B70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 w:rsidRPr="00FD0626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. Feature importance of from the 8-feature logistic regression</w:t>
      </w:r>
      <w:r w:rsidRPr="008F5BB8">
        <w:rPr>
          <w:rFonts w:ascii="Times New Roman" w:hAnsi="Times New Roman" w:cs="Times New Roman"/>
        </w:rPr>
        <w:t xml:space="preserve"> classifier</w:t>
      </w:r>
      <w:r>
        <w:rPr>
          <w:rFonts w:ascii="Times New Roman" w:hAnsi="Times New Roman" w:cs="Times New Roman"/>
        </w:rPr>
        <w:t xml:space="preserve"> using features </w:t>
      </w:r>
      <w:r w:rsidRPr="009F5686">
        <w:rPr>
          <w:rFonts w:ascii="Times New Roman" w:hAnsi="Times New Roman" w:cs="Times New Roman"/>
        </w:rPr>
        <w:t xml:space="preserve">commonly measured across most </w:t>
      </w:r>
      <w:r>
        <w:rPr>
          <w:rFonts w:ascii="Times New Roman" w:hAnsi="Times New Roman" w:cs="Times New Roman"/>
        </w:rPr>
        <w:t xml:space="preserve">patients. </w:t>
      </w:r>
    </w:p>
    <w:p w14:paraId="2601438C" w14:textId="77777777" w:rsidR="00E00428" w:rsidRPr="00F2064E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 w:rsidRPr="00FD0626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. Feature importance of the 6-feature logistic </w:t>
      </w:r>
      <w:r w:rsidRPr="00F2064E">
        <w:rPr>
          <w:rFonts w:ascii="Times New Roman" w:hAnsi="Times New Roman" w:cs="Times New Roman"/>
        </w:rPr>
        <w:t xml:space="preserve">regression classifier LLR6. The feature importance is calculated as the absolute values of the corresponding coefficients in the logistic regression models. </w:t>
      </w:r>
      <w:r>
        <w:rPr>
          <w:rFonts w:ascii="Times New Roman" w:hAnsi="Times New Roman" w:cs="Times New Roman"/>
        </w:rPr>
        <w:t>Importance for cancer type is calculated as the average importance of individual cancer types.</w:t>
      </w:r>
    </w:p>
    <w:p w14:paraId="19890F14" w14:textId="77777777" w:rsidR="00E00428" w:rsidRDefault="00E00428" w:rsidP="00E00428">
      <w:r>
        <w:br w:type="page"/>
      </w:r>
    </w:p>
    <w:p w14:paraId="3A14351A" w14:textId="77777777" w:rsidR="00E00428" w:rsidRDefault="00E00428" w:rsidP="00E00428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46C138F5" wp14:editId="7DB2F25B">
            <wp:extent cx="5203825" cy="8229600"/>
            <wp:effectExtent l="0" t="0" r="3175" b="0"/>
            <wp:docPr id="832413991" name="Picture 832413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337822" name="Picture 43733782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6012F" w14:textId="77777777" w:rsidR="00E00428" w:rsidRDefault="00E00428" w:rsidP="00E00428">
      <w:pPr>
        <w:spacing w:line="360" w:lineRule="auto"/>
        <w:rPr>
          <w:rFonts w:ascii="Times New Roman" w:hAnsi="Times New Roman" w:cs="Times New Roman"/>
          <w:b/>
          <w:bCs/>
        </w:rPr>
      </w:pPr>
      <w:r w:rsidRPr="00E11F3D">
        <w:rPr>
          <w:rFonts w:ascii="Times New Roman" w:eastAsia="Times New Roman" w:hAnsi="Times New Roman" w:cs="Times New Roman"/>
          <w:b/>
          <w:bCs/>
        </w:rPr>
        <w:lastRenderedPageBreak/>
        <w:t xml:space="preserve">Supplementary </w:t>
      </w:r>
      <w:r w:rsidRPr="00E11F3D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2</w:t>
      </w:r>
      <w:r w:rsidRPr="00E11F3D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385CB6">
        <w:rPr>
          <w:rFonts w:ascii="Times New Roman" w:hAnsi="Times New Roman" w:cs="Times New Roman"/>
          <w:b/>
          <w:bCs/>
        </w:rPr>
        <w:t xml:space="preserve">Comparison </w:t>
      </w:r>
      <w:r>
        <w:rPr>
          <w:rFonts w:ascii="Times New Roman" w:hAnsi="Times New Roman" w:cs="Times New Roman"/>
          <w:b/>
          <w:bCs/>
        </w:rPr>
        <w:t xml:space="preserve">of </w:t>
      </w:r>
      <w:r w:rsidRPr="00385CB6">
        <w:rPr>
          <w:rFonts w:ascii="Times New Roman" w:hAnsi="Times New Roman" w:cs="Times New Roman"/>
          <w:b/>
          <w:bCs/>
        </w:rPr>
        <w:t>predictive power</w:t>
      </w:r>
      <w:r>
        <w:rPr>
          <w:rFonts w:ascii="Times New Roman" w:hAnsi="Times New Roman" w:cs="Times New Roman"/>
          <w:b/>
          <w:bCs/>
        </w:rPr>
        <w:t xml:space="preserve"> </w:t>
      </w:r>
      <w:r w:rsidRPr="00385CB6">
        <w:rPr>
          <w:rFonts w:ascii="Times New Roman" w:hAnsi="Times New Roman" w:cs="Times New Roman"/>
          <w:b/>
          <w:bCs/>
        </w:rPr>
        <w:t>of pan-cancer model</w:t>
      </w:r>
      <w:r>
        <w:rPr>
          <w:rFonts w:ascii="Times New Roman" w:hAnsi="Times New Roman" w:cs="Times New Roman"/>
          <w:b/>
          <w:bCs/>
        </w:rPr>
        <w:t>s for ICB response prediction</w:t>
      </w:r>
      <w:r w:rsidRPr="00156889">
        <w:rPr>
          <w:rFonts w:ascii="Times New Roman" w:hAnsi="Times New Roman" w:cs="Times New Roman"/>
          <w:b/>
          <w:bCs/>
        </w:rPr>
        <w:t xml:space="preserve">. </w:t>
      </w:r>
    </w:p>
    <w:p w14:paraId="7CA840A3" w14:textId="77777777" w:rsidR="00E00428" w:rsidRDefault="00E00428" w:rsidP="00E00428">
      <w:pPr>
        <w:spacing w:line="360" w:lineRule="auto"/>
        <w:rPr>
          <w:rFonts w:ascii="Times New Roman" w:hAnsi="Times New Roman" w:cs="Times New Roman"/>
        </w:rPr>
      </w:pPr>
      <w:r w:rsidRPr="00960B65">
        <w:rPr>
          <w:rFonts w:ascii="Times New Roman" w:hAnsi="Times New Roman" w:cs="Times New Roman"/>
          <w:b/>
          <w:bCs/>
        </w:rPr>
        <w:t>A</w:t>
      </w:r>
      <w:r w:rsidRPr="00FB45B0">
        <w:rPr>
          <w:rFonts w:ascii="Times New Roman" w:hAnsi="Times New Roman" w:cs="Times New Roman"/>
        </w:rPr>
        <w:t xml:space="preserve">. Model </w:t>
      </w:r>
      <w:r>
        <w:rPr>
          <w:rFonts w:ascii="Times New Roman" w:hAnsi="Times New Roman" w:cs="Times New Roman"/>
        </w:rPr>
        <w:t xml:space="preserve">predictive power on the validation data. </w:t>
      </w:r>
      <w:r w:rsidRPr="00720152">
        <w:rPr>
          <w:rFonts w:ascii="Times New Roman" w:hAnsi="Times New Roman" w:cs="Times New Roman"/>
        </w:rPr>
        <w:t xml:space="preserve">Model </w:t>
      </w:r>
      <w:r w:rsidRPr="00B244E2">
        <w:rPr>
          <w:rFonts w:ascii="Times New Roman" w:hAnsi="Times New Roman" w:cs="Times New Roman"/>
          <w:i/>
          <w:iCs/>
        </w:rPr>
        <w:t>performance</w:t>
      </w:r>
      <w:r w:rsidRPr="00FA78C6">
        <w:rPr>
          <w:rFonts w:ascii="Times New Roman" w:hAnsi="Times New Roman" w:cs="Times New Roman"/>
        </w:rPr>
        <w:t xml:space="preserve"> is defined as the geometric mean of </w:t>
      </w:r>
      <w:r w:rsidRPr="001D370D">
        <w:rPr>
          <w:rFonts w:ascii="Times New Roman" w:hAnsi="Times New Roman" w:cs="Times New Roman"/>
        </w:rPr>
        <w:t xml:space="preserve">four metrics, i.e., AUC, </w:t>
      </w:r>
      <w:r>
        <w:rPr>
          <w:rFonts w:ascii="Times New Roman" w:hAnsi="Times New Roman" w:cs="Times New Roman"/>
        </w:rPr>
        <w:t>AUPRC</w:t>
      </w:r>
      <w:r w:rsidRPr="001D370D">
        <w:rPr>
          <w:rFonts w:ascii="Times New Roman" w:hAnsi="Times New Roman" w:cs="Times New Roman"/>
        </w:rPr>
        <w:t>, accuracy, and F1 score</w:t>
      </w:r>
      <w:r w:rsidRPr="00FA78C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5DC4A1E0" w14:textId="77777777" w:rsidR="00E00428" w:rsidRDefault="00E00428" w:rsidP="00E00428">
      <w:pPr>
        <w:spacing w:line="360" w:lineRule="auto"/>
        <w:rPr>
          <w:rFonts w:ascii="Times New Roman" w:hAnsi="Times New Roman" w:cs="Times New Roman"/>
        </w:rPr>
      </w:pPr>
      <w:r w:rsidRPr="00A37C0E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. Difference of model predictive power between the training and the validation data</w:t>
      </w:r>
      <w:r w:rsidRPr="00960B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</w:t>
      </w:r>
      <w:r w:rsidRPr="00741BC2">
        <w:rPr>
          <w:rFonts w:ascii="Times New Roman" w:hAnsi="Times New Roman" w:cs="Times New Roman"/>
        </w:rPr>
        <w:t>arious performance metrics</w:t>
      </w:r>
      <w:r>
        <w:rPr>
          <w:rFonts w:ascii="Times New Roman" w:hAnsi="Times New Roman" w:cs="Times New Roman"/>
        </w:rPr>
        <w:t xml:space="preserve"> were calculated with </w:t>
      </w:r>
      <w:r w:rsidRPr="001D6892">
        <w:rPr>
          <w:rFonts w:ascii="Times New Roman" w:hAnsi="Times New Roman" w:cs="Times New Roman"/>
        </w:rPr>
        <w:t>2000-repeated 5-fold cross-validation</w:t>
      </w:r>
      <w:r w:rsidRPr="00741BC2">
        <w:rPr>
          <w:rFonts w:ascii="Times New Roman" w:hAnsi="Times New Roman" w:cs="Times New Roman"/>
        </w:rPr>
        <w:t>.</w:t>
      </w:r>
      <w:r w:rsidRPr="003742D6">
        <w:rPr>
          <w:rFonts w:ascii="Times New Roman" w:hAnsi="Times New Roman" w:cs="Times New Roman"/>
        </w:rPr>
        <w:t xml:space="preserve"> </w:t>
      </w:r>
    </w:p>
    <w:p w14:paraId="5B830788" w14:textId="77777777" w:rsidR="00E00428" w:rsidRDefault="00E00428" w:rsidP="00E00428">
      <w:pPr>
        <w:spacing w:line="360" w:lineRule="auto"/>
        <w:rPr>
          <w:rFonts w:ascii="Times New Roman" w:hAnsi="Times New Roman" w:cs="Times New Roman"/>
        </w:rPr>
      </w:pPr>
      <w:r w:rsidRPr="00F71FB2">
        <w:rPr>
          <w:rFonts w:ascii="Times New Roman" w:hAnsi="Times New Roman" w:cs="Times New Roman"/>
        </w:rPr>
        <w:t xml:space="preserve">All </w:t>
      </w:r>
      <w:r>
        <w:rPr>
          <w:rFonts w:ascii="Times New Roman" w:hAnsi="Times New Roman" w:cs="Times New Roman"/>
        </w:rPr>
        <w:t xml:space="preserve">machine learning </w:t>
      </w:r>
      <w:r w:rsidRPr="00F71FB2">
        <w:rPr>
          <w:rFonts w:ascii="Times New Roman" w:hAnsi="Times New Roman" w:cs="Times New Roman"/>
        </w:rPr>
        <w:t xml:space="preserve">models take all 16 measured features from the </w:t>
      </w:r>
      <w:r w:rsidRPr="00F71FB2">
        <w:rPr>
          <w:rFonts w:ascii="Times New Roman" w:hAnsi="Times New Roman" w:cs="Times New Roman"/>
          <w:i/>
          <w:iCs/>
        </w:rPr>
        <w:t>Chowell et al.</w:t>
      </w:r>
      <w:r w:rsidRPr="00F71FB2">
        <w:rPr>
          <w:rFonts w:ascii="Times New Roman" w:hAnsi="Times New Roman" w:cs="Times New Roman"/>
        </w:rPr>
        <w:t xml:space="preserve"> cohort as input, with the exception of the LLR6 and LR5 models, which utilize 6 and 5 features, respectively.</w:t>
      </w:r>
    </w:p>
    <w:p w14:paraId="4CC4E198" w14:textId="77777777" w:rsidR="00E00428" w:rsidRDefault="00E00428" w:rsidP="00E004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80F615B" w14:textId="77777777" w:rsidR="00E00428" w:rsidRDefault="00E00428" w:rsidP="00E00428">
      <w:pPr>
        <w:spacing w:line="360" w:lineRule="auto"/>
      </w:pPr>
      <w:r w:rsidRPr="001F591B">
        <w:rPr>
          <w:noProof/>
        </w:rPr>
        <w:lastRenderedPageBreak/>
        <w:drawing>
          <wp:inline distT="0" distB="0" distL="0" distR="0" wp14:anchorId="550887B7" wp14:editId="434B5EA8">
            <wp:extent cx="5943600" cy="4423410"/>
            <wp:effectExtent l="0" t="0" r="0" b="0"/>
            <wp:docPr id="867141615" name="Picture 867141615">
              <a:extLst xmlns:a="http://schemas.openxmlformats.org/drawingml/2006/main">
                <a:ext uri="{FF2B5EF4-FFF2-40B4-BE49-F238E27FC236}">
                  <a16:creationId xmlns:a16="http://schemas.microsoft.com/office/drawing/2014/main" id="{2976DF69-50B0-2853-6F44-B9653F9E7D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2976DF69-50B0-2853-6F44-B9653F9E7D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2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6B16E" w14:textId="77777777" w:rsidR="00E00428" w:rsidRDefault="00E00428" w:rsidP="00E00428">
      <w:pPr>
        <w:spacing w:line="360" w:lineRule="auto"/>
        <w:rPr>
          <w:rFonts w:ascii="Times New Roman" w:hAnsi="Times New Roman" w:cs="Times New Roman"/>
          <w:b/>
          <w:bCs/>
        </w:rPr>
      </w:pPr>
      <w:r w:rsidRPr="00E11F3D">
        <w:rPr>
          <w:rFonts w:ascii="Times New Roman" w:eastAsia="Times New Roman" w:hAnsi="Times New Roman" w:cs="Times New Roman"/>
          <w:b/>
          <w:bCs/>
        </w:rPr>
        <w:t xml:space="preserve">Supplementary </w:t>
      </w:r>
      <w:r w:rsidRPr="00E11F3D">
        <w:rPr>
          <w:rFonts w:ascii="Times New Roman" w:hAnsi="Times New Roman" w:cs="Times New Roman"/>
          <w:b/>
          <w:bCs/>
        </w:rPr>
        <w:t>Figure</w:t>
      </w:r>
      <w:r>
        <w:rPr>
          <w:rFonts w:ascii="Times New Roman" w:hAnsi="Times New Roman" w:cs="Times New Roman"/>
          <w:b/>
          <w:bCs/>
        </w:rPr>
        <w:t xml:space="preserve"> 3</w:t>
      </w:r>
      <w:r w:rsidRPr="00E11F3D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Comparison of model predictive power </w:t>
      </w:r>
      <w:r w:rsidRPr="00FA47D1">
        <w:rPr>
          <w:rFonts w:ascii="Times New Roman" w:hAnsi="Times New Roman" w:cs="Times New Roman"/>
          <w:b/>
          <w:bCs/>
        </w:rPr>
        <w:t>on the training set and across multiple unseen test sets</w:t>
      </w:r>
      <w:r>
        <w:rPr>
          <w:rFonts w:ascii="Times New Roman" w:hAnsi="Times New Roman" w:cs="Times New Roman"/>
          <w:b/>
          <w:bCs/>
        </w:rPr>
        <w:t xml:space="preserve">. </w:t>
      </w:r>
    </w:p>
    <w:p w14:paraId="1EA1ACD8" w14:textId="77777777" w:rsidR="00E00428" w:rsidRDefault="00E00428" w:rsidP="00E0042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Multiple metrics were used to compare predictive power of LLR6, RF6, and the TMB biomarker, including accuracy, F1 score, positive predictive value (PPV), negative predictive value (NPV), specificity, and sensitivity.</w:t>
      </w:r>
    </w:p>
    <w:p w14:paraId="3B7092D1" w14:textId="77777777" w:rsidR="00E00428" w:rsidRDefault="00E00428" w:rsidP="00E00428">
      <w:pPr>
        <w:spacing w:line="360" w:lineRule="auto"/>
        <w:rPr>
          <w:rFonts w:ascii="Times New Roman" w:hAnsi="Times New Roman" w:cs="Times New Roman"/>
        </w:rPr>
      </w:pPr>
      <w:r w:rsidRPr="00287402">
        <w:rPr>
          <w:rFonts w:ascii="Times New Roman" w:hAnsi="Times New Roman" w:cs="Times New Roman"/>
        </w:rPr>
        <w:t xml:space="preserve">The optimal thresholds </w:t>
      </w:r>
      <w:r>
        <w:rPr>
          <w:rFonts w:ascii="Times New Roman" w:hAnsi="Times New Roman" w:cs="Times New Roman"/>
        </w:rPr>
        <w:t xml:space="preserve">of 0.5 and 0.27 </w:t>
      </w:r>
      <w:r w:rsidRPr="00287402">
        <w:rPr>
          <w:rFonts w:ascii="Times New Roman" w:hAnsi="Times New Roman" w:cs="Times New Roman"/>
        </w:rPr>
        <w:t>that differentiate responders from non-responders were determined on the training data for LLR6 and RF6 models using the Youden</w:t>
      </w:r>
      <w:r>
        <w:rPr>
          <w:rFonts w:ascii="Times New Roman" w:hAnsi="Times New Roman" w:cs="Times New Roman"/>
        </w:rPr>
        <w:t>’</w:t>
      </w:r>
      <w:r w:rsidRPr="00287402">
        <w:rPr>
          <w:rFonts w:ascii="Times New Roman" w:hAnsi="Times New Roman" w:cs="Times New Roman"/>
        </w:rPr>
        <w:t>s index</w:t>
      </w:r>
      <w:r>
        <w:rPr>
          <w:rFonts w:ascii="Times New Roman" w:hAnsi="Times New Roman" w:cs="Times New Roman"/>
        </w:rPr>
        <w:t xml:space="preserve"> respectively</w:t>
      </w:r>
      <w:r w:rsidRPr="00287402">
        <w:rPr>
          <w:rFonts w:ascii="Times New Roman" w:hAnsi="Times New Roman" w:cs="Times New Roman"/>
        </w:rPr>
        <w:t>. As for the TMB model, the threshold of 10 Mut/Mb was utilized.</w:t>
      </w:r>
    </w:p>
    <w:p w14:paraId="68BD262D" w14:textId="77777777" w:rsidR="00E00428" w:rsidRDefault="00E00428" w:rsidP="00E004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B6E8CC6" w14:textId="77777777" w:rsidR="00E00428" w:rsidRDefault="00E00428" w:rsidP="00E00428">
      <w:pPr>
        <w:spacing w:line="360" w:lineRule="auto"/>
      </w:pPr>
      <w:r w:rsidRPr="002B4D98">
        <w:rPr>
          <w:noProof/>
        </w:rPr>
        <w:lastRenderedPageBreak/>
        <w:drawing>
          <wp:inline distT="0" distB="0" distL="0" distR="0" wp14:anchorId="3D7B3171" wp14:editId="3A2490CC">
            <wp:extent cx="5777865" cy="8229600"/>
            <wp:effectExtent l="0" t="0" r="0" b="0"/>
            <wp:docPr id="499603966" name="Picture 499603966">
              <a:extLst xmlns:a="http://schemas.openxmlformats.org/drawingml/2006/main">
                <a:ext uri="{FF2B5EF4-FFF2-40B4-BE49-F238E27FC236}">
                  <a16:creationId xmlns:a16="http://schemas.microsoft.com/office/drawing/2014/main" id="{4A6AD40C-D383-21BC-5889-F384EC6324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2">
                      <a:extLst>
                        <a:ext uri="{FF2B5EF4-FFF2-40B4-BE49-F238E27FC236}">
                          <a16:creationId xmlns:a16="http://schemas.microsoft.com/office/drawing/2014/main" id="{4A6AD40C-D383-21BC-5889-F384EC6324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786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B6E82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11F3D">
        <w:rPr>
          <w:rFonts w:ascii="Times New Roman" w:eastAsia="Times New Roman" w:hAnsi="Times New Roman" w:cs="Times New Roman"/>
          <w:b/>
          <w:bCs/>
        </w:rPr>
        <w:lastRenderedPageBreak/>
        <w:t xml:space="preserve">Supplementary </w:t>
      </w:r>
      <w:r w:rsidRPr="00E11F3D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4</w:t>
      </w:r>
      <w:r w:rsidRPr="00E11F3D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C43CA3">
        <w:rPr>
          <w:rFonts w:ascii="Times New Roman" w:hAnsi="Times New Roman" w:cs="Times New Roman"/>
          <w:b/>
          <w:bCs/>
        </w:rPr>
        <w:t xml:space="preserve">LORIS </w:t>
      </w:r>
      <w:r>
        <w:rPr>
          <w:rFonts w:ascii="Times New Roman" w:hAnsi="Times New Roman" w:cs="Times New Roman"/>
          <w:b/>
          <w:bCs/>
        </w:rPr>
        <w:t xml:space="preserve">predicts PFS following </w:t>
      </w:r>
      <w:r w:rsidRPr="00C43CA3">
        <w:rPr>
          <w:rFonts w:ascii="Times New Roman" w:hAnsi="Times New Roman" w:cs="Times New Roman"/>
          <w:b/>
          <w:bCs/>
        </w:rPr>
        <w:t xml:space="preserve">immunotherapy </w:t>
      </w:r>
      <w:r>
        <w:rPr>
          <w:rFonts w:ascii="Times New Roman" w:hAnsi="Times New Roman" w:cs="Times New Roman"/>
          <w:b/>
          <w:bCs/>
        </w:rPr>
        <w:t>for both</w:t>
      </w:r>
      <w:r w:rsidRPr="00C43CA3">
        <w:rPr>
          <w:rFonts w:ascii="Times New Roman" w:hAnsi="Times New Roman" w:cs="Times New Roman"/>
          <w:b/>
          <w:bCs/>
        </w:rPr>
        <w:t xml:space="preserve"> pan-cancer and </w:t>
      </w:r>
      <w:r>
        <w:rPr>
          <w:rFonts w:ascii="Times New Roman" w:hAnsi="Times New Roman" w:cs="Times New Roman"/>
          <w:b/>
          <w:bCs/>
        </w:rPr>
        <w:t xml:space="preserve">individual </w:t>
      </w:r>
      <w:r w:rsidRPr="00C43CA3">
        <w:rPr>
          <w:rFonts w:ascii="Times New Roman" w:hAnsi="Times New Roman" w:cs="Times New Roman"/>
          <w:b/>
          <w:bCs/>
        </w:rPr>
        <w:t>cancer types</w:t>
      </w:r>
      <w:r>
        <w:rPr>
          <w:rFonts w:ascii="Times New Roman" w:hAnsi="Times New Roman" w:cs="Times New Roman"/>
          <w:b/>
          <w:bCs/>
        </w:rPr>
        <w:t>.</w:t>
      </w:r>
    </w:p>
    <w:p w14:paraId="066B3E42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 w:rsidRPr="00BA30CC"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</w:rPr>
        <w:t xml:space="preserve"> </w:t>
      </w:r>
      <w:r w:rsidRPr="0013240B">
        <w:rPr>
          <w:rFonts w:ascii="Times New Roman" w:hAnsi="Times New Roman" w:cs="Times New Roman"/>
        </w:rPr>
        <w:t xml:space="preserve">Kaplan–Meier analysis of </w:t>
      </w:r>
      <w:r>
        <w:rPr>
          <w:rFonts w:ascii="Times New Roman" w:hAnsi="Times New Roman" w:cs="Times New Roman"/>
        </w:rPr>
        <w:t xml:space="preserve">pan-cancer PFS with </w:t>
      </w:r>
      <w:r w:rsidRPr="0013240B">
        <w:rPr>
          <w:rFonts w:ascii="Times New Roman" w:hAnsi="Times New Roman" w:cs="Times New Roman"/>
        </w:rPr>
        <w:t>TMB binned at 10 Mut / Mb and LORIS binned at 0.5. P values next to the legend indicate pairwise comparisons. H, high; L, low.</w:t>
      </w:r>
      <w:r>
        <w:rPr>
          <w:rFonts w:ascii="Times New Roman" w:hAnsi="Times New Roman" w:cs="Times New Roman"/>
        </w:rPr>
        <w:t xml:space="preserve"> </w:t>
      </w:r>
    </w:p>
    <w:p w14:paraId="5B4012F6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 w:rsidRPr="0013240B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. </w:t>
      </w:r>
      <w:r w:rsidRPr="0013240B">
        <w:rPr>
          <w:rFonts w:ascii="Times New Roman" w:hAnsi="Times New Roman" w:cs="Times New Roman"/>
        </w:rPr>
        <w:t xml:space="preserve">Same as panel A, but TMB is binned at the highest 20th percentile, and LORIS is binned at the 50th percentile for each </w:t>
      </w:r>
      <w:r>
        <w:rPr>
          <w:rFonts w:ascii="Times New Roman" w:hAnsi="Times New Roman" w:cs="Times New Roman"/>
        </w:rPr>
        <w:t>cancer type</w:t>
      </w:r>
      <w:r w:rsidRPr="0013240B">
        <w:rPr>
          <w:rFonts w:ascii="Times New Roman" w:hAnsi="Times New Roman" w:cs="Times New Roman"/>
        </w:rPr>
        <w:t xml:space="preserve">. </w:t>
      </w:r>
    </w:p>
    <w:p w14:paraId="44244EEB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 w:rsidRPr="00BA30CC">
        <w:rPr>
          <w:rFonts w:ascii="Times New Roman" w:hAnsi="Times New Roman" w:cs="Times New Roman"/>
          <w:b/>
          <w:bCs/>
        </w:rPr>
        <w:t>C-D.</w:t>
      </w:r>
      <w:r>
        <w:rPr>
          <w:rFonts w:ascii="Times New Roman" w:hAnsi="Times New Roman" w:cs="Times New Roman"/>
        </w:rPr>
        <w:t xml:space="preserve"> </w:t>
      </w:r>
      <w:r w:rsidRPr="0013240B">
        <w:rPr>
          <w:rFonts w:ascii="Times New Roman" w:hAnsi="Times New Roman" w:cs="Times New Roman"/>
        </w:rPr>
        <w:t xml:space="preserve">Forest plot of </w:t>
      </w:r>
      <w:r>
        <w:rPr>
          <w:rFonts w:ascii="Times New Roman" w:hAnsi="Times New Roman" w:cs="Times New Roman"/>
        </w:rPr>
        <w:t>PFS</w:t>
      </w:r>
      <w:r w:rsidRPr="0013240B">
        <w:rPr>
          <w:rFonts w:ascii="Times New Roman" w:hAnsi="Times New Roman" w:cs="Times New Roman"/>
        </w:rPr>
        <w:t xml:space="preserve"> within each cancer type using LORIS (binned at the 50th percentile; </w:t>
      </w:r>
      <w:r w:rsidRPr="0013240B">
        <w:rPr>
          <w:rFonts w:ascii="Times New Roman" w:hAnsi="Times New Roman" w:cs="Times New Roman"/>
          <w:b/>
          <w:bCs/>
        </w:rPr>
        <w:t>C</w:t>
      </w:r>
      <w:r w:rsidRPr="0013240B">
        <w:rPr>
          <w:rFonts w:ascii="Times New Roman" w:hAnsi="Times New Roman" w:cs="Times New Roman"/>
        </w:rPr>
        <w:t xml:space="preserve">) or TMB (binned at the highest 20th percentile; </w:t>
      </w:r>
      <w:r w:rsidRPr="0013240B">
        <w:rPr>
          <w:rFonts w:ascii="Times New Roman" w:hAnsi="Times New Roman" w:cs="Times New Roman"/>
          <w:b/>
          <w:bCs/>
        </w:rPr>
        <w:t>D</w:t>
      </w:r>
      <w:r w:rsidRPr="0013240B">
        <w:rPr>
          <w:rFonts w:ascii="Times New Roman" w:hAnsi="Times New Roman" w:cs="Times New Roman"/>
        </w:rPr>
        <w:t>) in a multivariable model with adjustment for cancer type, age, drug class of ICB and year of ICB start.</w:t>
      </w:r>
      <w:r>
        <w:rPr>
          <w:rFonts w:ascii="Times New Roman" w:hAnsi="Times New Roman" w:cs="Times New Roman"/>
        </w:rPr>
        <w:t xml:space="preserve"> </w:t>
      </w:r>
    </w:p>
    <w:p w14:paraId="3FF46842" w14:textId="77777777" w:rsidR="00E00428" w:rsidRPr="00DC0C62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 w:rsidRPr="00BA30CC">
        <w:rPr>
          <w:rFonts w:ascii="Times New Roman" w:hAnsi="Times New Roman" w:cs="Times New Roman"/>
          <w:b/>
          <w:bCs/>
        </w:rPr>
        <w:t>E-F.</w:t>
      </w:r>
      <w:r>
        <w:rPr>
          <w:rFonts w:ascii="Times New Roman" w:hAnsi="Times New Roman" w:cs="Times New Roman"/>
        </w:rPr>
        <w:t xml:space="preserve"> </w:t>
      </w:r>
      <w:r w:rsidRPr="0013240B">
        <w:rPr>
          <w:rFonts w:ascii="Times New Roman" w:hAnsi="Times New Roman" w:cs="Times New Roman"/>
        </w:rPr>
        <w:t xml:space="preserve">Comparison of half-year, 1-year, 2-year, 3-year, 4-year, and 5-year </w:t>
      </w:r>
      <w:r>
        <w:rPr>
          <w:rFonts w:ascii="Times New Roman" w:hAnsi="Times New Roman" w:cs="Times New Roman"/>
        </w:rPr>
        <w:t>PFS</w:t>
      </w:r>
      <w:r w:rsidRPr="0013240B">
        <w:rPr>
          <w:rFonts w:ascii="Times New Roman" w:hAnsi="Times New Roman" w:cs="Times New Roman"/>
        </w:rPr>
        <w:t xml:space="preserve"> stratified by cancer type for high versus low LORIS (50th </w:t>
      </w:r>
      <w:r w:rsidRPr="00DC0C62">
        <w:rPr>
          <w:rFonts w:ascii="Times New Roman" w:hAnsi="Times New Roman" w:cs="Times New Roman"/>
        </w:rPr>
        <w:t xml:space="preserve">percentile; </w:t>
      </w:r>
      <w:r w:rsidRPr="00DC0C62">
        <w:rPr>
          <w:rFonts w:ascii="Times New Roman" w:hAnsi="Times New Roman" w:cs="Times New Roman"/>
          <w:b/>
          <w:bCs/>
        </w:rPr>
        <w:t>E</w:t>
      </w:r>
      <w:r w:rsidRPr="00DC0C62">
        <w:rPr>
          <w:rFonts w:ascii="Times New Roman" w:hAnsi="Times New Roman" w:cs="Times New Roman"/>
        </w:rPr>
        <w:t xml:space="preserve">) and high versus low TMB (highest 20th percentile; </w:t>
      </w:r>
      <w:r w:rsidRPr="00DC0C62">
        <w:rPr>
          <w:rFonts w:ascii="Times New Roman" w:hAnsi="Times New Roman" w:cs="Times New Roman"/>
          <w:b/>
          <w:bCs/>
        </w:rPr>
        <w:t>F</w:t>
      </w:r>
      <w:r w:rsidRPr="00DC0C62">
        <w:rPr>
          <w:rFonts w:ascii="Times New Roman" w:hAnsi="Times New Roman" w:cs="Times New Roman"/>
        </w:rPr>
        <w:t xml:space="preserve">). Survival probability differences and paired Wilcoxon-test p-values are displayed in panels E and F. </w:t>
      </w:r>
    </w:p>
    <w:p w14:paraId="1E50927B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13240B">
        <w:rPr>
          <w:rFonts w:ascii="Times New Roman" w:hAnsi="Times New Roman" w:cs="Times New Roman"/>
        </w:rPr>
        <w:t xml:space="preserve">ata are from </w:t>
      </w:r>
      <w:r>
        <w:rPr>
          <w:rFonts w:ascii="Times New Roman" w:hAnsi="Times New Roman" w:cs="Times New Roman"/>
        </w:rPr>
        <w:t>combined</w:t>
      </w:r>
      <w:r w:rsidRPr="0013240B">
        <w:rPr>
          <w:rFonts w:ascii="Times New Roman" w:hAnsi="Times New Roman" w:cs="Times New Roman"/>
        </w:rPr>
        <w:t xml:space="preserve"> </w:t>
      </w:r>
      <w:r w:rsidRPr="00A2178D">
        <w:rPr>
          <w:rFonts w:ascii="Times New Roman" w:hAnsi="Times New Roman" w:cs="Times New Roman"/>
          <w:i/>
          <w:iCs/>
        </w:rPr>
        <w:t>Chowell test</w:t>
      </w:r>
      <w:r w:rsidRPr="001324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(n = 515) </w:t>
      </w:r>
      <w:r w:rsidRPr="0013240B">
        <w:rPr>
          <w:rFonts w:ascii="Times New Roman" w:hAnsi="Times New Roman" w:cs="Times New Roman"/>
        </w:rPr>
        <w:t xml:space="preserve">and </w:t>
      </w:r>
      <w:r w:rsidRPr="00A2178D">
        <w:rPr>
          <w:rFonts w:ascii="Times New Roman" w:hAnsi="Times New Roman" w:cs="Times New Roman"/>
          <w:i/>
          <w:iCs/>
        </w:rPr>
        <w:t>MSK1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(n = 453)</w:t>
      </w:r>
      <w:r w:rsidRPr="0013240B">
        <w:rPr>
          <w:rFonts w:ascii="Times New Roman" w:hAnsi="Times New Roman" w:cs="Times New Roman"/>
        </w:rPr>
        <w:t xml:space="preserve"> sets.</w:t>
      </w:r>
    </w:p>
    <w:p w14:paraId="14103EBF" w14:textId="77777777" w:rsidR="00E00428" w:rsidRDefault="00E00428" w:rsidP="00E00428">
      <w:r>
        <w:br w:type="page"/>
      </w:r>
    </w:p>
    <w:p w14:paraId="4E43D27E" w14:textId="77777777" w:rsidR="00E00428" w:rsidRDefault="00E00428" w:rsidP="00E00428">
      <w:pPr>
        <w:spacing w:line="360" w:lineRule="auto"/>
      </w:pPr>
      <w:r w:rsidRPr="007B4A5E">
        <w:rPr>
          <w:noProof/>
        </w:rPr>
        <w:lastRenderedPageBreak/>
        <w:drawing>
          <wp:inline distT="0" distB="0" distL="0" distR="0" wp14:anchorId="27D3A64C" wp14:editId="7D9F7052">
            <wp:extent cx="5943600" cy="2162175"/>
            <wp:effectExtent l="0" t="0" r="0" b="0"/>
            <wp:docPr id="1560357897" name="Picture 1560357897">
              <a:extLst xmlns:a="http://schemas.openxmlformats.org/drawingml/2006/main">
                <a:ext uri="{FF2B5EF4-FFF2-40B4-BE49-F238E27FC236}">
                  <a16:creationId xmlns:a16="http://schemas.microsoft.com/office/drawing/2014/main" id="{4AB420E8-DCC3-A1FF-16E8-075A83AC8F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4">
                      <a:extLst>
                        <a:ext uri="{FF2B5EF4-FFF2-40B4-BE49-F238E27FC236}">
                          <a16:creationId xmlns:a16="http://schemas.microsoft.com/office/drawing/2014/main" id="{4AB420E8-DCC3-A1FF-16E8-075A83AC8F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F12F4" w14:textId="77777777" w:rsidR="00E00428" w:rsidRDefault="00E00428" w:rsidP="00E00428">
      <w:pPr>
        <w:spacing w:line="360" w:lineRule="auto"/>
      </w:pPr>
    </w:p>
    <w:p w14:paraId="60B6D2AF" w14:textId="77777777" w:rsidR="00E00428" w:rsidRPr="007B4A5E" w:rsidRDefault="00E00428" w:rsidP="00E00428">
      <w:pPr>
        <w:spacing w:line="360" w:lineRule="auto"/>
        <w:rPr>
          <w:rFonts w:ascii="Times New Roman" w:hAnsi="Times New Roman" w:cs="Times New Roman"/>
          <w:b/>
          <w:bCs/>
        </w:rPr>
      </w:pPr>
      <w:r w:rsidRPr="00E11F3D">
        <w:rPr>
          <w:rFonts w:ascii="Times New Roman" w:eastAsia="Times New Roman" w:hAnsi="Times New Roman" w:cs="Times New Roman"/>
          <w:b/>
          <w:bCs/>
        </w:rPr>
        <w:t xml:space="preserve">Supplementary </w:t>
      </w:r>
      <w:r w:rsidRPr="00E11F3D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5</w:t>
      </w:r>
      <w:r w:rsidRPr="00E11F3D">
        <w:rPr>
          <w:rFonts w:ascii="Times New Roman" w:hAnsi="Times New Roman" w:cs="Times New Roman"/>
          <w:b/>
          <w:bCs/>
        </w:rPr>
        <w:t>.</w:t>
      </w:r>
      <w:r w:rsidRPr="007B4A5E">
        <w:t xml:space="preserve"> </w:t>
      </w:r>
      <w:r w:rsidRPr="007B4A5E">
        <w:rPr>
          <w:rFonts w:ascii="Times New Roman" w:hAnsi="Times New Roman" w:cs="Times New Roman"/>
          <w:b/>
          <w:bCs/>
        </w:rPr>
        <w:t xml:space="preserve">Near-monotonic relationship between LORIS and pan-cancer </w:t>
      </w:r>
      <w:r>
        <w:rPr>
          <w:rFonts w:ascii="Times New Roman" w:hAnsi="Times New Roman" w:cs="Times New Roman"/>
          <w:b/>
          <w:bCs/>
        </w:rPr>
        <w:t>PFS</w:t>
      </w:r>
      <w:r w:rsidRPr="007B4A5E">
        <w:rPr>
          <w:rFonts w:ascii="Times New Roman" w:hAnsi="Times New Roman" w:cs="Times New Roman"/>
          <w:b/>
          <w:bCs/>
        </w:rPr>
        <w:t xml:space="preserve"> following immunotherapy. </w:t>
      </w:r>
    </w:p>
    <w:p w14:paraId="60BD7EAE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 w:rsidRPr="007B4A5E">
        <w:rPr>
          <w:rFonts w:ascii="Times New Roman" w:hAnsi="Times New Roman" w:cs="Times New Roman"/>
        </w:rPr>
        <w:t>Kaplan–Meier analysis of LORIS (</w:t>
      </w:r>
      <w:r w:rsidRPr="0045554B">
        <w:rPr>
          <w:rFonts w:ascii="Times New Roman" w:hAnsi="Times New Roman" w:cs="Times New Roman"/>
          <w:b/>
          <w:bCs/>
        </w:rPr>
        <w:t>A</w:t>
      </w:r>
      <w:r w:rsidRPr="007B4A5E">
        <w:rPr>
          <w:rFonts w:ascii="Times New Roman" w:hAnsi="Times New Roman" w:cs="Times New Roman"/>
        </w:rPr>
        <w:t>) or TMB (</w:t>
      </w:r>
      <w:r w:rsidRPr="0045554B">
        <w:rPr>
          <w:rFonts w:ascii="Times New Roman" w:hAnsi="Times New Roman" w:cs="Times New Roman"/>
          <w:b/>
          <w:bCs/>
        </w:rPr>
        <w:t>B</w:t>
      </w:r>
      <w:r w:rsidRPr="007B4A5E">
        <w:rPr>
          <w:rFonts w:ascii="Times New Roman" w:hAnsi="Times New Roman" w:cs="Times New Roman"/>
        </w:rPr>
        <w:t xml:space="preserve">) binned at the different percentiles in each </w:t>
      </w:r>
      <w:r>
        <w:rPr>
          <w:rFonts w:ascii="Times New Roman" w:hAnsi="Times New Roman" w:cs="Times New Roman"/>
        </w:rPr>
        <w:t>cancer type</w:t>
      </w:r>
      <w:r w:rsidRPr="007B4A5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P</w:t>
      </w:r>
      <w:r w:rsidRPr="007B4A5E">
        <w:rPr>
          <w:rFonts w:ascii="Times New Roman" w:hAnsi="Times New Roman" w:cs="Times New Roman"/>
        </w:rPr>
        <w:t xml:space="preserve"> values next to the legend indicate pairwise comparisons; hazard ratio (HR) </w:t>
      </w:r>
      <w:r>
        <w:rPr>
          <w:rFonts w:ascii="Times New Roman" w:hAnsi="Times New Roman" w:cs="Times New Roman"/>
        </w:rPr>
        <w:t>is</w:t>
      </w:r>
      <w:r w:rsidRPr="007B4A5E">
        <w:rPr>
          <w:rFonts w:ascii="Times New Roman" w:hAnsi="Times New Roman" w:cs="Times New Roman"/>
        </w:rPr>
        <w:t xml:space="preserve"> shown for the lowest-percentile groups (0-10%) and the highest-percentile groups (90-100%). </w:t>
      </w:r>
    </w:p>
    <w:p w14:paraId="60B1C3C2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13240B">
        <w:rPr>
          <w:rFonts w:ascii="Times New Roman" w:hAnsi="Times New Roman" w:cs="Times New Roman"/>
        </w:rPr>
        <w:t xml:space="preserve">ata are from </w:t>
      </w:r>
      <w:r>
        <w:rPr>
          <w:rFonts w:ascii="Times New Roman" w:hAnsi="Times New Roman" w:cs="Times New Roman"/>
        </w:rPr>
        <w:t>combined</w:t>
      </w:r>
      <w:r w:rsidRPr="0013240B">
        <w:rPr>
          <w:rFonts w:ascii="Times New Roman" w:hAnsi="Times New Roman" w:cs="Times New Roman"/>
        </w:rPr>
        <w:t xml:space="preserve"> </w:t>
      </w:r>
      <w:r w:rsidRPr="00A2178D">
        <w:rPr>
          <w:rFonts w:ascii="Times New Roman" w:hAnsi="Times New Roman" w:cs="Times New Roman"/>
          <w:i/>
          <w:iCs/>
        </w:rPr>
        <w:t>Chowell test</w:t>
      </w:r>
      <w:r w:rsidRPr="001324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(n = 515) </w:t>
      </w:r>
      <w:r w:rsidRPr="0013240B">
        <w:rPr>
          <w:rFonts w:ascii="Times New Roman" w:hAnsi="Times New Roman" w:cs="Times New Roman"/>
        </w:rPr>
        <w:t xml:space="preserve">and </w:t>
      </w:r>
      <w:r w:rsidRPr="00A2178D">
        <w:rPr>
          <w:rFonts w:ascii="Times New Roman" w:hAnsi="Times New Roman" w:cs="Times New Roman"/>
          <w:i/>
          <w:iCs/>
        </w:rPr>
        <w:t>MSK1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(n = 453)</w:t>
      </w:r>
      <w:r w:rsidRPr="0013240B">
        <w:rPr>
          <w:rFonts w:ascii="Times New Roman" w:hAnsi="Times New Roman" w:cs="Times New Roman"/>
        </w:rPr>
        <w:t xml:space="preserve"> sets.</w:t>
      </w:r>
    </w:p>
    <w:p w14:paraId="1EAFCE8F" w14:textId="77777777" w:rsidR="00E00428" w:rsidRDefault="00E00428" w:rsidP="00E00428">
      <w:pPr>
        <w:spacing w:line="360" w:lineRule="auto"/>
      </w:pPr>
      <w:r>
        <w:br w:type="page"/>
      </w:r>
    </w:p>
    <w:p w14:paraId="5993F8B3" w14:textId="77777777" w:rsidR="00E00428" w:rsidRDefault="00E00428" w:rsidP="00E00428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8A4FB43" wp14:editId="1C4834C0">
            <wp:extent cx="5172075" cy="8229600"/>
            <wp:effectExtent l="0" t="0" r="0" b="0"/>
            <wp:docPr id="1771865482" name="Picture 1771865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852726" name="Picture 79685272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8C013" w14:textId="77777777" w:rsidR="00E00428" w:rsidRDefault="00E00428" w:rsidP="00E00428">
      <w:pPr>
        <w:spacing w:line="360" w:lineRule="auto"/>
        <w:rPr>
          <w:rFonts w:ascii="Times New Roman" w:hAnsi="Times New Roman" w:cs="Times New Roman"/>
          <w:b/>
          <w:bCs/>
        </w:rPr>
      </w:pPr>
      <w:r w:rsidRPr="00E11F3D">
        <w:rPr>
          <w:rFonts w:ascii="Times New Roman" w:eastAsia="Times New Roman" w:hAnsi="Times New Roman" w:cs="Times New Roman"/>
          <w:b/>
          <w:bCs/>
        </w:rPr>
        <w:lastRenderedPageBreak/>
        <w:t xml:space="preserve">Supplementary </w:t>
      </w:r>
      <w:r w:rsidRPr="00E11F3D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6</w:t>
      </w:r>
      <w:r w:rsidRPr="00E11F3D">
        <w:rPr>
          <w:rFonts w:ascii="Times New Roman" w:hAnsi="Times New Roman" w:cs="Times New Roman"/>
          <w:b/>
          <w:bCs/>
        </w:rPr>
        <w:t>.</w:t>
      </w:r>
      <w:r w:rsidRPr="00A276B8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Evaluation and c</w:t>
      </w:r>
      <w:r w:rsidRPr="00385CB6">
        <w:rPr>
          <w:rFonts w:ascii="Times New Roman" w:hAnsi="Times New Roman" w:cs="Times New Roman"/>
          <w:b/>
          <w:bCs/>
        </w:rPr>
        <w:t>omparison of predictive power</w:t>
      </w:r>
      <w:r>
        <w:rPr>
          <w:rFonts w:ascii="Times New Roman" w:hAnsi="Times New Roman" w:cs="Times New Roman"/>
          <w:b/>
          <w:bCs/>
        </w:rPr>
        <w:t xml:space="preserve"> of NSCLC-specific</w:t>
      </w:r>
      <w:r w:rsidRPr="00385CB6">
        <w:rPr>
          <w:rFonts w:ascii="Times New Roman" w:hAnsi="Times New Roman" w:cs="Times New Roman"/>
          <w:b/>
          <w:bCs/>
        </w:rPr>
        <w:t xml:space="preserve"> model</w:t>
      </w:r>
      <w:r>
        <w:rPr>
          <w:rFonts w:ascii="Times New Roman" w:hAnsi="Times New Roman" w:cs="Times New Roman"/>
          <w:b/>
          <w:bCs/>
        </w:rPr>
        <w:t>s</w:t>
      </w:r>
      <w:r w:rsidRPr="00156889">
        <w:rPr>
          <w:rFonts w:ascii="Times New Roman" w:hAnsi="Times New Roman" w:cs="Times New Roman"/>
          <w:b/>
          <w:bCs/>
        </w:rPr>
        <w:t xml:space="preserve">. </w:t>
      </w:r>
    </w:p>
    <w:p w14:paraId="76AD5298" w14:textId="77777777" w:rsidR="00E00428" w:rsidRDefault="00E00428" w:rsidP="00E00428">
      <w:pPr>
        <w:spacing w:line="360" w:lineRule="auto"/>
        <w:rPr>
          <w:rFonts w:ascii="Times New Roman" w:hAnsi="Times New Roman" w:cs="Times New Roman"/>
        </w:rPr>
      </w:pPr>
      <w:r w:rsidRPr="00960B65">
        <w:rPr>
          <w:rFonts w:ascii="Times New Roman" w:hAnsi="Times New Roman" w:cs="Times New Roman"/>
          <w:b/>
          <w:bCs/>
        </w:rPr>
        <w:t>A</w:t>
      </w:r>
      <w:r w:rsidRPr="00FB45B0">
        <w:rPr>
          <w:rFonts w:ascii="Times New Roman" w:hAnsi="Times New Roman" w:cs="Times New Roman"/>
        </w:rPr>
        <w:t xml:space="preserve">. Model </w:t>
      </w:r>
      <w:r>
        <w:rPr>
          <w:rFonts w:ascii="Times New Roman" w:hAnsi="Times New Roman" w:cs="Times New Roman"/>
        </w:rPr>
        <w:t xml:space="preserve">predictive power on the validation data. </w:t>
      </w:r>
      <w:r w:rsidRPr="00720152">
        <w:rPr>
          <w:rFonts w:ascii="Times New Roman" w:hAnsi="Times New Roman" w:cs="Times New Roman"/>
        </w:rPr>
        <w:t xml:space="preserve">Model </w:t>
      </w:r>
      <w:r w:rsidRPr="00B244E2">
        <w:rPr>
          <w:rFonts w:ascii="Times New Roman" w:hAnsi="Times New Roman" w:cs="Times New Roman"/>
          <w:i/>
          <w:iCs/>
        </w:rPr>
        <w:t>performance</w:t>
      </w:r>
      <w:r w:rsidRPr="00FA78C6">
        <w:rPr>
          <w:rFonts w:ascii="Times New Roman" w:hAnsi="Times New Roman" w:cs="Times New Roman"/>
        </w:rPr>
        <w:t xml:space="preserve"> is defined as the geometric mean of </w:t>
      </w:r>
      <w:r w:rsidRPr="002418F0">
        <w:rPr>
          <w:rFonts w:ascii="Times New Roman" w:hAnsi="Times New Roman" w:cs="Times New Roman"/>
        </w:rPr>
        <w:t xml:space="preserve">four metrics, i.e., AUC, </w:t>
      </w:r>
      <w:r>
        <w:rPr>
          <w:rFonts w:ascii="Times New Roman" w:hAnsi="Times New Roman" w:cs="Times New Roman"/>
        </w:rPr>
        <w:t>AUPRC</w:t>
      </w:r>
      <w:r w:rsidRPr="002418F0">
        <w:rPr>
          <w:rFonts w:ascii="Times New Roman" w:hAnsi="Times New Roman" w:cs="Times New Roman"/>
        </w:rPr>
        <w:t>, accuracy, and F1 score</w:t>
      </w:r>
      <w:r w:rsidRPr="00FA78C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72468C2C" w14:textId="77777777" w:rsidR="00E00428" w:rsidRDefault="00E00428" w:rsidP="00E00428">
      <w:pPr>
        <w:spacing w:line="360" w:lineRule="auto"/>
        <w:rPr>
          <w:rFonts w:ascii="Times New Roman" w:hAnsi="Times New Roman" w:cs="Times New Roman"/>
        </w:rPr>
      </w:pPr>
      <w:r w:rsidRPr="00A37C0E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. Difference of model predictive power between the training and the validation data.</w:t>
      </w:r>
      <w:r w:rsidRPr="00960B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</w:t>
      </w:r>
      <w:r w:rsidRPr="00741BC2">
        <w:rPr>
          <w:rFonts w:ascii="Times New Roman" w:hAnsi="Times New Roman" w:cs="Times New Roman"/>
        </w:rPr>
        <w:t>arious performance metrics</w:t>
      </w:r>
      <w:r>
        <w:rPr>
          <w:rFonts w:ascii="Times New Roman" w:hAnsi="Times New Roman" w:cs="Times New Roman"/>
        </w:rPr>
        <w:t xml:space="preserve"> were calculated with </w:t>
      </w:r>
      <w:r w:rsidRPr="001D6892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,</w:t>
      </w:r>
      <w:r w:rsidRPr="001D6892">
        <w:rPr>
          <w:rFonts w:ascii="Times New Roman" w:hAnsi="Times New Roman" w:cs="Times New Roman"/>
        </w:rPr>
        <w:t>000-repeated 5-fold cross-validation</w:t>
      </w:r>
      <w:r w:rsidRPr="00741BC2">
        <w:rPr>
          <w:rFonts w:ascii="Times New Roman" w:hAnsi="Times New Roman" w:cs="Times New Roman"/>
        </w:rPr>
        <w:t>.</w:t>
      </w:r>
      <w:r w:rsidRPr="003742D6">
        <w:rPr>
          <w:rFonts w:ascii="Times New Roman" w:hAnsi="Times New Roman" w:cs="Times New Roman"/>
        </w:rPr>
        <w:t xml:space="preserve"> </w:t>
      </w:r>
    </w:p>
    <w:p w14:paraId="177C7709" w14:textId="77777777" w:rsidR="00E00428" w:rsidRDefault="00E00428" w:rsidP="00E0042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machine learning m</w:t>
      </w:r>
      <w:r w:rsidRPr="003742D6">
        <w:rPr>
          <w:rFonts w:ascii="Times New Roman" w:hAnsi="Times New Roman" w:cs="Times New Roman"/>
        </w:rPr>
        <w:t xml:space="preserve">odels </w:t>
      </w:r>
      <w:r>
        <w:rPr>
          <w:rFonts w:ascii="Times New Roman" w:hAnsi="Times New Roman" w:cs="Times New Roman"/>
        </w:rPr>
        <w:t xml:space="preserve">are trained on the </w:t>
      </w:r>
      <w:r w:rsidRPr="00514069">
        <w:rPr>
          <w:rFonts w:ascii="Times New Roman" w:hAnsi="Times New Roman" w:cs="Times New Roman"/>
          <w:i/>
          <w:iCs/>
        </w:rPr>
        <w:t>Chowell et al.</w:t>
      </w:r>
      <w:r>
        <w:rPr>
          <w:rFonts w:ascii="Times New Roman" w:hAnsi="Times New Roman" w:cs="Times New Roman"/>
        </w:rPr>
        <w:t xml:space="preserve"> cohort using the NSCLC patients and take all </w:t>
      </w:r>
      <w:r w:rsidRPr="003742D6">
        <w:rPr>
          <w:rFonts w:ascii="Times New Roman" w:hAnsi="Times New Roman" w:cs="Times New Roman"/>
        </w:rPr>
        <w:t xml:space="preserve">16 </w:t>
      </w:r>
      <w:r>
        <w:rPr>
          <w:rFonts w:ascii="Times New Roman" w:hAnsi="Times New Roman" w:cs="Times New Roman"/>
        </w:rPr>
        <w:t xml:space="preserve">measured </w:t>
      </w:r>
      <w:r w:rsidRPr="003742D6">
        <w:rPr>
          <w:rFonts w:ascii="Times New Roman" w:hAnsi="Times New Roman" w:cs="Times New Roman"/>
        </w:rPr>
        <w:t>features</w:t>
      </w:r>
      <w:r>
        <w:rPr>
          <w:rFonts w:ascii="Times New Roman" w:hAnsi="Times New Roman" w:cs="Times New Roman"/>
        </w:rPr>
        <w:t xml:space="preserve"> as input </w:t>
      </w:r>
      <w:r w:rsidRPr="003742D6">
        <w:rPr>
          <w:rFonts w:ascii="Times New Roman" w:hAnsi="Times New Roman" w:cs="Times New Roman"/>
        </w:rPr>
        <w:t xml:space="preserve">except </w:t>
      </w:r>
      <w:r>
        <w:rPr>
          <w:rFonts w:ascii="Times New Roman" w:hAnsi="Times New Roman" w:cs="Times New Roman"/>
        </w:rPr>
        <w:t xml:space="preserve">the </w:t>
      </w:r>
      <w:r w:rsidRPr="003742D6">
        <w:rPr>
          <w:rFonts w:ascii="Times New Roman" w:hAnsi="Times New Roman" w:cs="Times New Roman"/>
        </w:rPr>
        <w:t>LLR6</w:t>
      </w:r>
      <w:r>
        <w:rPr>
          <w:rFonts w:ascii="Times New Roman" w:hAnsi="Times New Roman" w:cs="Times New Roman"/>
        </w:rPr>
        <w:t xml:space="preserve"> and RandomForest6 models, which use 6 features</w:t>
      </w:r>
      <w:r w:rsidRPr="003742D6">
        <w:rPr>
          <w:rFonts w:ascii="Times New Roman" w:hAnsi="Times New Roman" w:cs="Times New Roman"/>
        </w:rPr>
        <w:t>.</w:t>
      </w:r>
    </w:p>
    <w:p w14:paraId="1CEF6246" w14:textId="77777777" w:rsidR="00E00428" w:rsidRDefault="00E00428" w:rsidP="00E00428">
      <w:r>
        <w:br w:type="page"/>
      </w:r>
    </w:p>
    <w:p w14:paraId="2699CE47" w14:textId="77777777" w:rsidR="00E00428" w:rsidRDefault="00E00428" w:rsidP="00E00428">
      <w:pPr>
        <w:spacing w:line="360" w:lineRule="auto"/>
      </w:pPr>
      <w:r w:rsidRPr="007B6416">
        <w:rPr>
          <w:noProof/>
        </w:rPr>
        <w:lastRenderedPageBreak/>
        <w:drawing>
          <wp:inline distT="0" distB="0" distL="0" distR="0" wp14:anchorId="191C6373" wp14:editId="711FE101">
            <wp:extent cx="5207000" cy="3822700"/>
            <wp:effectExtent l="0" t="0" r="0" b="0"/>
            <wp:docPr id="197134036" name="Picture 197134036">
              <a:extLst xmlns:a="http://schemas.openxmlformats.org/drawingml/2006/main">
                <a:ext uri="{FF2B5EF4-FFF2-40B4-BE49-F238E27FC236}">
                  <a16:creationId xmlns:a16="http://schemas.microsoft.com/office/drawing/2014/main" id="{4CFCA7FF-85FF-E4E1-EA7A-8F69F04B0A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4CFCA7FF-85FF-E4E1-EA7A-8F69F04B0A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0700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B5221" w14:textId="77777777" w:rsidR="00E00428" w:rsidRDefault="00E00428" w:rsidP="00E00428">
      <w:pPr>
        <w:spacing w:line="360" w:lineRule="auto"/>
      </w:pPr>
    </w:p>
    <w:p w14:paraId="7CDAC21B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11F3D">
        <w:rPr>
          <w:rFonts w:ascii="Times New Roman" w:eastAsia="Times New Roman" w:hAnsi="Times New Roman" w:cs="Times New Roman"/>
          <w:b/>
          <w:bCs/>
        </w:rPr>
        <w:t xml:space="preserve">Supplementary </w:t>
      </w:r>
      <w:r w:rsidRPr="00E11F3D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7</w:t>
      </w:r>
      <w:r w:rsidRPr="00E11F3D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The NSCLC-specific LLR6 model also</w:t>
      </w:r>
      <w:r w:rsidRPr="00B94406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predicts</w:t>
      </w:r>
      <w:r w:rsidRPr="00B94406">
        <w:rPr>
          <w:rFonts w:ascii="Times New Roman" w:hAnsi="Times New Roman" w:cs="Times New Roman"/>
          <w:b/>
          <w:bCs/>
        </w:rPr>
        <w:t xml:space="preserve"> ICB response in </w:t>
      </w:r>
      <w:r>
        <w:rPr>
          <w:rFonts w:ascii="Times New Roman" w:hAnsi="Times New Roman" w:cs="Times New Roman"/>
          <w:b/>
          <w:bCs/>
        </w:rPr>
        <w:t>three other cancer types</w:t>
      </w:r>
      <w:r w:rsidRPr="00B94406">
        <w:rPr>
          <w:rFonts w:ascii="Times New Roman" w:hAnsi="Times New Roman" w:cs="Times New Roman"/>
          <w:b/>
          <w:bCs/>
        </w:rPr>
        <w:t>.</w:t>
      </w:r>
    </w:p>
    <w:p w14:paraId="6F558B67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 w:rsidRPr="00D30C0B"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</w:rPr>
        <w:t xml:space="preserve"> </w:t>
      </w:r>
      <w:r w:rsidRPr="00FA78C6">
        <w:rPr>
          <w:rFonts w:ascii="Times New Roman" w:hAnsi="Times New Roman" w:cs="Times New Roman"/>
        </w:rPr>
        <w:t xml:space="preserve">Receiver operating characteristic curves and corresponding </w:t>
      </w:r>
      <w:r>
        <w:rPr>
          <w:rFonts w:ascii="Times New Roman" w:hAnsi="Times New Roman" w:cs="Times New Roman"/>
        </w:rPr>
        <w:t>area under the curve (</w:t>
      </w:r>
      <w:r w:rsidRPr="00FA78C6">
        <w:rPr>
          <w:rFonts w:ascii="Times New Roman" w:hAnsi="Times New Roman" w:cs="Times New Roman"/>
        </w:rPr>
        <w:t>AUC</w:t>
      </w:r>
      <w:r>
        <w:rPr>
          <w:rFonts w:ascii="Times New Roman" w:hAnsi="Times New Roman" w:cs="Times New Roman"/>
        </w:rPr>
        <w:t>)</w:t>
      </w:r>
      <w:r w:rsidRPr="00FA78C6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 xml:space="preserve">the NSCLC-specific </w:t>
      </w:r>
      <w:r w:rsidRPr="00FA78C6">
        <w:rPr>
          <w:rFonts w:ascii="Times New Roman" w:hAnsi="Times New Roman" w:cs="Times New Roman"/>
        </w:rPr>
        <w:t>LLR6</w:t>
      </w:r>
      <w:r>
        <w:rPr>
          <w:rFonts w:ascii="Times New Roman" w:hAnsi="Times New Roman" w:cs="Times New Roman"/>
        </w:rPr>
        <w:t xml:space="preserve"> model</w:t>
      </w:r>
      <w:r w:rsidRPr="00FA78C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the PD-L1 TPS biomarker</w:t>
      </w:r>
      <w:r w:rsidRPr="00FA78C6">
        <w:rPr>
          <w:rFonts w:ascii="Times New Roman" w:hAnsi="Times New Roman" w:cs="Times New Roman"/>
        </w:rPr>
        <w:t xml:space="preserve">, and </w:t>
      </w:r>
      <w:r>
        <w:rPr>
          <w:rFonts w:ascii="Times New Roman" w:hAnsi="Times New Roman" w:cs="Times New Roman"/>
        </w:rPr>
        <w:t xml:space="preserve">the </w:t>
      </w:r>
      <w:r w:rsidRPr="00FA78C6">
        <w:rPr>
          <w:rFonts w:ascii="Times New Roman" w:hAnsi="Times New Roman" w:cs="Times New Roman"/>
        </w:rPr>
        <w:t xml:space="preserve">TMB </w:t>
      </w:r>
      <w:r>
        <w:rPr>
          <w:rFonts w:ascii="Times New Roman" w:hAnsi="Times New Roman" w:cs="Times New Roman"/>
        </w:rPr>
        <w:t>biomarker on gastric cancer, esophageal cancer, and mesothelioma</w:t>
      </w:r>
      <w:r w:rsidRPr="00FA78C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3FD1E987" w14:textId="77777777" w:rsidR="00E00428" w:rsidRDefault="00E00428" w:rsidP="00E00428">
      <w:pPr>
        <w:spacing w:line="360" w:lineRule="auto"/>
        <w:jc w:val="both"/>
        <w:rPr>
          <w:rFonts w:ascii="Times New Roman" w:hAnsi="Times New Roman" w:cs="Times New Roman"/>
        </w:rPr>
      </w:pPr>
      <w:r w:rsidRPr="00D30C0B"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/>
        </w:rPr>
        <w:t xml:space="preserve"> Precision recall</w:t>
      </w:r>
      <w:r w:rsidRPr="00FA78C6">
        <w:rPr>
          <w:rFonts w:ascii="Times New Roman" w:hAnsi="Times New Roman" w:cs="Times New Roman"/>
        </w:rPr>
        <w:t xml:space="preserve"> curves and corresponding </w:t>
      </w:r>
      <w:r>
        <w:rPr>
          <w:rFonts w:ascii="Times New Roman" w:hAnsi="Times New Roman" w:cs="Times New Roman"/>
        </w:rPr>
        <w:t>area under the curve (</w:t>
      </w:r>
      <w:r w:rsidRPr="00FA78C6">
        <w:rPr>
          <w:rFonts w:ascii="Times New Roman" w:hAnsi="Times New Roman" w:cs="Times New Roman"/>
        </w:rPr>
        <w:t>AUC</w:t>
      </w:r>
      <w:r>
        <w:rPr>
          <w:rFonts w:ascii="Times New Roman" w:hAnsi="Times New Roman" w:cs="Times New Roman"/>
        </w:rPr>
        <w:t>)</w:t>
      </w:r>
      <w:r w:rsidRPr="00FA78C6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 xml:space="preserve">the NSCLC-specific </w:t>
      </w:r>
      <w:r w:rsidRPr="00FA78C6">
        <w:rPr>
          <w:rFonts w:ascii="Times New Roman" w:hAnsi="Times New Roman" w:cs="Times New Roman"/>
        </w:rPr>
        <w:t>LLR6</w:t>
      </w:r>
      <w:r>
        <w:rPr>
          <w:rFonts w:ascii="Times New Roman" w:hAnsi="Times New Roman" w:cs="Times New Roman"/>
        </w:rPr>
        <w:t xml:space="preserve"> model</w:t>
      </w:r>
      <w:r w:rsidRPr="00FA78C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the PD-L1 TPS biomarker</w:t>
      </w:r>
      <w:r w:rsidRPr="00FA78C6">
        <w:rPr>
          <w:rFonts w:ascii="Times New Roman" w:hAnsi="Times New Roman" w:cs="Times New Roman"/>
        </w:rPr>
        <w:t xml:space="preserve">, and </w:t>
      </w:r>
      <w:r>
        <w:rPr>
          <w:rFonts w:ascii="Times New Roman" w:hAnsi="Times New Roman" w:cs="Times New Roman"/>
        </w:rPr>
        <w:t xml:space="preserve">the </w:t>
      </w:r>
      <w:r w:rsidRPr="00FA78C6">
        <w:rPr>
          <w:rFonts w:ascii="Times New Roman" w:hAnsi="Times New Roman" w:cs="Times New Roman"/>
        </w:rPr>
        <w:t xml:space="preserve">TMB </w:t>
      </w:r>
      <w:r>
        <w:rPr>
          <w:rFonts w:ascii="Times New Roman" w:hAnsi="Times New Roman" w:cs="Times New Roman"/>
        </w:rPr>
        <w:t>biomarker on gastric cancer, esophageal cancer, and mesothelioma</w:t>
      </w:r>
      <w:r w:rsidRPr="00FA78C6">
        <w:rPr>
          <w:rFonts w:ascii="Times New Roman" w:hAnsi="Times New Roman" w:cs="Times New Roman"/>
        </w:rPr>
        <w:t>.</w:t>
      </w:r>
    </w:p>
    <w:p w14:paraId="30688319" w14:textId="77777777" w:rsidR="001760E5" w:rsidRDefault="00E00428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428"/>
    <w:rsid w:val="006E225C"/>
    <w:rsid w:val="008A3324"/>
    <w:rsid w:val="0096107C"/>
    <w:rsid w:val="00996CDB"/>
    <w:rsid w:val="009B6A41"/>
    <w:rsid w:val="00BA546E"/>
    <w:rsid w:val="00E00428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E265C"/>
  <w15:chartTrackingRefBased/>
  <w15:docId w15:val="{71B37BD2-6316-4869-9D1A-B8413FF39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428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673</Words>
  <Characters>3840</Characters>
  <Application>Microsoft Office Word</Application>
  <DocSecurity>0</DocSecurity>
  <Lines>32</Lines>
  <Paragraphs>9</Paragraphs>
  <ScaleCrop>false</ScaleCrop>
  <Company>Springer Nature</Company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2023-07-04T09:54:00Z</dcterms:created>
  <dcterms:modified xsi:type="dcterms:W3CDTF">2023-07-04T09:54:00Z</dcterms:modified>
</cp:coreProperties>
</file>