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41E58" w14:textId="77777777" w:rsidR="00DF4DFE" w:rsidRDefault="00DF4DFE" w:rsidP="00DF4DFE">
      <w:pPr>
        <w:spacing w:after="0" w:line="480" w:lineRule="auto"/>
        <w:rPr>
          <w:b/>
        </w:rPr>
      </w:pPr>
      <w:r>
        <w:rPr>
          <w:b/>
        </w:rPr>
        <w:t>Table 1:</w:t>
      </w:r>
      <w:r>
        <w:t xml:space="preserve"> Formulation and proximate composition of four experimental diets. </w:t>
      </w:r>
    </w:p>
    <w:p w14:paraId="007CD2E4" w14:textId="77777777" w:rsidR="00DF4DFE" w:rsidRDefault="00DF4DFE" w:rsidP="00DF4DFE">
      <w:pPr>
        <w:spacing w:after="0" w:line="480" w:lineRule="auto"/>
      </w:pPr>
    </w:p>
    <w:p w14:paraId="4FB31BCA" w14:textId="5BACE83F" w:rsidR="00DF4DFE" w:rsidRDefault="00DF4DFE" w:rsidP="00DF4DFE">
      <w:pPr>
        <w:spacing w:after="0" w:line="480" w:lineRule="auto"/>
        <w:jc w:val="center"/>
      </w:pPr>
      <w:r>
        <w:rPr>
          <w:noProof/>
          <w:lang w:val="fr-FR" w:eastAsia="fr-FR"/>
        </w:rPr>
        <w:drawing>
          <wp:inline distT="0" distB="0" distL="0" distR="0" wp14:anchorId="1E862780" wp14:editId="26350927">
            <wp:extent cx="4516120" cy="44653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DFF9C" w14:textId="77777777" w:rsidR="00DF4DFE" w:rsidRDefault="00DF4DFE" w:rsidP="00DF4DFE">
      <w:pPr>
        <w:spacing w:after="0" w:line="480" w:lineRule="auto"/>
      </w:pPr>
    </w:p>
    <w:p w14:paraId="5683BFD7" w14:textId="77777777" w:rsidR="00DF4DFE" w:rsidRDefault="00DF4DFE" w:rsidP="00DF4DFE">
      <w:pPr>
        <w:spacing w:after="0" w:line="480" w:lineRule="auto"/>
      </w:pPr>
    </w:p>
    <w:p w14:paraId="17636F7A" w14:textId="77777777" w:rsidR="00DF4DFE" w:rsidRDefault="00DF4DFE" w:rsidP="00DF4DFE">
      <w:pPr>
        <w:spacing w:after="0" w:line="480" w:lineRule="auto"/>
      </w:pPr>
    </w:p>
    <w:p w14:paraId="5CB86306" w14:textId="77777777" w:rsidR="00DF4DFE" w:rsidRDefault="00DF4DFE" w:rsidP="00DF4DFE">
      <w:pPr>
        <w:spacing w:after="0" w:line="480" w:lineRule="auto"/>
      </w:pPr>
    </w:p>
    <w:p w14:paraId="28BBD6DD" w14:textId="77777777" w:rsidR="00DF4DFE" w:rsidRDefault="00DF4DFE" w:rsidP="00DF4DFE">
      <w:pPr>
        <w:spacing w:after="0" w:line="480" w:lineRule="auto"/>
      </w:pPr>
    </w:p>
    <w:p w14:paraId="492EB586" w14:textId="77777777" w:rsidR="00DF4DFE" w:rsidRDefault="00DF4DFE" w:rsidP="00DF4DFE">
      <w:pPr>
        <w:spacing w:after="0" w:line="480" w:lineRule="auto"/>
      </w:pPr>
    </w:p>
    <w:p w14:paraId="1FF6BC55" w14:textId="77777777" w:rsidR="00DF4DFE" w:rsidRDefault="00DF4DFE" w:rsidP="00DF4DFE">
      <w:pPr>
        <w:spacing w:after="0" w:line="480" w:lineRule="auto"/>
      </w:pPr>
    </w:p>
    <w:p w14:paraId="57A3DCDF" w14:textId="77777777" w:rsidR="00DF4DFE" w:rsidRDefault="00DF4DFE" w:rsidP="00DF4DFE">
      <w:pPr>
        <w:spacing w:after="0" w:line="480" w:lineRule="auto"/>
      </w:pPr>
    </w:p>
    <w:p w14:paraId="445D489A" w14:textId="77777777" w:rsidR="00DF4DFE" w:rsidRDefault="00DF4DFE" w:rsidP="00DF4DFE">
      <w:pPr>
        <w:spacing w:after="0" w:line="480" w:lineRule="auto"/>
      </w:pPr>
    </w:p>
    <w:p w14:paraId="49B723DF" w14:textId="77777777" w:rsidR="00DF4DFE" w:rsidRDefault="00DF4DFE" w:rsidP="00DF4DFE">
      <w:pPr>
        <w:spacing w:after="0" w:line="480" w:lineRule="auto"/>
      </w:pPr>
    </w:p>
    <w:p w14:paraId="11E7F962" w14:textId="77777777" w:rsidR="00DF4DFE" w:rsidRDefault="00DF4DFE" w:rsidP="00DF4DFE">
      <w:pPr>
        <w:spacing w:after="0" w:line="480" w:lineRule="auto"/>
      </w:pPr>
      <w:r>
        <w:rPr>
          <w:b/>
        </w:rPr>
        <w:t xml:space="preserve">Table 2: </w:t>
      </w:r>
      <w:r>
        <w:t>Growth performances and feed utilization, in rainbow trout fed the experimental diets</w:t>
      </w:r>
      <w:r>
        <w:rPr>
          <w:b/>
        </w:rPr>
        <w:t xml:space="preserve"> </w:t>
      </w:r>
    </w:p>
    <w:p w14:paraId="0B56D023" w14:textId="77777777" w:rsidR="00DF4DFE" w:rsidRDefault="00DF4DFE" w:rsidP="00DF4DFE">
      <w:pPr>
        <w:spacing w:after="0" w:line="480" w:lineRule="auto"/>
        <w:rPr>
          <w:b/>
        </w:rPr>
      </w:pPr>
    </w:p>
    <w:p w14:paraId="1C7B96A6" w14:textId="4C7C0E88" w:rsidR="00DF4DFE" w:rsidRDefault="00DF4DFE" w:rsidP="00DF4DFE">
      <w:pPr>
        <w:spacing w:after="0" w:line="480" w:lineRule="auto"/>
        <w:rPr>
          <w:b/>
        </w:rPr>
      </w:pPr>
      <w:r>
        <w:rPr>
          <w:b/>
          <w:noProof/>
          <w:lang w:val="fr-FR" w:eastAsia="fr-FR"/>
        </w:rPr>
        <w:drawing>
          <wp:inline distT="0" distB="0" distL="0" distR="0" wp14:anchorId="1BA61F7C" wp14:editId="14BDB2AB">
            <wp:extent cx="5943600" cy="192976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F202B" w14:textId="77777777" w:rsidR="00DF4DFE" w:rsidRDefault="00DF4DFE" w:rsidP="00DF4DFE">
      <w:pPr>
        <w:spacing w:after="0" w:line="480" w:lineRule="auto"/>
        <w:rPr>
          <w:b/>
        </w:rPr>
      </w:pPr>
    </w:p>
    <w:p w14:paraId="1291DE80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</w:rPr>
        <w:t xml:space="preserve">Data are presented as mean ± SD (n=3 tanks). Statistical differences were analyzed with a two-way ANOVA test and were considered statistically significant for P&lt;0.05. NS, non-significant. </w:t>
      </w:r>
    </w:p>
    <w:p w14:paraId="011195EB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vertAlign w:val="superscript"/>
        </w:rPr>
        <w:t>1</w:t>
      </w:r>
      <w:r>
        <w:rPr>
          <w:rFonts w:cstheme="minorHAnsi"/>
        </w:rPr>
        <w:t xml:space="preserve">Specific growth rate (%/day) = 100x [Ln (final body weight. g)-Ln (initial body weight. g)]/ Experiment duration (days). </w:t>
      </w:r>
    </w:p>
    <w:p w14:paraId="1AB0FB71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vertAlign w:val="superscript"/>
          <w:lang w:val="en-GB"/>
        </w:rPr>
        <w:t>2</w:t>
      </w:r>
      <w:r>
        <w:rPr>
          <w:rFonts w:cstheme="minorHAnsi"/>
        </w:rPr>
        <w:t xml:space="preserve">Daily feed intake (gram/fish/day) = (Total feed consumed. g/Number of fish/Experiment duration (days)). </w:t>
      </w:r>
    </w:p>
    <w:p w14:paraId="12AAD1D5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vertAlign w:val="superscript"/>
          <w:lang w:val="en-GB"/>
        </w:rPr>
        <w:t>3</w:t>
      </w:r>
      <w:r>
        <w:rPr>
          <w:rFonts w:cstheme="minorHAnsi"/>
        </w:rPr>
        <w:t xml:space="preserve">Feed efficiency = (Final biomass. g − Initial biomass. g)/Total feed consumed (g DM). </w:t>
      </w:r>
    </w:p>
    <w:p w14:paraId="3E4084B3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vertAlign w:val="superscript"/>
          <w:lang w:val="en-GB"/>
        </w:rPr>
        <w:t>4</w:t>
      </w:r>
      <w:r>
        <w:rPr>
          <w:rFonts w:cstheme="minorHAnsi"/>
        </w:rPr>
        <w:t xml:space="preserve">Protein efficiency ratio = (Final biomass − Initial biomass)/ Total protein consumed (g). </w:t>
      </w:r>
    </w:p>
    <w:p w14:paraId="4C2F9E95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59E38A4D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093D9374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1A4E76B3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4F2C7549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779C5D90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44BE5AAB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cstheme="minorHAnsi"/>
          <w:b/>
        </w:rPr>
        <w:t xml:space="preserve">Table 3: </w:t>
      </w:r>
      <w:r>
        <w:rPr>
          <w:rFonts w:cstheme="minorHAnsi"/>
        </w:rPr>
        <w:t xml:space="preserve">Plasma metabolites, hepatic glycogen contents, and hepato-somatic index in rainbow trout </w:t>
      </w:r>
    </w:p>
    <w:p w14:paraId="55A9279D" w14:textId="0981F14C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4F12A48C" wp14:editId="463F67E7">
            <wp:extent cx="5943600" cy="281432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1958A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</w:rPr>
        <w:t>Data are presented as mean ± SD (n=12 fish). Statistical differences were analyzed with a two-way ANOVA test and were considered statistically significant for</w:t>
      </w:r>
      <w:r>
        <w:rPr>
          <w:rFonts w:cstheme="minorHAnsi"/>
          <w:i/>
        </w:rPr>
        <w:t xml:space="preserve"> P</w:t>
      </w:r>
      <w:r>
        <w:rPr>
          <w:rFonts w:cstheme="minorHAnsi"/>
        </w:rPr>
        <w:t>&lt;0.05. NS, not significant. P&lt;0.05 *. P&lt;0.01 **. P&lt;0.001 ***.</w:t>
      </w:r>
    </w:p>
    <w:p w14:paraId="1BB2B15E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314B1BA5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29706122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574B272C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792AAA4F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74D4850B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1800EA04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761E4808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02BE5E09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5C2A2DF3" w14:textId="77777777" w:rsidR="00DF4DFE" w:rsidRDefault="00DF4DFE" w:rsidP="00DF4DFE">
      <w:pPr>
        <w:spacing w:line="480" w:lineRule="auto"/>
        <w:jc w:val="both"/>
        <w:rPr>
          <w:rFonts w:ascii="Times New Roman" w:hAnsi="Times New Roman" w:cs="Times New Roman"/>
        </w:rPr>
      </w:pPr>
    </w:p>
    <w:p w14:paraId="5931A356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b/>
        </w:rPr>
        <w:t>Table 4:</w:t>
      </w:r>
      <w:r>
        <w:rPr>
          <w:rFonts w:cstheme="minorHAnsi"/>
        </w:rPr>
        <w:t xml:space="preserve"> Abundances of different genera significantly affected by experimental diets</w:t>
      </w:r>
    </w:p>
    <w:p w14:paraId="605405D6" w14:textId="46D53B8E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noProof/>
          <w:sz w:val="22"/>
          <w:szCs w:val="22"/>
          <w:lang w:val="fr-FR" w:eastAsia="fr-FR"/>
        </w:rPr>
        <w:drawing>
          <wp:inline distT="0" distB="0" distL="0" distR="0" wp14:anchorId="193F7A29" wp14:editId="07CC61EB">
            <wp:extent cx="5943600" cy="50717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0DCA7" w14:textId="77777777" w:rsidR="00DF4DFE" w:rsidRDefault="00DF4DFE" w:rsidP="00DF4DFE">
      <w:pPr>
        <w:pStyle w:val="NormalWeb"/>
        <w:spacing w:line="480" w:lineRule="auto"/>
        <w:jc w:val="both"/>
        <w:rPr>
          <w:rFonts w:asciiTheme="minorHAnsi" w:hAnsiTheme="minorHAnsi" w:cstheme="minorHAnsi"/>
          <w:color w:val="000000" w:themeColor="text1"/>
          <w:kern w:val="24"/>
          <w:sz w:val="22"/>
        </w:rPr>
      </w:pPr>
      <w:r>
        <w:rPr>
          <w:rFonts w:asciiTheme="minorHAnsi" w:hAnsiTheme="minorHAnsi" w:cstheme="minorHAnsi"/>
          <w:color w:val="000000" w:themeColor="text1"/>
          <w:kern w:val="24"/>
          <w:sz w:val="22"/>
        </w:rPr>
        <w:t xml:space="preserve">Data are presented as mean ± SD (n=12 fish). Statistical differences were analyzed with a two-way ANOVA test and were considered statistically significant for P&lt;0.05. NS not significant. </w:t>
      </w:r>
      <w:r>
        <w:rPr>
          <w:rFonts w:asciiTheme="minorHAnsi" w:hAnsiTheme="minorHAnsi" w:cstheme="minorHAnsi"/>
          <w:i/>
          <w:iCs/>
          <w:color w:val="000000" w:themeColor="text1"/>
          <w:kern w:val="24"/>
          <w:sz w:val="22"/>
        </w:rPr>
        <w:t>P</w:t>
      </w:r>
      <w:r>
        <w:rPr>
          <w:rFonts w:asciiTheme="minorHAnsi" w:hAnsiTheme="minorHAnsi" w:cstheme="minorHAnsi"/>
          <w:color w:val="000000" w:themeColor="text1"/>
          <w:kern w:val="24"/>
          <w:sz w:val="22"/>
        </w:rPr>
        <w:t xml:space="preserve">&lt;0.05 *. </w:t>
      </w:r>
      <w:r>
        <w:rPr>
          <w:rFonts w:asciiTheme="minorHAnsi" w:hAnsiTheme="minorHAnsi" w:cstheme="minorHAnsi"/>
          <w:i/>
          <w:iCs/>
          <w:color w:val="000000" w:themeColor="text1"/>
          <w:kern w:val="24"/>
          <w:sz w:val="22"/>
        </w:rPr>
        <w:t>P</w:t>
      </w:r>
      <w:r>
        <w:rPr>
          <w:rFonts w:asciiTheme="minorHAnsi" w:hAnsiTheme="minorHAnsi" w:cstheme="minorHAnsi"/>
          <w:color w:val="000000" w:themeColor="text1"/>
          <w:kern w:val="24"/>
          <w:sz w:val="22"/>
        </w:rPr>
        <w:t xml:space="preserve">&lt;0.01 **. </w:t>
      </w:r>
      <w:r>
        <w:rPr>
          <w:rFonts w:asciiTheme="minorHAnsi" w:hAnsiTheme="minorHAnsi" w:cstheme="minorHAnsi"/>
          <w:i/>
          <w:iCs/>
          <w:color w:val="000000" w:themeColor="text1"/>
          <w:kern w:val="24"/>
          <w:sz w:val="22"/>
        </w:rPr>
        <w:t>P</w:t>
      </w:r>
      <w:r>
        <w:rPr>
          <w:rFonts w:asciiTheme="minorHAnsi" w:hAnsiTheme="minorHAnsi" w:cstheme="minorHAnsi"/>
          <w:color w:val="000000" w:themeColor="text1"/>
          <w:kern w:val="24"/>
          <w:sz w:val="22"/>
        </w:rPr>
        <w:t>&lt;0.001 ***.</w:t>
      </w:r>
    </w:p>
    <w:p w14:paraId="0ECDBA74" w14:textId="77777777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sz w:val="22"/>
        </w:rPr>
      </w:pPr>
    </w:p>
    <w:p w14:paraId="0576A812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</w:p>
    <w:p w14:paraId="341A694C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</w:p>
    <w:p w14:paraId="74464945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</w:p>
    <w:p w14:paraId="4775D2E7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b/>
        </w:rPr>
        <w:t>Table 5:</w:t>
      </w:r>
      <w:r>
        <w:rPr>
          <w:rFonts w:cstheme="minorHAnsi"/>
        </w:rPr>
        <w:t xml:space="preserve"> mRNA levels of genes involved in different metabolic pathways in liver</w:t>
      </w:r>
    </w:p>
    <w:p w14:paraId="0E28C50F" w14:textId="1D97FB92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sz w:val="22"/>
        </w:rPr>
      </w:pPr>
      <w:r>
        <w:rPr>
          <w:noProof/>
          <w:sz w:val="22"/>
          <w:lang w:val="fr-FR" w:eastAsia="fr-FR"/>
        </w:rPr>
        <w:drawing>
          <wp:inline distT="0" distB="0" distL="0" distR="0" wp14:anchorId="333E2E91" wp14:editId="07247B39">
            <wp:extent cx="5923915" cy="5312410"/>
            <wp:effectExtent l="0" t="0" r="63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531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C7B75" w14:textId="77777777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sz w:val="22"/>
        </w:rPr>
      </w:pPr>
    </w:p>
    <w:p w14:paraId="58B91B62" w14:textId="77777777" w:rsidR="00DF4DFE" w:rsidRDefault="00DF4DFE" w:rsidP="00DF4DFE">
      <w:pPr>
        <w:spacing w:line="480" w:lineRule="auto"/>
        <w:jc w:val="both"/>
        <w:rPr>
          <w:rFonts w:cstheme="minorHAnsi"/>
          <w:iCs/>
          <w:color w:val="222222"/>
          <w:szCs w:val="18"/>
          <w:shd w:val="clear" w:color="auto" w:fill="FFFFFF"/>
        </w:rPr>
      </w:pPr>
      <w:r>
        <w:rPr>
          <w:rFonts w:cstheme="minorHAnsi"/>
        </w:rPr>
        <w:t xml:space="preserve">Data are presented as mean ± SD (n=12 fish). Statistical differences were analyzed with a two-way ANOVA test and were considered statistically significant for P&lt;0.05. NS, not significant. </w:t>
      </w:r>
      <w:r>
        <w:rPr>
          <w:rFonts w:cstheme="minorHAnsi"/>
          <w:i/>
          <w:iCs/>
        </w:rPr>
        <w:t>P</w:t>
      </w:r>
      <w:r>
        <w:rPr>
          <w:rFonts w:cstheme="minorHAnsi"/>
        </w:rPr>
        <w:t xml:space="preserve">&lt;0.05*. </w:t>
      </w:r>
      <w:r>
        <w:rPr>
          <w:rFonts w:cstheme="minorHAnsi"/>
          <w:i/>
          <w:iCs/>
        </w:rPr>
        <w:t>P</w:t>
      </w:r>
      <w:r>
        <w:rPr>
          <w:rFonts w:cstheme="minorHAnsi"/>
        </w:rPr>
        <w:t xml:space="preserve">&lt;0.01 **. </w:t>
      </w:r>
      <w:r>
        <w:rPr>
          <w:rFonts w:cstheme="minorHAnsi"/>
          <w:i/>
          <w:iCs/>
        </w:rPr>
        <w:lastRenderedPageBreak/>
        <w:t>P</w:t>
      </w:r>
      <w:r>
        <w:rPr>
          <w:rFonts w:cstheme="minorHAnsi"/>
        </w:rPr>
        <w:t xml:space="preserve">&lt;0.001 ***. </w:t>
      </w:r>
      <w:r>
        <w:rPr>
          <w:rFonts w:cstheme="minorHAnsi"/>
          <w:i/>
          <w:iCs/>
        </w:rPr>
        <w:t>glut2a</w:t>
      </w:r>
      <w:r>
        <w:rPr>
          <w:rFonts w:cstheme="minorHAnsi"/>
        </w:rPr>
        <w:t xml:space="preserve"> and </w:t>
      </w:r>
      <w:r>
        <w:rPr>
          <w:rFonts w:cstheme="minorHAnsi"/>
          <w:i/>
          <w:iCs/>
        </w:rPr>
        <w:t>glut2b</w:t>
      </w:r>
      <w:r>
        <w:rPr>
          <w:rFonts w:cstheme="minorHAnsi"/>
        </w:rPr>
        <w:t xml:space="preserve">: glucose transporter paralogs. </w:t>
      </w:r>
      <w:proofErr w:type="spellStart"/>
      <w:r>
        <w:rPr>
          <w:rFonts w:cstheme="minorHAnsi"/>
          <w:i/>
          <w:iCs/>
        </w:rPr>
        <w:t>gcka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  <w:i/>
          <w:iCs/>
        </w:rPr>
        <w:t>gckb</w:t>
      </w:r>
      <w:proofErr w:type="spellEnd"/>
      <w:r>
        <w:rPr>
          <w:rFonts w:cstheme="minorHAnsi"/>
        </w:rPr>
        <w:t xml:space="preserve">: glucokinase paralogs. </w:t>
      </w:r>
      <w:proofErr w:type="spellStart"/>
      <w:r>
        <w:rPr>
          <w:rFonts w:cstheme="minorHAnsi"/>
          <w:i/>
          <w:iCs/>
        </w:rPr>
        <w:t>pfkla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  <w:i/>
          <w:iCs/>
        </w:rPr>
        <w:t>pfklb</w:t>
      </w:r>
      <w:proofErr w:type="spellEnd"/>
      <w:r>
        <w:rPr>
          <w:rFonts w:cstheme="minorHAnsi"/>
        </w:rPr>
        <w:t xml:space="preserve">: 6-phosphofructokinase paralogues. </w:t>
      </w:r>
      <w:r>
        <w:rPr>
          <w:rFonts w:cstheme="minorHAnsi"/>
          <w:i/>
          <w:iCs/>
        </w:rPr>
        <w:t>Pk</w:t>
      </w:r>
      <w:r>
        <w:rPr>
          <w:rFonts w:cstheme="minorHAnsi"/>
        </w:rPr>
        <w:t xml:space="preserve">: pyruvate kinase. </w:t>
      </w:r>
      <w:r>
        <w:rPr>
          <w:rFonts w:cstheme="minorHAnsi"/>
          <w:i/>
          <w:iCs/>
        </w:rPr>
        <w:t>pck1</w:t>
      </w:r>
      <w:r>
        <w:rPr>
          <w:rFonts w:cstheme="minorHAnsi"/>
        </w:rPr>
        <w:t xml:space="preserve"> and </w:t>
      </w:r>
      <w:r>
        <w:rPr>
          <w:rFonts w:cstheme="minorHAnsi"/>
          <w:i/>
          <w:iCs/>
        </w:rPr>
        <w:t>pck2</w:t>
      </w:r>
      <w:r>
        <w:rPr>
          <w:rFonts w:cstheme="minorHAnsi"/>
        </w:rPr>
        <w:t xml:space="preserve">: phosphoenolpyruvate </w:t>
      </w:r>
      <w:proofErr w:type="spellStart"/>
      <w:r>
        <w:rPr>
          <w:rFonts w:cstheme="minorHAnsi"/>
        </w:rPr>
        <w:t>carboxykinase</w:t>
      </w:r>
      <w:proofErr w:type="spellEnd"/>
      <w:r>
        <w:rPr>
          <w:rFonts w:cstheme="minorHAnsi"/>
        </w:rPr>
        <w:t xml:space="preserve"> paralogs. </w:t>
      </w:r>
      <w:r>
        <w:rPr>
          <w:rFonts w:cstheme="minorHAnsi"/>
          <w:i/>
        </w:rPr>
        <w:t>fbp1a</w:t>
      </w:r>
      <w:r>
        <w:rPr>
          <w:rFonts w:cstheme="minorHAnsi"/>
        </w:rPr>
        <w:t xml:space="preserve">, </w:t>
      </w:r>
      <w:r>
        <w:rPr>
          <w:rFonts w:cstheme="minorHAnsi"/>
          <w:i/>
          <w:iCs/>
        </w:rPr>
        <w:t xml:space="preserve">fbp1b1,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fbp1b2</w:t>
      </w:r>
      <w:r>
        <w:rPr>
          <w:rFonts w:cstheme="minorHAnsi"/>
        </w:rPr>
        <w:t xml:space="preserve">: fructose 1.6-bisphosphatase paralogues. </w:t>
      </w:r>
      <w:r>
        <w:rPr>
          <w:rFonts w:cstheme="minorHAnsi"/>
          <w:i/>
          <w:iCs/>
        </w:rPr>
        <w:t>g6pca</w:t>
      </w:r>
      <w:r>
        <w:rPr>
          <w:rFonts w:cstheme="minorHAnsi"/>
        </w:rPr>
        <w:t xml:space="preserve">, </w:t>
      </w:r>
      <w:r>
        <w:rPr>
          <w:rFonts w:cstheme="minorHAnsi"/>
          <w:i/>
        </w:rPr>
        <w:t>g6pcb1b</w:t>
      </w:r>
      <w:r>
        <w:rPr>
          <w:rFonts w:cstheme="minorHAnsi"/>
          <w:i/>
          <w:iCs/>
        </w:rPr>
        <w:t xml:space="preserve">,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g6pcb2a</w:t>
      </w:r>
      <w:r>
        <w:rPr>
          <w:rFonts w:cstheme="minorHAnsi"/>
        </w:rPr>
        <w:t xml:space="preserve">: glucose-6-phosphatase paralogs. </w:t>
      </w:r>
      <w:r>
        <w:rPr>
          <w:rFonts w:cstheme="minorHAnsi"/>
          <w:i/>
        </w:rPr>
        <w:t>srebf1:</w:t>
      </w:r>
      <w:r>
        <w:rPr>
          <w:rFonts w:cstheme="minorHAnsi"/>
        </w:rPr>
        <w:t xml:space="preserve"> sterol regulatory element binding factor 1. </w:t>
      </w:r>
      <w:r>
        <w:rPr>
          <w:rFonts w:cstheme="minorHAnsi"/>
          <w:i/>
        </w:rPr>
        <w:t>g6pdb</w:t>
      </w:r>
      <w:r>
        <w:rPr>
          <w:rFonts w:cstheme="minorHAnsi"/>
        </w:rPr>
        <w:t>: glucose-6-phosphatase dehydrogenase.</w:t>
      </w:r>
      <w:r>
        <w:rPr>
          <w:rFonts w:cstheme="minorHAnsi"/>
          <w:i/>
          <w:iCs/>
        </w:rPr>
        <w:t xml:space="preserve"> </w:t>
      </w:r>
      <w:proofErr w:type="spellStart"/>
      <w:r>
        <w:rPr>
          <w:rFonts w:cstheme="minorHAnsi"/>
          <w:i/>
          <w:iCs/>
        </w:rPr>
        <w:t>aclyb</w:t>
      </w:r>
      <w:proofErr w:type="spellEnd"/>
      <w:r>
        <w:rPr>
          <w:rFonts w:cstheme="minorHAnsi"/>
          <w:i/>
          <w:iCs/>
        </w:rPr>
        <w:t xml:space="preserve">,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</w:t>
      </w:r>
      <w:proofErr w:type="spellStart"/>
      <w:r>
        <w:rPr>
          <w:rFonts w:cstheme="minorHAnsi"/>
          <w:i/>
          <w:iCs/>
        </w:rPr>
        <w:t>aclyc</w:t>
      </w:r>
      <w:proofErr w:type="spellEnd"/>
      <w:r>
        <w:rPr>
          <w:rFonts w:cstheme="minorHAnsi"/>
        </w:rPr>
        <w:t xml:space="preserve">: adenosine triphosphate citrate lyase paralogues. </w:t>
      </w:r>
      <w:r>
        <w:rPr>
          <w:rFonts w:cstheme="minorHAnsi"/>
          <w:i/>
          <w:iCs/>
        </w:rPr>
        <w:t xml:space="preserve">aca-aa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aca-</w:t>
      </w:r>
      <w:proofErr w:type="spellStart"/>
      <w:r>
        <w:rPr>
          <w:rFonts w:cstheme="minorHAnsi"/>
          <w:i/>
          <w:iCs/>
        </w:rPr>
        <w:t>ba</w:t>
      </w:r>
      <w:proofErr w:type="spellEnd"/>
      <w:r>
        <w:rPr>
          <w:rFonts w:cstheme="minorHAnsi"/>
          <w:iCs/>
        </w:rPr>
        <w:t>:</w:t>
      </w:r>
      <w:r>
        <w:rPr>
          <w:rFonts w:cstheme="minorHAnsi"/>
          <w:i/>
          <w:iCs/>
        </w:rPr>
        <w:t xml:space="preserve"> </w:t>
      </w:r>
      <w:proofErr w:type="spellStart"/>
      <w:r>
        <w:rPr>
          <w:rFonts w:cstheme="minorHAnsi"/>
        </w:rPr>
        <w:t>acetylcoA</w:t>
      </w:r>
      <w:proofErr w:type="spellEnd"/>
      <w:r>
        <w:rPr>
          <w:rFonts w:cstheme="minorHAnsi"/>
        </w:rPr>
        <w:t xml:space="preserve"> carboxylase paralogues. </w:t>
      </w:r>
      <w:proofErr w:type="spellStart"/>
      <w:r>
        <w:rPr>
          <w:rFonts w:cstheme="minorHAnsi"/>
          <w:i/>
          <w:iCs/>
        </w:rPr>
        <w:t>fasna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  <w:i/>
          <w:iCs/>
        </w:rPr>
        <w:t>fasnb</w:t>
      </w:r>
      <w:proofErr w:type="spellEnd"/>
      <w:r>
        <w:rPr>
          <w:rFonts w:cstheme="minorHAnsi"/>
        </w:rPr>
        <w:t xml:space="preserve">: fatty acid synthase paralogs. </w:t>
      </w:r>
      <w:r>
        <w:rPr>
          <w:rFonts w:cstheme="minorHAnsi"/>
          <w:i/>
          <w:iCs/>
        </w:rPr>
        <w:t xml:space="preserve">srebp-2a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srebp-2b</w:t>
      </w:r>
      <w:r>
        <w:rPr>
          <w:rFonts w:cstheme="minorHAnsi"/>
        </w:rPr>
        <w:t xml:space="preserve">: sterol regulatory element-binding protein 2 paralogues. </w:t>
      </w:r>
      <w:proofErr w:type="spellStart"/>
      <w:r>
        <w:rPr>
          <w:rFonts w:cstheme="minorHAnsi"/>
          <w:i/>
        </w:rPr>
        <w:t>hmgcra</w:t>
      </w:r>
      <w:proofErr w:type="spellEnd"/>
      <w:r>
        <w:rPr>
          <w:rFonts w:cstheme="minorHAnsi"/>
        </w:rPr>
        <w:t xml:space="preserve">, and </w:t>
      </w:r>
      <w:proofErr w:type="spellStart"/>
      <w:r>
        <w:rPr>
          <w:rFonts w:cstheme="minorHAnsi"/>
          <w:i/>
        </w:rPr>
        <w:t>hmgcrb</w:t>
      </w:r>
      <w:proofErr w:type="spellEnd"/>
      <w:r>
        <w:rPr>
          <w:rFonts w:cstheme="minorHAnsi"/>
        </w:rPr>
        <w:t xml:space="preserve">: </w:t>
      </w:r>
      <w:proofErr w:type="spellStart"/>
      <w:r>
        <w:rPr>
          <w:rFonts w:cstheme="minorHAnsi"/>
        </w:rPr>
        <w:t>hydroxymethylglutaryl</w:t>
      </w:r>
      <w:proofErr w:type="spellEnd"/>
      <w:r>
        <w:rPr>
          <w:rFonts w:cstheme="minorHAnsi"/>
        </w:rPr>
        <w:t xml:space="preserve">-CoA synthase paralogues. </w:t>
      </w:r>
      <w:r>
        <w:rPr>
          <w:rFonts w:cstheme="minorHAnsi"/>
          <w:i/>
          <w:iCs/>
        </w:rPr>
        <w:t xml:space="preserve">dhcr7a, </w:t>
      </w:r>
      <w:r>
        <w:rPr>
          <w:rFonts w:cstheme="minorHAnsi"/>
          <w:iCs/>
        </w:rPr>
        <w:t>and</w:t>
      </w:r>
      <w:r>
        <w:rPr>
          <w:rFonts w:cstheme="minorHAnsi"/>
          <w:i/>
          <w:iCs/>
        </w:rPr>
        <w:t xml:space="preserve"> dhcr7b</w:t>
      </w:r>
      <w:r>
        <w:rPr>
          <w:rFonts w:cstheme="minorHAnsi"/>
          <w:iCs/>
        </w:rPr>
        <w:t xml:space="preserve">: 7-dehydrocholesterol reductase paralogues. </w:t>
      </w:r>
    </w:p>
    <w:p w14:paraId="505C5D4F" w14:textId="77777777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sz w:val="22"/>
        </w:rPr>
      </w:pPr>
    </w:p>
    <w:p w14:paraId="02749052" w14:textId="77777777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sz w:val="22"/>
        </w:rPr>
      </w:pPr>
    </w:p>
    <w:p w14:paraId="4CD14D7D" w14:textId="77777777" w:rsidR="00DF4DFE" w:rsidRDefault="00DF4DFE" w:rsidP="00DF4DFE">
      <w:pPr>
        <w:pStyle w:val="NormalWeb"/>
        <w:spacing w:before="0" w:beforeAutospacing="0" w:after="0" w:afterAutospacing="0" w:line="480" w:lineRule="auto"/>
        <w:jc w:val="both"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</w:rPr>
        <w:t>Table 6:</w:t>
      </w:r>
      <w:r>
        <w:rPr>
          <w:rFonts w:asciiTheme="minorHAnsi" w:eastAsiaTheme="minorHAnsi" w:hAnsiTheme="minorHAnsi" w:cstheme="minorHAnsi"/>
          <w:sz w:val="22"/>
          <w:szCs w:val="22"/>
        </w:rPr>
        <w:t xml:space="preserve"> mRNA levels of free fatty acid receptors (FFAR) in mid-intestine </w:t>
      </w:r>
    </w:p>
    <w:p w14:paraId="14969AFE" w14:textId="5FBC8BBD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  <w:noProof/>
          <w:lang w:val="fr-FR" w:eastAsia="fr-FR"/>
        </w:rPr>
        <w:drawing>
          <wp:inline distT="0" distB="0" distL="0" distR="0" wp14:anchorId="738D48F0" wp14:editId="7E5D636F">
            <wp:extent cx="5943600" cy="21082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4BFF0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  <w:r>
        <w:rPr>
          <w:rFonts w:cstheme="minorHAnsi"/>
        </w:rPr>
        <w:t xml:space="preserve">Data are presented as mean ± SD (n=12 fish). Statistical differences were analyzed with a two-way ANOVA test and were considered statistically significant for P&lt;0.05. NS, not significant. </w:t>
      </w:r>
      <w:r>
        <w:rPr>
          <w:rFonts w:cstheme="minorHAnsi"/>
          <w:i/>
          <w:iCs/>
        </w:rPr>
        <w:t>P</w:t>
      </w:r>
      <w:r>
        <w:rPr>
          <w:rFonts w:cstheme="minorHAnsi"/>
        </w:rPr>
        <w:t xml:space="preserve">&lt;0.05 *. </w:t>
      </w:r>
      <w:r>
        <w:rPr>
          <w:rFonts w:cstheme="minorHAnsi"/>
          <w:i/>
          <w:iCs/>
        </w:rPr>
        <w:t>P</w:t>
      </w:r>
      <w:r>
        <w:rPr>
          <w:rFonts w:cstheme="minorHAnsi"/>
        </w:rPr>
        <w:t xml:space="preserve">&lt;0.01 **. </w:t>
      </w:r>
      <w:r>
        <w:rPr>
          <w:rFonts w:cstheme="minorHAnsi"/>
          <w:i/>
          <w:iCs/>
        </w:rPr>
        <w:t>P</w:t>
      </w:r>
      <w:r>
        <w:rPr>
          <w:rFonts w:cstheme="minorHAnsi"/>
        </w:rPr>
        <w:t>&lt;0.001 ***.</w:t>
      </w:r>
    </w:p>
    <w:p w14:paraId="470446D5" w14:textId="77777777" w:rsidR="00DF4DFE" w:rsidRDefault="00DF4DFE" w:rsidP="00DF4DFE">
      <w:pPr>
        <w:spacing w:line="480" w:lineRule="auto"/>
        <w:jc w:val="both"/>
        <w:rPr>
          <w:rFonts w:cstheme="minorHAnsi"/>
        </w:rPr>
      </w:pPr>
    </w:p>
    <w:p w14:paraId="77CB226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DFE"/>
    <w:rsid w:val="00AD1398"/>
    <w:rsid w:val="00D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93CE4"/>
  <w15:chartTrackingRefBased/>
  <w15:docId w15:val="{F420AC19-BAA4-496E-A0FC-7053CA2C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DF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4DF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42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427</Words>
  <Characters>2436</Characters>
  <Application>Microsoft Office Word</Application>
  <DocSecurity>0</DocSecurity>
  <Lines>20</Lines>
  <Paragraphs>5</Paragraphs>
  <ScaleCrop>false</ScaleCrop>
  <Company>Springer Nature</Company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2023-06-28T09:47:00Z</dcterms:created>
  <dcterms:modified xsi:type="dcterms:W3CDTF">2023-06-28T09:47:00Z</dcterms:modified>
</cp:coreProperties>
</file>