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88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34"/>
        </w:rPr>
      </w:pPr>
      <w:r>
        <w:rPr>
          <w:rFonts w:hint="default" w:ascii="Times New Roman" w:hAnsi="Times New Roman" w:cs="Times New Roman"/>
          <w:w w:val="110"/>
          <w:sz w:val="34"/>
        </w:rPr>
        <w:t>A Deep Learning Based Holistic Diagnosis System for Immunohistochemistry Interpretation and Molecular Subtyping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afterLines="50" w:line="288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652780</wp:posOffset>
                </wp:positionV>
                <wp:extent cx="6641465" cy="2162175"/>
                <wp:effectExtent l="0" t="0" r="6985" b="9525"/>
                <wp:wrapTopAndBottom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465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3743960" cy="1548765"/>
                                  <wp:effectExtent l="0" t="0" r="8890" b="13335"/>
                                  <wp:docPr id="10" name="图片 10" descr="D:\mine\工作\科研\成果\论文\卷积神经网络识别乳腺癌\小论文\figures\IHC原理.jpgIHC原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D:\mine\工作\科研\成果\论文\卷积神经网络识别乳腺癌\小论文\figures\IHC原理.jpgIHC原理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960" cy="1548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hint="default" w:ascii="Times New Roman" w:hAnsi="Times New Roman" w:cs="Times New Roman"/>
                                <w:sz w:val="19"/>
                                <w:szCs w:val="19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igure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  <w:lang w:val="en-US" w:eastAsia="zh-CN"/>
                              </w:rPr>
                              <w:t>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.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  <w:lang w:val="en-US" w:eastAsia="zh-CN"/>
                              </w:rPr>
                              <w:t>I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>mmunohistochemical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  <w:lang w:val="en-US" w:eastAsia="zh-CN"/>
                              </w:rPr>
                              <w:t xml:space="preserve"> methods: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(a)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  <w:lang w:val="en-US" w:eastAsia="zh-CN"/>
                              </w:rPr>
                              <w:t xml:space="preserve"> Scheme of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immunohistochemical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  <w:lang w:val="en-US" w:eastAsia="zh-CN"/>
                              </w:rPr>
                              <w:t xml:space="preserve"> detection for HER2 overexpressed breast tumor sections.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M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icroscopic images of breast cancer sections with different expression levels of HER2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4pt;margin-top:51.4pt;height:170.25pt;width:522.95pt;mso-wrap-distance-bottom:0pt;mso-wrap-distance-top:0pt;z-index:251659264;mso-width-relative:page;mso-height-relative:page;" fillcolor="#FFFFFF [3201]" filled="t" stroked="f" coordsize="21600,21600" o:gfxdata="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wWISY9YAAAALAQAADwAA&#10;AAAAAAABACAAAAAiAAAAZHJzL2Rvd25yZXYueG1sUEsBAhQAFAAAAAgAh07iQI4It/Z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3743960" cy="1548765"/>
                            <wp:effectExtent l="0" t="0" r="8890" b="13335"/>
                            <wp:docPr id="10" name="图片 10" descr="D:\mine\工作\科研\成果\论文\卷积神经网络识别乳腺癌\小论文\figures\IHC原理.jpgIHC原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D:\mine\工作\科研\成果\论文\卷积神经网络识别乳腺癌\小论文\figures\IHC原理.jpgIHC原理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960" cy="1548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hint="default" w:ascii="Times New Roman" w:hAnsi="Times New Roman" w:cs="Times New Roman"/>
                          <w:sz w:val="19"/>
                          <w:szCs w:val="19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  <w:t xml:space="preserve">igure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9"/>
                          <w:szCs w:val="19"/>
                          <w:lang w:val="en-US" w:eastAsia="zh-CN"/>
                        </w:rPr>
                        <w:t>S1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  <w:t xml:space="preserve">.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9"/>
                          <w:szCs w:val="19"/>
                          <w:lang w:val="en-US" w:eastAsia="zh-CN"/>
                        </w:rPr>
                        <w:t>I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  <w:t>mmunohistochemical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9"/>
                          <w:szCs w:val="19"/>
                          <w:lang w:val="en-US" w:eastAsia="zh-CN"/>
                        </w:rPr>
                        <w:t xml:space="preserve"> methods: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(a)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  <w:lang w:val="en-US" w:eastAsia="zh-CN"/>
                        </w:rPr>
                        <w:t xml:space="preserve"> Scheme of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immunohistochemical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  <w:lang w:val="en-US" w:eastAsia="zh-CN"/>
                        </w:rPr>
                        <w:t xml:space="preserve"> detection for HER2 overexpressed breast tumor sections. 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  <w:lang w:val="en-US" w:eastAsia="zh-CN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) 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M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icroscopic images of breast cancer sections with different expression levels of HER2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.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0"/>
          <w:szCs w:val="20"/>
        </w:rPr>
        <w:t>Lin Fan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1,2,3*</w:t>
      </w:r>
      <w:r>
        <w:rPr>
          <w:rFonts w:hint="default" w:ascii="Times New Roman" w:hAnsi="Times New Roman" w:cs="Times New Roman"/>
          <w:sz w:val="20"/>
          <w:szCs w:val="20"/>
          <w:vertAlign w:val="baseline"/>
        </w:rPr>
        <w:t>, Jiahe Liu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hint="default" w:ascii="Times New Roman" w:hAnsi="Times New Roman" w:cs="Times New Roman"/>
          <w:sz w:val="20"/>
          <w:szCs w:val="20"/>
          <w:vertAlign w:val="baseline"/>
        </w:rPr>
        <w:t>, Baoyang Ju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0"/>
          <w:vertAlign w:val="baseline"/>
        </w:rPr>
        <w:t xml:space="preserve"> and </w:t>
      </w:r>
      <w:r>
        <w:rPr>
          <w:rFonts w:hint="default" w:ascii="Times New Roman" w:hAnsi="Times New Roman" w:cs="Times New Roman"/>
          <w:sz w:val="20"/>
          <w:szCs w:val="20"/>
        </w:rPr>
        <w:t>Yushen Tian</w:t>
      </w:r>
      <w:r>
        <w:rPr>
          <w:rFonts w:hint="eastAsia" w:ascii="Times New Roman" w:hAnsi="Times New Roman" w:eastAsia="宋体" w:cs="Times New Roman"/>
          <w:sz w:val="20"/>
          <w:szCs w:val="20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*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pStyle w:val="37"/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Table.S1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bookmarkStart w:id="0" w:name="_Hlk46768198"/>
      <w:r>
        <w:rPr>
          <w:rFonts w:hint="default" w:ascii="Times New Roman" w:hAnsi="Times New Roman" w:cs="Times New Roman"/>
          <w:sz w:val="20"/>
          <w:szCs w:val="20"/>
        </w:rPr>
        <w:t>Manually interpreting results of breast tumor sections with HER2 overexpressed ( n=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104</w:t>
      </w:r>
      <w:r>
        <w:rPr>
          <w:rFonts w:hint="default" w:ascii="Times New Roman" w:hAnsi="Times New Roman" w:cs="Times New Roman"/>
          <w:sz w:val="20"/>
          <w:szCs w:val="20"/>
        </w:rPr>
        <w:t>).</w:t>
      </w:r>
      <w:bookmarkEnd w:id="0"/>
    </w:p>
    <w:tbl>
      <w:tblPr>
        <w:tblStyle w:val="12"/>
        <w:tblW w:w="811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984"/>
        <w:gridCol w:w="1984"/>
        <w:gridCol w:w="191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0（n, %)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1+ (n, %)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2+ (n, %)</w:t>
            </w:r>
          </w:p>
        </w:tc>
        <w:tc>
          <w:tcPr>
            <w:tcW w:w="19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3+ (n, 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3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28.8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23.1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23.1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%</w:t>
            </w:r>
          </w:p>
        </w:tc>
        <w:tc>
          <w:tcPr>
            <w:tcW w:w="191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25.0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%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240" w:lineRule="auto"/>
        <w:jc w:val="left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19"/>
          <w:szCs w:val="19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.</w:t>
      </w:r>
      <w:r>
        <w:rPr>
          <w:rFonts w:hint="default" w:ascii="Times New Roman" w:hAnsi="Times New Roman" w:cs="Times New Roman"/>
          <w:sz w:val="19"/>
          <w:szCs w:val="19"/>
        </w:rPr>
        <w:t xml:space="preserve"> Construction of training set and testing set through </w:t>
      </w:r>
      <w:r>
        <w:rPr>
          <w:rFonts w:hint="default" w:ascii="Times New Roman" w:hAnsi="Times New Roman" w:eastAsia="AdvOTea1a7398" w:cs="Times New Roman"/>
          <w:kern w:val="0"/>
          <w:sz w:val="19"/>
          <w:szCs w:val="19"/>
        </w:rPr>
        <w:t>computer graphics methods</w:t>
      </w:r>
      <w:r>
        <w:rPr>
          <w:rFonts w:hint="default" w:ascii="Times New Roman" w:hAnsi="Times New Roman" w:cs="Times New Roman"/>
          <w:sz w:val="19"/>
          <w:szCs w:val="19"/>
        </w:rPr>
        <w:t>.</w:t>
      </w:r>
    </w:p>
    <w:tbl>
      <w:tblPr>
        <w:tblStyle w:val="13"/>
        <w:tblpPr w:leftFromText="180" w:rightFromText="180" w:vertAnchor="text" w:horzAnchor="page" w:tblpX="854" w:tblpY="175"/>
        <w:tblOverlap w:val="never"/>
        <w:tblW w:w="10447" w:type="dxa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1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tcBorders>
              <w:bottom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Positive Degree</w:t>
            </w:r>
          </w:p>
        </w:tc>
        <w:tc>
          <w:tcPr>
            <w:tcW w:w="1924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1924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924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++</w:t>
            </w:r>
          </w:p>
        </w:tc>
        <w:tc>
          <w:tcPr>
            <w:tcW w:w="1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+++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Set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 xml:space="preserve">Training 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>Testing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 xml:space="preserve">Training 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>Testing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 xml:space="preserve">Training 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>Testing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 xml:space="preserve">Training </w:t>
            </w:r>
          </w:p>
        </w:tc>
        <w:tc>
          <w:tcPr>
            <w:tcW w:w="962" w:type="dxa"/>
            <w:tcBorders>
              <w:top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AdvOTea1a7398" w:cs="Times New Roman"/>
                <w:kern w:val="0"/>
                <w:sz w:val="19"/>
                <w:szCs w:val="19"/>
              </w:rPr>
              <w:t>Testing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Original Images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60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Maximum Expansion Multiple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2.6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1.2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7.9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3.9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7.9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3.9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7.9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Practical Expansion Multiple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Rotating Step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180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72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72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90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Final Subgraphs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10000</w:t>
            </w:r>
          </w:p>
        </w:tc>
        <w:tc>
          <w:tcPr>
            <w:tcW w:w="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1000</w:t>
            </w:r>
          </w:p>
        </w:tc>
      </w:tr>
    </w:tbl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  <w:r>
        <w:rPr>
          <w:rFonts w:hint="default" w:ascii="Times New Roman" w:hAnsi="Times New Roman" w:cs="Times New Roman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121920</wp:posOffset>
                </wp:positionV>
                <wp:extent cx="6471285" cy="5654675"/>
                <wp:effectExtent l="0" t="0" r="5715" b="3175"/>
                <wp:wrapTopAndBottom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565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drawing>
                                <wp:inline distT="0" distB="0" distL="0" distR="0">
                                  <wp:extent cx="4425950" cy="4585335"/>
                                  <wp:effectExtent l="0" t="0" r="12700" b="5715"/>
                                  <wp:docPr id="6" name="图片 6" descr="D:\mine\工作\科研\成果\论文\卷积神经网络识别乳腺癌\小论文\figures\数据集获取.tif数据集获取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D:\mine\工作\科研\成果\论文\卷积神经网络识别乳腺癌\小论文\figures\数据集获取.tif数据集获取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25950" cy="4585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Figure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Data expansion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(a)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Original m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icroscopic images of breast cancer sections with different expression levels of HER2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. (b)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images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of each positive degree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were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360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˚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rotated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by certain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rotating step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respectively and then (c) cut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100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by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100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pixel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. (d) 10000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cases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training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1000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cases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testing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were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kept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for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each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positive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degree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, and 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subgraphs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could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not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fill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up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100 </w:t>
                            </w:r>
                            <w:r>
                              <w:rPr>
                                <w:rFonts w:hint="eastAsia"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>by</w:t>
                            </w:r>
                            <w:r>
                              <w:rPr>
                                <w:rFonts w:ascii="Times New Roman" w:hAnsi="Times New Roman" w:eastAsia="AdvOTea1a7398"/>
                                <w:kern w:val="0"/>
                                <w:sz w:val="19"/>
                                <w:szCs w:val="19"/>
                              </w:rPr>
                              <w:t xml:space="preserve"> 100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pixel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were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not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in accordance with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positive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degree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original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images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were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eliminate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d.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2pt;margin-top:9.6pt;height:445.25pt;width:509.55pt;mso-wrap-distance-bottom:3.6pt;mso-wrap-distance-top:3.6pt;z-index:251660288;mso-width-relative:page;mso-height-relative:page;" fillcolor="#FFFFFF" filled="t" stroked="f" coordsize="21600,21600" o:gfxdata="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0Fc2o1wAAAAoBAAAPAAAAAAAAAAEAIAAAACIAAABkcnMvZG93&#10;bnJldi54bWxQSwECFAAUAAAACACHTuJA7JJA5ToCAABTBAAADgAAAAAAAAABACAAAAAm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drawing>
                          <wp:inline distT="0" distB="0" distL="0" distR="0">
                            <wp:extent cx="4425950" cy="4585335"/>
                            <wp:effectExtent l="0" t="0" r="12700" b="5715"/>
                            <wp:docPr id="6" name="图片 6" descr="D:\mine\工作\科研\成果\论文\卷积神经网络识别乳腺癌\小论文\figures\数据集获取.tif数据集获取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D:\mine\工作\科研\成果\论文\卷积神经网络识别乳腺癌\小论文\figures\数据集获取.tif数据集获取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25950" cy="4585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 xml:space="preserve">Figure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S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Data expansion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: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(a)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  <w:lang w:val="en-US" w:eastAsia="zh-CN"/>
                        </w:rPr>
                        <w:t>Original m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icroscopic images of breast cancer sections with different expression levels of HER2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. (b)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The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images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of each positive degree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were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360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˚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rotated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by certain 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rotating step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respectively and then (c) cut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to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100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by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100 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pixel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. (d) 10000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cases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of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training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data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and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1000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cases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of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testing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data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were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kept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for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each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positive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degree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, and t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he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subgraphs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could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not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fill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up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100 </w:t>
                      </w:r>
                      <w:r>
                        <w:rPr>
                          <w:rFonts w:hint="eastAsia"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>by</w:t>
                      </w:r>
                      <w:r>
                        <w:rPr>
                          <w:rFonts w:ascii="Times New Roman" w:hAnsi="Times New Roman" w:eastAsia="AdvOTea1a7398"/>
                          <w:kern w:val="0"/>
                          <w:sz w:val="19"/>
                          <w:szCs w:val="19"/>
                        </w:rPr>
                        <w:t xml:space="preserve"> 100 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pixel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or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were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not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in accordance with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positive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degree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of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original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images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were</w:t>
                      </w: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eliminate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d.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pStyle w:val="37"/>
        <w:spacing w:line="240" w:lineRule="auto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Table.S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</w:rPr>
        <w:t xml:space="preserve"> Statistical results of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CNN based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interpretation method </w:t>
      </w:r>
      <w:r>
        <w:rPr>
          <w:rFonts w:hint="default" w:ascii="Times New Roman" w:hAnsi="Times New Roman" w:cs="Times New Roman"/>
          <w:sz w:val="20"/>
          <w:szCs w:val="20"/>
        </w:rPr>
        <w:t>for detecting immunohistochemical DAB stained sections of HER2 overexpressed breast tumor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4000</w:t>
      </w:r>
      <w:r>
        <w:rPr>
          <w:rFonts w:hint="default" w:ascii="Times New Roman" w:hAnsi="Times New Roman" w:cs="Times New Roman"/>
          <w:sz w:val="20"/>
          <w:szCs w:val="20"/>
        </w:rPr>
        <w:t>).</w:t>
      </w:r>
    </w:p>
    <w:tbl>
      <w:tblPr>
        <w:tblStyle w:val="12"/>
        <w:tblpPr w:leftFromText="180" w:rightFromText="180" w:vertAnchor="text" w:horzAnchor="page" w:tblpX="568" w:tblpY="110"/>
        <w:tblOverlap w:val="never"/>
        <w:tblW w:w="1073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966"/>
        <w:gridCol w:w="1048"/>
        <w:gridCol w:w="1048"/>
        <w:gridCol w:w="1048"/>
        <w:gridCol w:w="1048"/>
        <w:gridCol w:w="1109"/>
        <w:gridCol w:w="1109"/>
        <w:gridCol w:w="1109"/>
        <w:gridCol w:w="111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108" w:type="dxa"/>
            <w:gridSpan w:val="2"/>
            <w:vMerge w:val="restart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Subtype</w:t>
            </w:r>
          </w:p>
        </w:tc>
        <w:tc>
          <w:tcPr>
            <w:tcW w:w="4192" w:type="dxa"/>
            <w:gridSpan w:val="4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Overexpression Level of Tumour Markers</w:t>
            </w:r>
          </w:p>
        </w:tc>
        <w:tc>
          <w:tcPr>
            <w:tcW w:w="3327" w:type="dxa"/>
            <w:gridSpan w:val="3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Response to Therapies</w:t>
            </w:r>
          </w:p>
        </w:tc>
        <w:tc>
          <w:tcPr>
            <w:tcW w:w="1110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Prognosis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108" w:type="dxa"/>
            <w:gridSpan w:val="2"/>
            <w:vMerge w:val="continue"/>
            <w:tcBorders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HER2</w:t>
            </w:r>
          </w:p>
        </w:tc>
        <w:tc>
          <w:tcPr>
            <w:tcW w:w="104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ER</w:t>
            </w:r>
          </w:p>
        </w:tc>
        <w:tc>
          <w:tcPr>
            <w:tcW w:w="104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PR</w:t>
            </w:r>
          </w:p>
        </w:tc>
        <w:tc>
          <w:tcPr>
            <w:tcW w:w="104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Ki67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HER2-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Targeted Therapies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Chemotherapy</w:t>
            </w:r>
          </w:p>
        </w:tc>
        <w:tc>
          <w:tcPr>
            <w:tcW w:w="110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Homone Therapies</w:t>
            </w:r>
          </w:p>
        </w:tc>
        <w:tc>
          <w:tcPr>
            <w:tcW w:w="1110" w:type="dxa"/>
            <w:vMerge w:val="continue"/>
            <w:tcBorders>
              <w:bottom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142" w:type="dxa"/>
            <w:tcBorders>
              <w:top w:val="single" w:color="auto" w:sz="12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HER2-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related</w:t>
            </w:r>
          </w:p>
        </w:tc>
        <w:tc>
          <w:tcPr>
            <w:tcW w:w="9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+/++/+++</w:t>
            </w:r>
          </w:p>
        </w:tc>
        <w:tc>
          <w:tcPr>
            <w:tcW w:w="10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High</w:t>
            </w:r>
          </w:p>
        </w:tc>
        <w:tc>
          <w:tcPr>
            <w:tcW w:w="110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High</w:t>
            </w:r>
          </w:p>
        </w:tc>
        <w:tc>
          <w:tcPr>
            <w:tcW w:w="110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Low</w:t>
            </w:r>
          </w:p>
        </w:tc>
        <w:tc>
          <w:tcPr>
            <w:tcW w:w="1110" w:type="dxa"/>
            <w:tcBorders>
              <w:top w:val="single" w:color="auto" w:sz="12" w:space="0"/>
              <w:left w:val="nil"/>
              <w:bottom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Poor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2" w:type="dxa"/>
            <w:tcBorders>
              <w:top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Luminal 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+/++/+++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++/+++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Low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Low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High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Good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2" w:type="dxa"/>
            <w:vMerge w:val="restart"/>
            <w:tcBorders>
              <w:top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Luminal B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HER2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-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negative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lang w:val="en-US" w:eastAsia="zh-CN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+/++/+++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-/+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High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 w:eastAsiaTheme="minorEastAsia"/>
                <w:color w:val="000000"/>
                <w:lang w:val="en-US" w:eastAsia="zh-CN"/>
              </w:rPr>
              <w:t>oderate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High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 w:eastAsiaTheme="minorEastAsia"/>
                <w:color w:val="000000"/>
                <w:lang w:val="en-US" w:eastAsia="zh-CN"/>
              </w:rPr>
              <w:t>oderate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2" w:type="dxa"/>
            <w:vMerge w:val="continue"/>
            <w:tcBorders>
              <w:top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+/++/+++</w:t>
            </w:r>
          </w:p>
        </w:tc>
        <w:tc>
          <w:tcPr>
            <w:tcW w:w="1109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vMerge w:val="continue"/>
            <w:tcBorders>
              <w:lef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42" w:type="dxa"/>
            <w:vMerge w:val="continue"/>
            <w:tcBorders>
              <w:top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HER2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-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Positive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+/++/+++</w:t>
            </w:r>
          </w:p>
        </w:tc>
        <w:tc>
          <w:tcPr>
            <w:tcW w:w="10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Low</w:t>
            </w:r>
          </w:p>
        </w:tc>
        <w:tc>
          <w:tcPr>
            <w:tcW w:w="1109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110" w:type="dxa"/>
            <w:vMerge w:val="continue"/>
            <w:tcBorders>
              <w:left w:val="nil"/>
              <w:bottom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42" w:type="dxa"/>
            <w:tcBorders>
              <w:top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Basal-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</w:rPr>
              <w:t>ike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</w:rPr>
              <w:t>+/++/+++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Low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High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Low</w:t>
            </w:r>
          </w:p>
        </w:tc>
        <w:tc>
          <w:tcPr>
            <w:tcW w:w="1110" w:type="dxa"/>
            <w:tcBorders>
              <w:top w:val="nil"/>
              <w:left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Poor</w:t>
            </w:r>
          </w:p>
        </w:tc>
      </w:tr>
    </w:tbl>
    <w:p>
      <w:pPr>
        <w:autoSpaceDE w:val="0"/>
        <w:autoSpaceDN w:val="0"/>
        <w:adjustRightInd w:val="0"/>
        <w:rPr>
          <w:rFonts w:hint="default" w:ascii="Times New Roman" w:hAnsi="Times New Roman" w:eastAsia="AdvOTf23bb480" w:cs="Times New Roman"/>
          <w:kern w:val="0"/>
          <w:sz w:val="19"/>
          <w:szCs w:val="19"/>
        </w:rPr>
      </w:pPr>
      <w:r>
        <w:rPr>
          <w:rFonts w:hint="default" w:ascii="Times New Roman" w:hAnsi="Times New Roman" w:cs="Times New Roman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4408805</wp:posOffset>
                </wp:positionV>
                <wp:extent cx="6453505" cy="3056255"/>
                <wp:effectExtent l="0" t="0" r="4445" b="10795"/>
                <wp:wrapTopAndBottom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3505" cy="305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drawing>
                                <wp:inline distT="0" distB="0" distL="0" distR="0">
                                  <wp:extent cx="3282950" cy="2351405"/>
                                  <wp:effectExtent l="0" t="0" r="12700" b="10795"/>
                                  <wp:docPr id="8" name="图片 8" descr="D:\mine\工作\科研\成果\论文\卷积神经网络识别乳腺癌\小论文\figures\数据量.jpg数据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 descr="D:\mine\工作\科研\成果\论文\卷积神经网络识别乳腺癌\小论文\figures\数据量.jpg数据量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2950" cy="2351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Figure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Dataset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  <w:lang w:val="en-US" w:eastAsia="zh-CN"/>
                              </w:rPr>
                              <w:t>The original m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</w:rPr>
                              <w:t>icroscopic images of breast cancer sections with different expression levels of HER2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  <w:lang w:val="en-US" w:eastAsia="zh-CN"/>
                              </w:rPr>
                              <w:t xml:space="preserve"> were expanded by the process in Figure S1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9"/>
                                <w:szCs w:val="19"/>
                              </w:rPr>
                              <w:t>he training data and testing data was expanded to 10000 and 1000 respectively for each positive degree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8pt;margin-top:347.15pt;height:240.65pt;width:508.15pt;mso-wrap-distance-bottom:3.6pt;mso-wrap-distance-top:3.6pt;z-index:251661312;mso-width-relative:page;mso-height-relative:page;" fillcolor="#FFFFFF" filled="t" stroked="f" coordsize="21600,21600" o:gfxdata="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R/GqG2QAAAAwBAAAPAAAAAAAAAAEAIAAAACIAAABkcnMv&#10;ZG93bnJldi54bWxQSwECFAAUAAAACACHTuJA0VWyzzsCAABT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drawing>
                          <wp:inline distT="0" distB="0" distL="0" distR="0">
                            <wp:extent cx="3282950" cy="2351405"/>
                            <wp:effectExtent l="0" t="0" r="12700" b="10795"/>
                            <wp:docPr id="8" name="图片 8" descr="D:\mine\工作\科研\成果\论文\卷积神经网络识别乳腺癌\小论文\figures\数据量.jpg数据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图片 8" descr="D:\mine\工作\科研\成果\论文\卷积神经网络识别乳腺癌\小论文\figures\数据量.jpg数据量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2950" cy="2351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 xml:space="preserve">Figure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S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Dataset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: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  <w:lang w:val="en-US" w:eastAsia="zh-CN"/>
                        </w:rPr>
                        <w:t>The original m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</w:rPr>
                        <w:t>icroscopic images of breast cancer sections with different expression levels of HER2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  <w:lang w:val="en-US" w:eastAsia="zh-CN"/>
                        </w:rPr>
                        <w:t xml:space="preserve"> were expanded by the process in Figure S1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</w:rPr>
                        <w:t>.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  <w:lang w:val="en-US" w:eastAsia="zh-CN"/>
                        </w:rPr>
                        <w:t>T</w:t>
                      </w:r>
                      <w:r>
                        <w:rPr>
                          <w:rFonts w:hint="eastAsia" w:ascii="Times New Roman" w:hAnsi="Times New Roman" w:cs="Times New Roman"/>
                          <w:sz w:val="19"/>
                          <w:szCs w:val="19"/>
                        </w:rPr>
                        <w:t>he training data and testing data was expanded to 10000 and 1000 respectively for each positive degree</w:t>
                      </w:r>
                      <w:r>
                        <w:rPr>
                          <w:rFonts w:hint="eastAsia"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360" w:lineRule="auto"/>
        <w:rPr>
          <w:rFonts w:hint="default" w:ascii="Times New Roman" w:hAnsi="Times New Roman" w:eastAsia="宋体" w:cs="Times New Roman"/>
          <w:sz w:val="19"/>
          <w:szCs w:val="19"/>
          <w:shd w:val="clear" w:color="auto" w:fill="FFFFFF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.</w:t>
      </w:r>
      <w:r>
        <w:rPr>
          <w:rFonts w:hint="default" w:ascii="Times New Roman" w:hAnsi="Times New Roman" w:cs="Times New Roman"/>
          <w:sz w:val="19"/>
          <w:szCs w:val="19"/>
        </w:rPr>
        <w:t xml:space="preserve"> Accuracy of CNN based interpreting model for grading breast cancer sections with HER2 overexpressed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4000</w:t>
      </w:r>
      <w:r>
        <w:rPr>
          <w:rFonts w:hint="default" w:ascii="Times New Roman" w:hAnsi="Times New Roman" w:cs="Times New Roman"/>
          <w:sz w:val="20"/>
          <w:szCs w:val="20"/>
        </w:rPr>
        <w:t>)</w:t>
      </w:r>
      <w:r>
        <w:rPr>
          <w:rFonts w:hint="default" w:ascii="Times New Roman" w:hAnsi="Times New Roman" w:cs="Times New Roman"/>
          <w:sz w:val="19"/>
          <w:szCs w:val="19"/>
        </w:rPr>
        <w:t>.</w:t>
      </w:r>
    </w:p>
    <w:tbl>
      <w:tblPr>
        <w:tblStyle w:val="12"/>
        <w:tblW w:w="1007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8"/>
        <w:gridCol w:w="1236"/>
        <w:gridCol w:w="1236"/>
        <w:gridCol w:w="1236"/>
        <w:gridCol w:w="1236"/>
        <w:gridCol w:w="123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89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Positive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grade</w:t>
            </w:r>
          </w:p>
        </w:tc>
        <w:tc>
          <w:tcPr>
            <w:tcW w:w="123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+</w:t>
            </w:r>
          </w:p>
        </w:tc>
        <w:tc>
          <w:tcPr>
            <w:tcW w:w="123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++</w:t>
            </w:r>
          </w:p>
        </w:tc>
        <w:tc>
          <w:tcPr>
            <w:tcW w:w="123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+++</w:t>
            </w:r>
          </w:p>
        </w:tc>
        <w:tc>
          <w:tcPr>
            <w:tcW w:w="123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Concordant Cases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969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955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957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972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3853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Number of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Overhigh</w:t>
            </w: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 Cases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31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39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Overhigh Rate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3.1%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3.9%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0.6%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1.9%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Number of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Overlow</w:t>
            </w: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 Cases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37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28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Overlow Rate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0.6%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3.7%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2.8%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1.8%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Number of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 xml:space="preserve">Total </w:t>
            </w: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Misinterpreted Cases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89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Accuracy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 xml:space="preserve"> (Agreement)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96.9%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95.5%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95.7%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97.2%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96.3%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pStyle w:val="37"/>
        <w:spacing w:line="240" w:lineRule="auto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Table.S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5</w:t>
      </w:r>
      <w:bookmarkStart w:id="1" w:name="_GoBack"/>
      <w:bookmarkEnd w:id="1"/>
      <w:r>
        <w:rPr>
          <w:rFonts w:hint="default" w:ascii="Times New Roman" w:hAnsi="Times New Roman" w:cs="Times New Roman"/>
          <w:sz w:val="20"/>
          <w:szCs w:val="20"/>
        </w:rPr>
        <w:t xml:space="preserve"> Statistical results of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CNN based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interpretation method </w:t>
      </w:r>
      <w:r>
        <w:rPr>
          <w:rFonts w:hint="default" w:ascii="Times New Roman" w:hAnsi="Times New Roman" w:cs="Times New Roman"/>
          <w:sz w:val="20"/>
          <w:szCs w:val="20"/>
        </w:rPr>
        <w:t xml:space="preserve">for detecting immunohistochemical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images</w:t>
      </w:r>
      <w:r>
        <w:rPr>
          <w:rFonts w:hint="default" w:ascii="Times New Roman" w:hAnsi="Times New Roman" w:cs="Times New Roman"/>
          <w:sz w:val="20"/>
          <w:szCs w:val="20"/>
        </w:rPr>
        <w:t xml:space="preserve"> of HER2 overexpressed breast tumor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4000</w:t>
      </w:r>
      <w:r>
        <w:rPr>
          <w:rFonts w:hint="default" w:ascii="Times New Roman" w:hAnsi="Times New Roman" w:cs="Times New Roman"/>
          <w:sz w:val="20"/>
          <w:szCs w:val="20"/>
        </w:rPr>
        <w:t>).</w:t>
      </w:r>
    </w:p>
    <w:tbl>
      <w:tblPr>
        <w:tblStyle w:val="13"/>
        <w:tblpPr w:leftFromText="180" w:rightFromText="180" w:vertAnchor="text" w:horzAnchor="page" w:tblpXSpec="center" w:tblpY="326"/>
        <w:tblOverlap w:val="never"/>
        <w:tblW w:w="1016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2540"/>
        <w:gridCol w:w="2540"/>
        <w:gridCol w:w="254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tcBorders>
              <w:bottom w:val="single" w:color="auto" w:sz="4" w:space="0"/>
            </w:tcBorders>
            <w:vAlign w:val="center"/>
          </w:tcPr>
          <w:p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540" w:type="dxa"/>
            <w:tcBorders>
              <w:bottom w:val="single" w:color="auto" w:sz="4" w:space="0"/>
            </w:tcBorders>
            <w:vAlign w:val="center"/>
          </w:tcPr>
          <w:p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HER2 (+)</w:t>
            </w:r>
          </w:p>
        </w:tc>
        <w:tc>
          <w:tcPr>
            <w:tcW w:w="2540" w:type="dxa"/>
            <w:tcBorders>
              <w:bottom w:val="single" w:color="auto" w:sz="4" w:space="0"/>
            </w:tcBorders>
            <w:vAlign w:val="center"/>
          </w:tcPr>
          <w:p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HER2 (-)</w:t>
            </w:r>
          </w:p>
        </w:tc>
        <w:tc>
          <w:tcPr>
            <w:tcW w:w="2540" w:type="dxa"/>
            <w:tcBorders>
              <w:bottom w:val="single" w:color="auto" w:sz="4" w:space="0"/>
            </w:tcBorders>
            <w:vAlign w:val="center"/>
          </w:tcPr>
          <w:p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Positive（+）</w:t>
            </w:r>
          </w:p>
        </w:tc>
        <w:tc>
          <w:tcPr>
            <w:tcW w:w="2540" w:type="dxa"/>
            <w:tcBorders>
              <w:top w:val="single" w:color="auto" w:sz="4" w:space="0"/>
            </w:tcBorders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2994（a）</w:t>
            </w:r>
          </w:p>
        </w:tc>
        <w:tc>
          <w:tcPr>
            <w:tcW w:w="254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（b）</w:t>
            </w:r>
          </w:p>
        </w:tc>
        <w:tc>
          <w:tcPr>
            <w:tcW w:w="254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3025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（a+b）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Negative（-）</w:t>
            </w:r>
          </w:p>
        </w:tc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6（c）</w:t>
            </w:r>
          </w:p>
        </w:tc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969（d）</w:t>
            </w:r>
          </w:p>
        </w:tc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975（c+d）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Total</w:t>
            </w:r>
          </w:p>
        </w:tc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3000（a+c）</w:t>
            </w:r>
          </w:p>
        </w:tc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1000（b+d）</w:t>
            </w:r>
          </w:p>
        </w:tc>
        <w:tc>
          <w:tcPr>
            <w:tcW w:w="2540" w:type="dxa"/>
            <w:vAlign w:val="center"/>
          </w:tcPr>
          <w:p>
            <w:pPr>
              <w:pStyle w:val="3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/>
              </w:rPr>
              <w:t>4000（n）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 w:ascii="Times New Roman" w:hAnsi="Times New Roman" w:cs="Times New Roman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227330</wp:posOffset>
                </wp:positionV>
                <wp:extent cx="6257925" cy="2392680"/>
                <wp:effectExtent l="0" t="0" r="9525" b="762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39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drawing>
                                <wp:inline distT="0" distB="0" distL="0" distR="0">
                                  <wp:extent cx="3282950" cy="1733550"/>
                                  <wp:effectExtent l="0" t="0" r="12700" b="0"/>
                                  <wp:docPr id="2" name="图片 2" descr="D:\mine\工作\科研\成果\论文\卷积神经网络识别乳腺癌\小论文\figures\PLF.jpgPL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D:\mine\工作\科研\成果\论文\卷积神经网络识别乳腺癌\小论文\figures\PLF.jpgPL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2950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Figure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Architecture of PLF based interpreting model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for grading immunohistochemical images of HER2-overexpressed breast tumour.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15pt;margin-top:17.9pt;height:188.4pt;width:492.75pt;mso-wrap-distance-bottom:3.6pt;mso-wrap-distance-top:3.6pt;z-index:251662336;mso-width-relative:page;mso-height-relative:page;" fillcolor="#FFFFFF" filled="t" stroked="f" coordsize="21600,21600" o:gfxdata="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PqkAD1wAAAAgBAAAPAAAAAAAAAAEAIAAAACIAAABkcnMvZG93&#10;bnJldi54bWxQSwECFAAUAAAACACHTuJA0+5c4DoCAABTBAAADgAAAAAAAAABACAAAAAm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drawing>
                          <wp:inline distT="0" distB="0" distL="0" distR="0">
                            <wp:extent cx="3282950" cy="1733550"/>
                            <wp:effectExtent l="0" t="0" r="12700" b="0"/>
                            <wp:docPr id="2" name="图片 2" descr="D:\mine\工作\科研\成果\论文\卷积神经网络识别乳腺癌\小论文\figures\PLF.jpgPL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D:\mine\工作\科研\成果\论文\卷积神经网络识别乳腺癌\小论文\figures\PLF.jpgPL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2950" cy="1733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 xml:space="preserve">Figure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S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Architecture of PLF based interpreting model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for grading immunohistochemical images of HER2-overexpressed breast tumour.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9"/>
          <w:szCs w:val="19"/>
        </w:rPr>
      </w:pPr>
      <w:r>
        <w:rPr>
          <w:rFonts w:hint="default" w:ascii="Times New Roman" w:hAnsi="Times New Roman" w:cs="Times New Roman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34290</wp:posOffset>
                </wp:positionV>
                <wp:extent cx="6376035" cy="2345055"/>
                <wp:effectExtent l="0" t="0" r="5715" b="17145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035" cy="2345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drawing>
                                <wp:inline distT="0" distB="0" distL="0" distR="0">
                                  <wp:extent cx="3532505" cy="1677670"/>
                                  <wp:effectExtent l="0" t="0" r="10795" b="17780"/>
                                  <wp:docPr id="4" name="图片 4" descr="D:\mine\工作\科研\成果\论文\卷积神经网络识别乳腺癌\小论文\figures\OLF.jpgOL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D:\mine\工作\科研\成果\论文\卷积神经网络识别乳腺癌\小论文\figures\OLF.jpgOL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2505" cy="1677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Figure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Architecture of OLF based interpreting model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0"/>
                                <w:szCs w:val="21"/>
                                <w:lang w:val="en-US" w:eastAsia="zh-CN"/>
                              </w:rPr>
                              <w:t>for grading immunohistochemical images of HER2-overexpressed breast tumour.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pt;margin-top:2.7pt;height:184.65pt;width:502.05pt;mso-wrap-distance-bottom:3.6pt;mso-wrap-distance-top:3.6pt;z-index:251663360;mso-width-relative:page;mso-height-relative:page;" fillcolor="#FFFFFF" filled="t" stroked="f" coordsize="21600,21600" o:gfxdata="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VGJYe1gAAAAkBAAAPAAAAAAAAAAEAIAAAACIAAABkcnMvZG93&#10;bnJldi54bWxQSwECFAAUAAAACACHTuJA/q4pzzsCAABTBAAADgAAAAAAAAABACAAAAAl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drawing>
                          <wp:inline distT="0" distB="0" distL="0" distR="0">
                            <wp:extent cx="3532505" cy="1677670"/>
                            <wp:effectExtent l="0" t="0" r="10795" b="17780"/>
                            <wp:docPr id="4" name="图片 4" descr="D:\mine\工作\科研\成果\论文\卷积神经网络识别乳腺癌\小论文\figures\OLF.jpgOL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D:\mine\工作\科研\成果\论文\卷积神经网络识别乳腺癌\小论文\figures\OLF.jpgOL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2505" cy="1677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 xml:space="preserve">Figure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S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Architecture of OLF based interpreting model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0"/>
                          <w:szCs w:val="21"/>
                          <w:lang w:val="en-US" w:eastAsia="zh-CN"/>
                        </w:rPr>
                        <w:t>for grading immunohistochemical images of HER2-overexpressed breast tumour.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19"/>
          <w:szCs w:val="19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.</w:t>
      </w:r>
      <w:r>
        <w:rPr>
          <w:rFonts w:hint="default" w:ascii="Times New Roman" w:hAnsi="Times New Roman" w:cs="Times New Roman"/>
          <w:sz w:val="19"/>
          <w:szCs w:val="19"/>
        </w:rPr>
        <w:t xml:space="preserve"> Accuracy of CNN based interpreting model for grading breast cancer sections with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ER</w:t>
      </w:r>
      <w:r>
        <w:rPr>
          <w:rFonts w:hint="default" w:ascii="Times New Roman" w:hAnsi="Times New Roman" w:cs="Times New Roman"/>
          <w:sz w:val="19"/>
          <w:szCs w:val="19"/>
        </w:rPr>
        <w:t xml:space="preserve"> overexpressed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000</w:t>
      </w:r>
      <w:r>
        <w:rPr>
          <w:rFonts w:hint="default" w:ascii="Times New Roman" w:hAnsi="Times New Roman" w:cs="Times New Roman"/>
          <w:sz w:val="20"/>
          <w:szCs w:val="20"/>
        </w:rPr>
        <w:t>)</w:t>
      </w:r>
      <w:r>
        <w:rPr>
          <w:rFonts w:hint="default" w:ascii="Times New Roman" w:hAnsi="Times New Roman" w:cs="Times New Roman"/>
          <w:sz w:val="19"/>
          <w:szCs w:val="19"/>
        </w:rPr>
        <w:t>.</w:t>
      </w:r>
    </w:p>
    <w:tbl>
      <w:tblPr>
        <w:tblStyle w:val="12"/>
        <w:tblW w:w="1008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737"/>
        <w:gridCol w:w="1737"/>
        <w:gridCol w:w="1737"/>
        <w:gridCol w:w="173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134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Positive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grade</w:t>
            </w:r>
          </w:p>
        </w:tc>
        <w:tc>
          <w:tcPr>
            <w:tcW w:w="173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Neg</w:t>
            </w:r>
          </w:p>
        </w:tc>
        <w:tc>
          <w:tcPr>
            <w:tcW w:w="173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Low</w:t>
            </w:r>
          </w:p>
        </w:tc>
        <w:tc>
          <w:tcPr>
            <w:tcW w:w="173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High</w:t>
            </w:r>
          </w:p>
        </w:tc>
        <w:tc>
          <w:tcPr>
            <w:tcW w:w="1739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9"/>
                <w:szCs w:val="19"/>
                <w:lang w:val="en-US" w:eastAsia="zh-CN" w:bidi="ar-SA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Concordant Cases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951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897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912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2760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Misinterpreted Cases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49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103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88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Accuracy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 xml:space="preserve"> (Agreement)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95.1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89.7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91.2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92.0%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360" w:lineRule="auto"/>
        <w:jc w:val="left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.</w:t>
      </w:r>
      <w:r>
        <w:rPr>
          <w:rFonts w:hint="default" w:ascii="Times New Roman" w:hAnsi="Times New Roman" w:cs="Times New Roman"/>
          <w:sz w:val="19"/>
          <w:szCs w:val="19"/>
        </w:rPr>
        <w:t xml:space="preserve"> Accuracy of CNN based interpreting model for grading breast cancer sections with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PR</w:t>
      </w:r>
      <w:r>
        <w:rPr>
          <w:rFonts w:hint="default" w:ascii="Times New Roman" w:hAnsi="Times New Roman" w:cs="Times New Roman"/>
          <w:sz w:val="19"/>
          <w:szCs w:val="19"/>
        </w:rPr>
        <w:t xml:space="preserve"> overexpressed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000</w:t>
      </w:r>
      <w:r>
        <w:rPr>
          <w:rFonts w:hint="default" w:ascii="Times New Roman" w:hAnsi="Times New Roman" w:cs="Times New Roman"/>
          <w:sz w:val="20"/>
          <w:szCs w:val="20"/>
        </w:rPr>
        <w:t>)</w:t>
      </w:r>
      <w:r>
        <w:rPr>
          <w:rFonts w:hint="default" w:ascii="Times New Roman" w:hAnsi="Times New Roman" w:cs="Times New Roman"/>
          <w:sz w:val="19"/>
          <w:szCs w:val="19"/>
        </w:rPr>
        <w:t>.</w:t>
      </w:r>
    </w:p>
    <w:tbl>
      <w:tblPr>
        <w:tblStyle w:val="12"/>
        <w:tblW w:w="1014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757"/>
        <w:gridCol w:w="1757"/>
        <w:gridCol w:w="1757"/>
        <w:gridCol w:w="175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114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Positive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grade</w:t>
            </w:r>
          </w:p>
        </w:tc>
        <w:tc>
          <w:tcPr>
            <w:tcW w:w="175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Neg</w:t>
            </w:r>
          </w:p>
        </w:tc>
        <w:tc>
          <w:tcPr>
            <w:tcW w:w="175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Low</w:t>
            </w:r>
          </w:p>
        </w:tc>
        <w:tc>
          <w:tcPr>
            <w:tcW w:w="175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High</w:t>
            </w:r>
          </w:p>
        </w:tc>
        <w:tc>
          <w:tcPr>
            <w:tcW w:w="1759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9"/>
                <w:szCs w:val="19"/>
                <w:lang w:val="en-US" w:eastAsia="zh-CN" w:bidi="ar-SA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311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Concordant Cases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963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</w:t>
            </w: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34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</w:t>
            </w: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70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2867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11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Misinterpreted Cases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37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66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30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11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Accuracy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 xml:space="preserve"> (Agreement)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96.</w:t>
            </w: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</w:t>
            </w: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9</w:t>
            </w: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7.0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95.6%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bCs/>
          <w:sz w:val="19"/>
          <w:szCs w:val="19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19"/>
          <w:szCs w:val="19"/>
        </w:rPr>
        <w:t>.</w:t>
      </w:r>
      <w:r>
        <w:rPr>
          <w:rFonts w:hint="default" w:ascii="Times New Roman" w:hAnsi="Times New Roman" w:cs="Times New Roman"/>
          <w:sz w:val="19"/>
          <w:szCs w:val="19"/>
        </w:rPr>
        <w:t xml:space="preserve"> Accuracy of CNN based interpreting model for grading breast cancer sections with 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>PR</w:t>
      </w:r>
      <w:r>
        <w:rPr>
          <w:rFonts w:hint="default" w:ascii="Times New Roman" w:hAnsi="Times New Roman" w:cs="Times New Roman"/>
          <w:sz w:val="19"/>
          <w:szCs w:val="19"/>
        </w:rPr>
        <w:t xml:space="preserve"> overexpressed</w:t>
      </w:r>
      <w:r>
        <w:rPr>
          <w:rFonts w:hint="eastAsia" w:ascii="Times New Roman" w:hAnsi="Times New Roman" w:cs="Times New Roman"/>
          <w:sz w:val="19"/>
          <w:szCs w:val="19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000</w:t>
      </w:r>
      <w:r>
        <w:rPr>
          <w:rFonts w:hint="default" w:ascii="Times New Roman" w:hAnsi="Times New Roman" w:cs="Times New Roman"/>
          <w:sz w:val="20"/>
          <w:szCs w:val="20"/>
        </w:rPr>
        <w:t>)</w:t>
      </w:r>
      <w:r>
        <w:rPr>
          <w:rFonts w:hint="default" w:ascii="Times New Roman" w:hAnsi="Times New Roman" w:cs="Times New Roman"/>
          <w:sz w:val="19"/>
          <w:szCs w:val="19"/>
        </w:rPr>
        <w:t>.</w:t>
      </w:r>
    </w:p>
    <w:tbl>
      <w:tblPr>
        <w:tblStyle w:val="12"/>
        <w:tblW w:w="1011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2322"/>
        <w:gridCol w:w="2322"/>
        <w:gridCol w:w="232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150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 xml:space="preserve">Positive 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>grade</w:t>
            </w:r>
          </w:p>
        </w:tc>
        <w:tc>
          <w:tcPr>
            <w:tcW w:w="232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Low</w:t>
            </w:r>
          </w:p>
        </w:tc>
        <w:tc>
          <w:tcPr>
            <w:tcW w:w="232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  <w:t>High</w:t>
            </w:r>
          </w:p>
        </w:tc>
        <w:tc>
          <w:tcPr>
            <w:tcW w:w="2324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kinsoku/>
              <w:wordWrap/>
              <w:overflowPunct/>
              <w:bidi w:val="0"/>
              <w:spacing w:before="0" w:beforeAutospacing="0" w:after="0" w:afterAutospacing="0"/>
              <w:ind w:left="0" w:lef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9"/>
                <w:szCs w:val="19"/>
                <w:lang w:val="en-US" w:eastAsia="zh-CN" w:bidi="ar-SA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Concordant Cases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961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977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1938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Number of Misinterpreted Cases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Accuracy</w:t>
            </w:r>
            <w:r>
              <w:rPr>
                <w:rFonts w:hint="eastAsia" w:ascii="Times New Roman" w:hAnsi="Times New Roman" w:cs="Times New Roman"/>
                <w:b/>
                <w:bCs/>
                <w:sz w:val="19"/>
                <w:szCs w:val="19"/>
                <w:lang w:val="en-US" w:eastAsia="zh-CN"/>
              </w:rPr>
              <w:t xml:space="preserve"> (Agreement)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96.1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97.7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%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96.9%</w:t>
            </w:r>
          </w:p>
        </w:tc>
      </w:tr>
    </w:tbl>
    <w:p>
      <w:pPr>
        <w:rPr>
          <w:rFonts w:hint="default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Table.S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9</w:t>
      </w:r>
      <w:r>
        <w:rPr>
          <w:rFonts w:hint="default" w:ascii="Times New Roman" w:hAnsi="Times New Roman" w:cs="Times New Roman"/>
          <w:sz w:val="20"/>
          <w:szCs w:val="20"/>
        </w:rPr>
        <w:t xml:space="preserve"> Statistical results of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CNN based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interpretation method </w:t>
      </w:r>
      <w:r>
        <w:rPr>
          <w:rFonts w:hint="default" w:ascii="Times New Roman" w:hAnsi="Times New Roman" w:cs="Times New Roman"/>
          <w:sz w:val="20"/>
          <w:szCs w:val="20"/>
        </w:rPr>
        <w:t xml:space="preserve">for detecting immunohistochemical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images</w:t>
      </w:r>
      <w:r>
        <w:rPr>
          <w:rFonts w:hint="default" w:ascii="Times New Roman" w:hAnsi="Times New Roman" w:cs="Times New Roman"/>
          <w:sz w:val="20"/>
          <w:szCs w:val="20"/>
        </w:rPr>
        <w:t xml:space="preserve"> of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ER</w:t>
      </w:r>
      <w:r>
        <w:rPr>
          <w:rFonts w:hint="default" w:ascii="Times New Roman" w:hAnsi="Times New Roman" w:cs="Times New Roman"/>
          <w:sz w:val="20"/>
          <w:szCs w:val="20"/>
        </w:rPr>
        <w:t xml:space="preserve"> overexpressed breast tumor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000</w:t>
      </w:r>
      <w:r>
        <w:rPr>
          <w:rFonts w:hint="default" w:ascii="Times New Roman" w:hAnsi="Times New Roman" w:cs="Times New Roman"/>
          <w:sz w:val="20"/>
          <w:szCs w:val="20"/>
        </w:rPr>
        <w:t>).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2540"/>
        <w:gridCol w:w="2540"/>
        <w:gridCol w:w="254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ER（+）</w:t>
            </w: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ER（-）</w:t>
            </w: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Positive（+）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1898</w:t>
            </w:r>
            <w:r>
              <w:rPr>
                <w:rFonts w:hint="default" w:ascii="Times New Roman" w:hAnsi="Times New Roman" w:cs="Times New Roman"/>
              </w:rPr>
              <w:t>（a）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</w:rPr>
              <w:t>（b）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1947</w:t>
            </w:r>
            <w:r>
              <w:rPr>
                <w:rFonts w:hint="default" w:ascii="Times New Roman" w:hAnsi="Times New Roman" w:cs="Times New Roman"/>
              </w:rPr>
              <w:t>（a+b）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Negative（-）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102</w:t>
            </w:r>
            <w:r>
              <w:rPr>
                <w:rFonts w:hint="default" w:ascii="Times New Roman" w:hAnsi="Times New Roman" w:cs="Times New Roman"/>
              </w:rPr>
              <w:t>（c）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951</w:t>
            </w:r>
            <w:r>
              <w:rPr>
                <w:rFonts w:hint="default" w:ascii="Times New Roman" w:hAnsi="Times New Roman" w:cs="Times New Roman"/>
              </w:rPr>
              <w:t>（d）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1053</w:t>
            </w:r>
            <w:r>
              <w:rPr>
                <w:rFonts w:hint="default" w:ascii="Times New Roman" w:hAnsi="Times New Roman" w:cs="Times New Roman"/>
              </w:rPr>
              <w:t>（c+d）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Total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2000</w:t>
            </w:r>
            <w:r>
              <w:rPr>
                <w:rFonts w:hint="default" w:ascii="Times New Roman" w:hAnsi="Times New Roman" w:cs="Times New Roman"/>
              </w:rPr>
              <w:t>（a+c）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</w:rPr>
              <w:t>（b+d）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000</w:t>
            </w:r>
            <w:r>
              <w:rPr>
                <w:rFonts w:hint="default" w:ascii="Times New Roman" w:hAnsi="Times New Roman" w:cs="Times New Roman"/>
              </w:rPr>
              <w:t>（n）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Table.S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10</w:t>
      </w:r>
      <w:r>
        <w:rPr>
          <w:rFonts w:hint="default" w:ascii="Times New Roman" w:hAnsi="Times New Roman" w:cs="Times New Roman"/>
          <w:sz w:val="20"/>
          <w:szCs w:val="20"/>
        </w:rPr>
        <w:t xml:space="preserve"> Statistical results of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CNN based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interpretation method </w:t>
      </w:r>
      <w:r>
        <w:rPr>
          <w:rFonts w:hint="default" w:ascii="Times New Roman" w:hAnsi="Times New Roman" w:cs="Times New Roman"/>
          <w:sz w:val="20"/>
          <w:szCs w:val="20"/>
        </w:rPr>
        <w:t xml:space="preserve">for detecting immunohistochemical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images</w:t>
      </w:r>
      <w:r>
        <w:rPr>
          <w:rFonts w:hint="default" w:ascii="Times New Roman" w:hAnsi="Times New Roman" w:cs="Times New Roman"/>
          <w:sz w:val="20"/>
          <w:szCs w:val="20"/>
        </w:rPr>
        <w:t xml:space="preserve"> of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PR</w:t>
      </w:r>
      <w:r>
        <w:rPr>
          <w:rFonts w:hint="default" w:ascii="Times New Roman" w:hAnsi="Times New Roman" w:cs="Times New Roman"/>
          <w:sz w:val="20"/>
          <w:szCs w:val="20"/>
        </w:rPr>
        <w:t xml:space="preserve"> overexpressed breast tumor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000</w:t>
      </w:r>
      <w:r>
        <w:rPr>
          <w:rFonts w:hint="default" w:ascii="Times New Roman" w:hAnsi="Times New Roman" w:cs="Times New Roman"/>
          <w:sz w:val="20"/>
          <w:szCs w:val="20"/>
        </w:rPr>
        <w:t>).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2540"/>
        <w:gridCol w:w="2540"/>
        <w:gridCol w:w="254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PR（+）</w:t>
            </w: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PR（-）</w:t>
            </w: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Positive（+）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1959</w:t>
            </w:r>
            <w:r>
              <w:rPr>
                <w:rFonts w:hint="default" w:ascii="Times New Roman" w:hAnsi="Times New Roman" w:cs="Times New Roman"/>
              </w:rPr>
              <w:t>（a）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37</w:t>
            </w:r>
            <w:r>
              <w:rPr>
                <w:rFonts w:hint="default" w:ascii="Times New Roman" w:hAnsi="Times New Roman" w:cs="Times New Roman"/>
              </w:rPr>
              <w:t>（b）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1996</w:t>
            </w:r>
            <w:r>
              <w:rPr>
                <w:rFonts w:hint="default" w:ascii="Times New Roman" w:hAnsi="Times New Roman" w:cs="Times New Roman"/>
              </w:rPr>
              <w:t>（a+b）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Negative（-）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</w:rPr>
              <w:t>（c）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963</w:t>
            </w:r>
            <w:r>
              <w:rPr>
                <w:rFonts w:hint="default" w:ascii="Times New Roman" w:hAnsi="Times New Roman" w:cs="Times New Roman"/>
              </w:rPr>
              <w:t>（d）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1004</w:t>
            </w:r>
            <w:r>
              <w:rPr>
                <w:rFonts w:hint="default" w:ascii="Times New Roman" w:hAnsi="Times New Roman" w:cs="Times New Roman"/>
              </w:rPr>
              <w:t>（c+d）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Total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2000</w:t>
            </w:r>
            <w:r>
              <w:rPr>
                <w:rFonts w:hint="default" w:ascii="Times New Roman" w:hAnsi="Times New Roman" w:cs="Times New Roman"/>
              </w:rPr>
              <w:t>（a+c）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</w:rPr>
              <w:t>（b+d）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000</w:t>
            </w:r>
            <w:r>
              <w:rPr>
                <w:rFonts w:hint="default" w:ascii="Times New Roman" w:hAnsi="Times New Roman" w:cs="Times New Roman"/>
              </w:rPr>
              <w:t>（n）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Table.S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11</w:t>
      </w:r>
      <w:r>
        <w:rPr>
          <w:rFonts w:hint="default" w:ascii="Times New Roman" w:hAnsi="Times New Roman" w:cs="Times New Roman"/>
          <w:sz w:val="20"/>
          <w:szCs w:val="20"/>
        </w:rPr>
        <w:t xml:space="preserve"> Statistical results of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CNN based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interpretation method </w:t>
      </w:r>
      <w:r>
        <w:rPr>
          <w:rFonts w:hint="default" w:ascii="Times New Roman" w:hAnsi="Times New Roman" w:cs="Times New Roman"/>
          <w:sz w:val="20"/>
          <w:szCs w:val="20"/>
        </w:rPr>
        <w:t xml:space="preserve">for detecting immunohistochemical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images</w:t>
      </w:r>
      <w:r>
        <w:rPr>
          <w:rFonts w:hint="default" w:ascii="Times New Roman" w:hAnsi="Times New Roman" w:cs="Times New Roman"/>
          <w:sz w:val="20"/>
          <w:szCs w:val="20"/>
        </w:rPr>
        <w:t xml:space="preserve"> of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Ki67</w:t>
      </w:r>
      <w:r>
        <w:rPr>
          <w:rFonts w:hint="default" w:ascii="Times New Roman" w:hAnsi="Times New Roman" w:cs="Times New Roman"/>
          <w:sz w:val="20"/>
          <w:szCs w:val="20"/>
        </w:rPr>
        <w:t xml:space="preserve"> overexpressed breast tumor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n=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000</w:t>
      </w:r>
      <w:r>
        <w:rPr>
          <w:rFonts w:hint="default" w:ascii="Times New Roman" w:hAnsi="Times New Roman" w:cs="Times New Roman"/>
          <w:sz w:val="20"/>
          <w:szCs w:val="20"/>
        </w:rPr>
        <w:t>).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2540"/>
        <w:gridCol w:w="2540"/>
        <w:gridCol w:w="254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Ki67（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&gt;14%</w:t>
            </w:r>
            <w:r>
              <w:rPr>
                <w:rFonts w:hint="default" w:ascii="Times New Roman" w:hAnsi="Times New Roman" w:cs="Times New Roman"/>
              </w:rPr>
              <w:t>）</w:t>
            </w:r>
          </w:p>
        </w:tc>
        <w:tc>
          <w:tcPr>
            <w:tcW w:w="2540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Ki67（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&lt;14%</w:t>
            </w:r>
            <w:r>
              <w:rPr>
                <w:rFonts w:hint="default" w:ascii="Times New Roman" w:hAnsi="Times New Roman" w:cs="Times New Roman"/>
              </w:rPr>
              <w:t>）</w:t>
            </w:r>
          </w:p>
        </w:tc>
        <w:tc>
          <w:tcPr>
            <w:tcW w:w="2542" w:type="dxa"/>
            <w:tcBorders>
              <w:bottom w:val="single" w:color="000000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High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977</w:t>
            </w:r>
            <w:r>
              <w:rPr>
                <w:rFonts w:hint="default" w:ascii="Times New Roman" w:hAnsi="Times New Roman" w:cs="Times New Roman"/>
              </w:rPr>
              <w:t>（a）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</w:rPr>
              <w:t>（b）</w:t>
            </w:r>
          </w:p>
        </w:tc>
        <w:tc>
          <w:tcPr>
            <w:tcW w:w="254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1016</w:t>
            </w:r>
            <w:r>
              <w:rPr>
                <w:rFonts w:hint="default" w:ascii="Times New Roman" w:hAnsi="Times New Roman" w:cs="Times New Roman"/>
              </w:rPr>
              <w:t>（a+b）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Low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</w:rPr>
              <w:t>（c）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961</w:t>
            </w:r>
            <w:r>
              <w:rPr>
                <w:rFonts w:hint="default" w:ascii="Times New Roman" w:hAnsi="Times New Roman" w:cs="Times New Roman"/>
              </w:rPr>
              <w:t>（d）</w:t>
            </w:r>
          </w:p>
        </w:tc>
        <w:tc>
          <w:tcPr>
            <w:tcW w:w="254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984</w:t>
            </w:r>
            <w:r>
              <w:rPr>
                <w:rFonts w:hint="default" w:ascii="Times New Roman" w:hAnsi="Times New Roman" w:cs="Times New Roman"/>
              </w:rPr>
              <w:t>（c+d）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Total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</w:rPr>
              <w:t>（a+c）</w:t>
            </w:r>
          </w:p>
        </w:tc>
        <w:tc>
          <w:tcPr>
            <w:tcW w:w="25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</w:rPr>
              <w:t>（b+d）</w:t>
            </w:r>
          </w:p>
        </w:tc>
        <w:tc>
          <w:tcPr>
            <w:tcW w:w="254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000</w:t>
            </w:r>
            <w:r>
              <w:rPr>
                <w:rFonts w:hint="default" w:ascii="Times New Roman" w:hAnsi="Times New Roman" w:cs="Times New Roman"/>
              </w:rPr>
              <w:t>（n）</w:t>
            </w:r>
          </w:p>
        </w:tc>
      </w:tr>
    </w:tbl>
    <w:p>
      <w:pPr>
        <w:rPr>
          <w:rFonts w:hint="default"/>
        </w:rPr>
      </w:pPr>
    </w:p>
    <w:sectPr>
      <w:endnotePr>
        <w:numFmt w:val="decimal"/>
      </w:endnotePr>
      <w:pgSz w:w="11906" w:h="16838"/>
      <w:pgMar w:top="1417" w:right="737" w:bottom="1417" w:left="73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OKLH H+ Gulliver SC Os F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Myriad Pro">
    <w:altName w:val="Segoe UI"/>
    <w:panose1 w:val="00000000000000000000"/>
    <w:charset w:val="00"/>
    <w:family w:val="swiss"/>
    <w:pitch w:val="default"/>
    <w:sig w:usb0="00000000" w:usb1="00000000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dvOTea1a739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OTf23bb48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2B0EBB"/>
    <w:multiLevelType w:val="multilevel"/>
    <w:tmpl w:val="3C2B0EBB"/>
    <w:lvl w:ilvl="0" w:tentative="0">
      <w:start w:val="1"/>
      <w:numFmt w:val="lowerLetter"/>
      <w:pStyle w:val="27"/>
      <w:lvlText w:val="%1."/>
      <w:lvlJc w:val="left"/>
      <w:pPr>
        <w:ind w:left="720" w:hanging="360"/>
      </w:pPr>
      <w:rPr>
        <w:rFonts w:hint="default" w:ascii="Calibri" w:hAnsi="Calibri"/>
        <w:b w:val="0"/>
        <w:i/>
        <w:vertAlign w:val="superscrip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zMzQwNTQ2ZWYyMzRlMjI1N2QxNTkzNGQ3N2QzOTcifQ=="/>
  </w:docVars>
  <w:rsids>
    <w:rsidRoot w:val="00172A27"/>
    <w:rsid w:val="0000032E"/>
    <w:rsid w:val="000006B7"/>
    <w:rsid w:val="00001A69"/>
    <w:rsid w:val="00012393"/>
    <w:rsid w:val="00013E52"/>
    <w:rsid w:val="00016B41"/>
    <w:rsid w:val="00020083"/>
    <w:rsid w:val="00027644"/>
    <w:rsid w:val="00030F69"/>
    <w:rsid w:val="0003495D"/>
    <w:rsid w:val="0003734B"/>
    <w:rsid w:val="00042468"/>
    <w:rsid w:val="00045160"/>
    <w:rsid w:val="00045304"/>
    <w:rsid w:val="0005760B"/>
    <w:rsid w:val="000670DE"/>
    <w:rsid w:val="00071C58"/>
    <w:rsid w:val="0009697A"/>
    <w:rsid w:val="00096BE7"/>
    <w:rsid w:val="000A04A7"/>
    <w:rsid w:val="000B58B8"/>
    <w:rsid w:val="000C4351"/>
    <w:rsid w:val="000E21AF"/>
    <w:rsid w:val="000F2D36"/>
    <w:rsid w:val="000F5DE7"/>
    <w:rsid w:val="001011E5"/>
    <w:rsid w:val="0010293D"/>
    <w:rsid w:val="00107FF0"/>
    <w:rsid w:val="001344FF"/>
    <w:rsid w:val="00140EFF"/>
    <w:rsid w:val="0014276C"/>
    <w:rsid w:val="001634C7"/>
    <w:rsid w:val="00164C82"/>
    <w:rsid w:val="00172A27"/>
    <w:rsid w:val="00172B02"/>
    <w:rsid w:val="001760F5"/>
    <w:rsid w:val="001804D0"/>
    <w:rsid w:val="001900E0"/>
    <w:rsid w:val="001A3120"/>
    <w:rsid w:val="001A36E6"/>
    <w:rsid w:val="001B39B2"/>
    <w:rsid w:val="001D2BC0"/>
    <w:rsid w:val="001D7DA2"/>
    <w:rsid w:val="001F03F1"/>
    <w:rsid w:val="00200CA5"/>
    <w:rsid w:val="002043B5"/>
    <w:rsid w:val="00205B61"/>
    <w:rsid w:val="00213CA7"/>
    <w:rsid w:val="00217347"/>
    <w:rsid w:val="00220155"/>
    <w:rsid w:val="00244948"/>
    <w:rsid w:val="002525C4"/>
    <w:rsid w:val="00257F9A"/>
    <w:rsid w:val="00265788"/>
    <w:rsid w:val="00275EEA"/>
    <w:rsid w:val="0028383E"/>
    <w:rsid w:val="00287488"/>
    <w:rsid w:val="00287EBA"/>
    <w:rsid w:val="002A0808"/>
    <w:rsid w:val="002A356B"/>
    <w:rsid w:val="002B0D32"/>
    <w:rsid w:val="002B71CA"/>
    <w:rsid w:val="002C0FDE"/>
    <w:rsid w:val="002C3307"/>
    <w:rsid w:val="002D0A68"/>
    <w:rsid w:val="002E5D6D"/>
    <w:rsid w:val="002E766B"/>
    <w:rsid w:val="002F0D41"/>
    <w:rsid w:val="002F695C"/>
    <w:rsid w:val="00321A85"/>
    <w:rsid w:val="00327FB4"/>
    <w:rsid w:val="00336895"/>
    <w:rsid w:val="00340655"/>
    <w:rsid w:val="003430B2"/>
    <w:rsid w:val="00344A34"/>
    <w:rsid w:val="00345275"/>
    <w:rsid w:val="00357D83"/>
    <w:rsid w:val="003602DD"/>
    <w:rsid w:val="0037006A"/>
    <w:rsid w:val="003763BC"/>
    <w:rsid w:val="00377C04"/>
    <w:rsid w:val="00391258"/>
    <w:rsid w:val="003A0898"/>
    <w:rsid w:val="003A3E83"/>
    <w:rsid w:val="003A7B1A"/>
    <w:rsid w:val="003B220E"/>
    <w:rsid w:val="003B7155"/>
    <w:rsid w:val="003C6F2B"/>
    <w:rsid w:val="003D04D9"/>
    <w:rsid w:val="003D43FF"/>
    <w:rsid w:val="003D5E9C"/>
    <w:rsid w:val="003E2CD5"/>
    <w:rsid w:val="003E3594"/>
    <w:rsid w:val="003E5773"/>
    <w:rsid w:val="003F1A94"/>
    <w:rsid w:val="003F4328"/>
    <w:rsid w:val="00401F3D"/>
    <w:rsid w:val="004153E1"/>
    <w:rsid w:val="00422987"/>
    <w:rsid w:val="00425BAD"/>
    <w:rsid w:val="00430A6D"/>
    <w:rsid w:val="00430E61"/>
    <w:rsid w:val="00450BED"/>
    <w:rsid w:val="0045242A"/>
    <w:rsid w:val="00470300"/>
    <w:rsid w:val="00472B8D"/>
    <w:rsid w:val="00475428"/>
    <w:rsid w:val="0048325B"/>
    <w:rsid w:val="00485872"/>
    <w:rsid w:val="00485D78"/>
    <w:rsid w:val="00491061"/>
    <w:rsid w:val="00497841"/>
    <w:rsid w:val="004A09C1"/>
    <w:rsid w:val="004B0625"/>
    <w:rsid w:val="004B12EF"/>
    <w:rsid w:val="004B6298"/>
    <w:rsid w:val="004C3812"/>
    <w:rsid w:val="004D1539"/>
    <w:rsid w:val="004D3DB8"/>
    <w:rsid w:val="004D5BF1"/>
    <w:rsid w:val="004E0041"/>
    <w:rsid w:val="004F0994"/>
    <w:rsid w:val="004F714A"/>
    <w:rsid w:val="00500F8A"/>
    <w:rsid w:val="00503600"/>
    <w:rsid w:val="0050796D"/>
    <w:rsid w:val="00522206"/>
    <w:rsid w:val="005304B3"/>
    <w:rsid w:val="005318B8"/>
    <w:rsid w:val="005333B0"/>
    <w:rsid w:val="00545C5B"/>
    <w:rsid w:val="00546BD4"/>
    <w:rsid w:val="00557D77"/>
    <w:rsid w:val="005627CF"/>
    <w:rsid w:val="005630ED"/>
    <w:rsid w:val="0056482E"/>
    <w:rsid w:val="0056530F"/>
    <w:rsid w:val="005705D6"/>
    <w:rsid w:val="00581788"/>
    <w:rsid w:val="0058551D"/>
    <w:rsid w:val="005B7F63"/>
    <w:rsid w:val="005C1D6D"/>
    <w:rsid w:val="005D2F76"/>
    <w:rsid w:val="005D4EA4"/>
    <w:rsid w:val="005D6F65"/>
    <w:rsid w:val="005E35D0"/>
    <w:rsid w:val="006044EB"/>
    <w:rsid w:val="0060450D"/>
    <w:rsid w:val="006053D5"/>
    <w:rsid w:val="00613E0E"/>
    <w:rsid w:val="006142C3"/>
    <w:rsid w:val="00623165"/>
    <w:rsid w:val="00637C82"/>
    <w:rsid w:val="00637CD0"/>
    <w:rsid w:val="00642A1B"/>
    <w:rsid w:val="00650380"/>
    <w:rsid w:val="00653962"/>
    <w:rsid w:val="006711FA"/>
    <w:rsid w:val="006759AB"/>
    <w:rsid w:val="00683DFD"/>
    <w:rsid w:val="00685729"/>
    <w:rsid w:val="0068648E"/>
    <w:rsid w:val="0069264A"/>
    <w:rsid w:val="0069291C"/>
    <w:rsid w:val="00693656"/>
    <w:rsid w:val="00695549"/>
    <w:rsid w:val="00697882"/>
    <w:rsid w:val="006B1A5E"/>
    <w:rsid w:val="006B499C"/>
    <w:rsid w:val="006D04CE"/>
    <w:rsid w:val="006E0215"/>
    <w:rsid w:val="006E3E36"/>
    <w:rsid w:val="00705604"/>
    <w:rsid w:val="00713BBC"/>
    <w:rsid w:val="007155E8"/>
    <w:rsid w:val="007172AF"/>
    <w:rsid w:val="00747264"/>
    <w:rsid w:val="00747B78"/>
    <w:rsid w:val="007512D4"/>
    <w:rsid w:val="00752AE8"/>
    <w:rsid w:val="007572D5"/>
    <w:rsid w:val="00763F83"/>
    <w:rsid w:val="007653E0"/>
    <w:rsid w:val="0077329C"/>
    <w:rsid w:val="007763D9"/>
    <w:rsid w:val="007928C9"/>
    <w:rsid w:val="007C5B5F"/>
    <w:rsid w:val="007C6035"/>
    <w:rsid w:val="007C6F13"/>
    <w:rsid w:val="007D52C3"/>
    <w:rsid w:val="007D5FE6"/>
    <w:rsid w:val="007E4E7E"/>
    <w:rsid w:val="007E7E25"/>
    <w:rsid w:val="007F7E1F"/>
    <w:rsid w:val="008024A5"/>
    <w:rsid w:val="008026B4"/>
    <w:rsid w:val="00805809"/>
    <w:rsid w:val="008301F5"/>
    <w:rsid w:val="00835609"/>
    <w:rsid w:val="00836A57"/>
    <w:rsid w:val="00852A43"/>
    <w:rsid w:val="00861833"/>
    <w:rsid w:val="00870A51"/>
    <w:rsid w:val="00875389"/>
    <w:rsid w:val="00882693"/>
    <w:rsid w:val="00886553"/>
    <w:rsid w:val="00896127"/>
    <w:rsid w:val="008C35FC"/>
    <w:rsid w:val="008D2567"/>
    <w:rsid w:val="00900E6A"/>
    <w:rsid w:val="0090112F"/>
    <w:rsid w:val="00902183"/>
    <w:rsid w:val="009040C9"/>
    <w:rsid w:val="00923406"/>
    <w:rsid w:val="00933E22"/>
    <w:rsid w:val="00935EFF"/>
    <w:rsid w:val="00950411"/>
    <w:rsid w:val="0095295F"/>
    <w:rsid w:val="0096344D"/>
    <w:rsid w:val="0097295D"/>
    <w:rsid w:val="00983CD9"/>
    <w:rsid w:val="00985CDC"/>
    <w:rsid w:val="009A73BD"/>
    <w:rsid w:val="009B0948"/>
    <w:rsid w:val="009B182E"/>
    <w:rsid w:val="009B2797"/>
    <w:rsid w:val="009C042D"/>
    <w:rsid w:val="009C2D09"/>
    <w:rsid w:val="009C5373"/>
    <w:rsid w:val="009D3137"/>
    <w:rsid w:val="009E29F3"/>
    <w:rsid w:val="009F2468"/>
    <w:rsid w:val="009F7BE6"/>
    <w:rsid w:val="00A03876"/>
    <w:rsid w:val="00A119E5"/>
    <w:rsid w:val="00A22703"/>
    <w:rsid w:val="00A33C75"/>
    <w:rsid w:val="00A434CA"/>
    <w:rsid w:val="00A556B2"/>
    <w:rsid w:val="00A65A29"/>
    <w:rsid w:val="00A71A63"/>
    <w:rsid w:val="00A72889"/>
    <w:rsid w:val="00A73062"/>
    <w:rsid w:val="00A73BF9"/>
    <w:rsid w:val="00A83CF4"/>
    <w:rsid w:val="00A96532"/>
    <w:rsid w:val="00A96B9F"/>
    <w:rsid w:val="00AB4716"/>
    <w:rsid w:val="00AB60B9"/>
    <w:rsid w:val="00AD5F0E"/>
    <w:rsid w:val="00AD72CF"/>
    <w:rsid w:val="00AE3A01"/>
    <w:rsid w:val="00B270E6"/>
    <w:rsid w:val="00B279D5"/>
    <w:rsid w:val="00B31FAF"/>
    <w:rsid w:val="00B33F6C"/>
    <w:rsid w:val="00B36822"/>
    <w:rsid w:val="00B37B35"/>
    <w:rsid w:val="00B41C21"/>
    <w:rsid w:val="00B55F75"/>
    <w:rsid w:val="00B71745"/>
    <w:rsid w:val="00B71915"/>
    <w:rsid w:val="00B87C56"/>
    <w:rsid w:val="00B93CB9"/>
    <w:rsid w:val="00B943F0"/>
    <w:rsid w:val="00BA15A4"/>
    <w:rsid w:val="00BA1B4E"/>
    <w:rsid w:val="00BB3D1B"/>
    <w:rsid w:val="00BE7F86"/>
    <w:rsid w:val="00C03D8D"/>
    <w:rsid w:val="00C0494A"/>
    <w:rsid w:val="00C22E62"/>
    <w:rsid w:val="00C319B3"/>
    <w:rsid w:val="00C55644"/>
    <w:rsid w:val="00C55C84"/>
    <w:rsid w:val="00C63605"/>
    <w:rsid w:val="00C65434"/>
    <w:rsid w:val="00C71C93"/>
    <w:rsid w:val="00C76DDD"/>
    <w:rsid w:val="00C93525"/>
    <w:rsid w:val="00C93BC1"/>
    <w:rsid w:val="00C9569A"/>
    <w:rsid w:val="00CB0D06"/>
    <w:rsid w:val="00CB0FE7"/>
    <w:rsid w:val="00CB7BD8"/>
    <w:rsid w:val="00CD3EEA"/>
    <w:rsid w:val="00CD63DF"/>
    <w:rsid w:val="00CD6DA9"/>
    <w:rsid w:val="00CE4F81"/>
    <w:rsid w:val="00CE7055"/>
    <w:rsid w:val="00CF26BF"/>
    <w:rsid w:val="00CF465B"/>
    <w:rsid w:val="00CF5953"/>
    <w:rsid w:val="00D05E30"/>
    <w:rsid w:val="00D12951"/>
    <w:rsid w:val="00D31443"/>
    <w:rsid w:val="00D47A48"/>
    <w:rsid w:val="00D61084"/>
    <w:rsid w:val="00D72528"/>
    <w:rsid w:val="00D85597"/>
    <w:rsid w:val="00DA3FDC"/>
    <w:rsid w:val="00DB201D"/>
    <w:rsid w:val="00DC021C"/>
    <w:rsid w:val="00DD58B8"/>
    <w:rsid w:val="00DE03FE"/>
    <w:rsid w:val="00DE767B"/>
    <w:rsid w:val="00DF11AF"/>
    <w:rsid w:val="00DF27B8"/>
    <w:rsid w:val="00E105C4"/>
    <w:rsid w:val="00E11AB6"/>
    <w:rsid w:val="00E12B59"/>
    <w:rsid w:val="00E13480"/>
    <w:rsid w:val="00E37435"/>
    <w:rsid w:val="00E51B9B"/>
    <w:rsid w:val="00E74D7B"/>
    <w:rsid w:val="00E74D94"/>
    <w:rsid w:val="00E82CEA"/>
    <w:rsid w:val="00E961CE"/>
    <w:rsid w:val="00EC6171"/>
    <w:rsid w:val="00ED35A6"/>
    <w:rsid w:val="00ED7B99"/>
    <w:rsid w:val="00EE6239"/>
    <w:rsid w:val="00EE65ED"/>
    <w:rsid w:val="00EF486D"/>
    <w:rsid w:val="00EF5DFA"/>
    <w:rsid w:val="00F0196F"/>
    <w:rsid w:val="00F0291B"/>
    <w:rsid w:val="00F14275"/>
    <w:rsid w:val="00F308F6"/>
    <w:rsid w:val="00F3127A"/>
    <w:rsid w:val="00F405A4"/>
    <w:rsid w:val="00F40910"/>
    <w:rsid w:val="00F43A38"/>
    <w:rsid w:val="00F52EE3"/>
    <w:rsid w:val="00F56908"/>
    <w:rsid w:val="00F65C2F"/>
    <w:rsid w:val="00F770B8"/>
    <w:rsid w:val="00F8304F"/>
    <w:rsid w:val="00F87187"/>
    <w:rsid w:val="00F87F25"/>
    <w:rsid w:val="00F9234D"/>
    <w:rsid w:val="00F97D9D"/>
    <w:rsid w:val="00FA6891"/>
    <w:rsid w:val="00FA73D1"/>
    <w:rsid w:val="00FB55B2"/>
    <w:rsid w:val="00FB771A"/>
    <w:rsid w:val="00FC4DD1"/>
    <w:rsid w:val="00FC4FD4"/>
    <w:rsid w:val="00FD73DD"/>
    <w:rsid w:val="00FE01AF"/>
    <w:rsid w:val="00FF2B05"/>
    <w:rsid w:val="00FF436F"/>
    <w:rsid w:val="01061732"/>
    <w:rsid w:val="01677193"/>
    <w:rsid w:val="018A00F3"/>
    <w:rsid w:val="019C7F2F"/>
    <w:rsid w:val="01D87D22"/>
    <w:rsid w:val="028E25E4"/>
    <w:rsid w:val="02BB2982"/>
    <w:rsid w:val="02DF143E"/>
    <w:rsid w:val="03034189"/>
    <w:rsid w:val="03235621"/>
    <w:rsid w:val="035C1F15"/>
    <w:rsid w:val="037E1BC5"/>
    <w:rsid w:val="04472ACE"/>
    <w:rsid w:val="048A558F"/>
    <w:rsid w:val="05B140B1"/>
    <w:rsid w:val="05F8613F"/>
    <w:rsid w:val="06154CC9"/>
    <w:rsid w:val="06EE0F41"/>
    <w:rsid w:val="074A7258"/>
    <w:rsid w:val="075D3326"/>
    <w:rsid w:val="078B16AB"/>
    <w:rsid w:val="07CD64B3"/>
    <w:rsid w:val="07D50079"/>
    <w:rsid w:val="08E63863"/>
    <w:rsid w:val="090B7401"/>
    <w:rsid w:val="091E1960"/>
    <w:rsid w:val="09230E5D"/>
    <w:rsid w:val="0949566A"/>
    <w:rsid w:val="094D1BDB"/>
    <w:rsid w:val="0956191F"/>
    <w:rsid w:val="09635244"/>
    <w:rsid w:val="0ABA7304"/>
    <w:rsid w:val="0AD650BB"/>
    <w:rsid w:val="0B8470DD"/>
    <w:rsid w:val="0B9E4B8F"/>
    <w:rsid w:val="0BCD054C"/>
    <w:rsid w:val="0C701CF9"/>
    <w:rsid w:val="0C9623CD"/>
    <w:rsid w:val="0D7D5AA3"/>
    <w:rsid w:val="0D861B63"/>
    <w:rsid w:val="0D9B6F04"/>
    <w:rsid w:val="0E0E4B0E"/>
    <w:rsid w:val="0E517493"/>
    <w:rsid w:val="0E5D2493"/>
    <w:rsid w:val="0F6B1438"/>
    <w:rsid w:val="0FDF214D"/>
    <w:rsid w:val="0FE07EAC"/>
    <w:rsid w:val="0FF66220"/>
    <w:rsid w:val="1011711F"/>
    <w:rsid w:val="103A66A1"/>
    <w:rsid w:val="10A254A0"/>
    <w:rsid w:val="11223739"/>
    <w:rsid w:val="11BF4435"/>
    <w:rsid w:val="120E72D2"/>
    <w:rsid w:val="12DB387E"/>
    <w:rsid w:val="132D5D5B"/>
    <w:rsid w:val="13AC6534"/>
    <w:rsid w:val="149F704F"/>
    <w:rsid w:val="14E609C2"/>
    <w:rsid w:val="153A2586"/>
    <w:rsid w:val="15A00851"/>
    <w:rsid w:val="16824FA1"/>
    <w:rsid w:val="169E64ED"/>
    <w:rsid w:val="16FB516F"/>
    <w:rsid w:val="17334127"/>
    <w:rsid w:val="173D0799"/>
    <w:rsid w:val="17EE4688"/>
    <w:rsid w:val="18162718"/>
    <w:rsid w:val="182E0114"/>
    <w:rsid w:val="183A242F"/>
    <w:rsid w:val="18562AAD"/>
    <w:rsid w:val="18FB0401"/>
    <w:rsid w:val="19063704"/>
    <w:rsid w:val="1A2C13D0"/>
    <w:rsid w:val="1A2E1320"/>
    <w:rsid w:val="1A566A80"/>
    <w:rsid w:val="1A685576"/>
    <w:rsid w:val="1BDB31EE"/>
    <w:rsid w:val="1C423A48"/>
    <w:rsid w:val="1C9C4C6B"/>
    <w:rsid w:val="1C9D1842"/>
    <w:rsid w:val="1CA82567"/>
    <w:rsid w:val="1CD37121"/>
    <w:rsid w:val="1D500E90"/>
    <w:rsid w:val="1D6E0D10"/>
    <w:rsid w:val="1DA95B6F"/>
    <w:rsid w:val="1DC02A8B"/>
    <w:rsid w:val="1DEC5CC2"/>
    <w:rsid w:val="1EC37C01"/>
    <w:rsid w:val="1ED84484"/>
    <w:rsid w:val="1EE670E5"/>
    <w:rsid w:val="208F5A33"/>
    <w:rsid w:val="20AF04D6"/>
    <w:rsid w:val="20B71D0E"/>
    <w:rsid w:val="2145417F"/>
    <w:rsid w:val="21805804"/>
    <w:rsid w:val="21E44DA4"/>
    <w:rsid w:val="2225301A"/>
    <w:rsid w:val="22EB6E26"/>
    <w:rsid w:val="22FB0E3E"/>
    <w:rsid w:val="23180330"/>
    <w:rsid w:val="232B3129"/>
    <w:rsid w:val="237F610A"/>
    <w:rsid w:val="23F33E93"/>
    <w:rsid w:val="242A2424"/>
    <w:rsid w:val="24631748"/>
    <w:rsid w:val="24C32E79"/>
    <w:rsid w:val="25460BD0"/>
    <w:rsid w:val="256006C2"/>
    <w:rsid w:val="259D46B4"/>
    <w:rsid w:val="25EC4FD4"/>
    <w:rsid w:val="260C4D0A"/>
    <w:rsid w:val="26B45E4D"/>
    <w:rsid w:val="27527F48"/>
    <w:rsid w:val="276C63BF"/>
    <w:rsid w:val="279F563E"/>
    <w:rsid w:val="27A96473"/>
    <w:rsid w:val="27D465AA"/>
    <w:rsid w:val="28A0251E"/>
    <w:rsid w:val="291E7E1C"/>
    <w:rsid w:val="29E7753A"/>
    <w:rsid w:val="2A0C0807"/>
    <w:rsid w:val="2BDC434B"/>
    <w:rsid w:val="2C0E70E7"/>
    <w:rsid w:val="2C2C1D19"/>
    <w:rsid w:val="2C936BA2"/>
    <w:rsid w:val="2CC063B5"/>
    <w:rsid w:val="2ECA7CDD"/>
    <w:rsid w:val="2F0E13C9"/>
    <w:rsid w:val="2F1F36DD"/>
    <w:rsid w:val="2F63061C"/>
    <w:rsid w:val="2F82231C"/>
    <w:rsid w:val="301A7663"/>
    <w:rsid w:val="305C4FC8"/>
    <w:rsid w:val="30AD116B"/>
    <w:rsid w:val="312576E0"/>
    <w:rsid w:val="32080A9E"/>
    <w:rsid w:val="3266306F"/>
    <w:rsid w:val="328613B7"/>
    <w:rsid w:val="3321221F"/>
    <w:rsid w:val="334B5295"/>
    <w:rsid w:val="337E77FB"/>
    <w:rsid w:val="338852FF"/>
    <w:rsid w:val="339A007F"/>
    <w:rsid w:val="33D20668"/>
    <w:rsid w:val="33E61722"/>
    <w:rsid w:val="33F1566B"/>
    <w:rsid w:val="34022534"/>
    <w:rsid w:val="3416457D"/>
    <w:rsid w:val="342562F6"/>
    <w:rsid w:val="35204734"/>
    <w:rsid w:val="35980379"/>
    <w:rsid w:val="35B412FA"/>
    <w:rsid w:val="35D42664"/>
    <w:rsid w:val="35F4704E"/>
    <w:rsid w:val="36B058FF"/>
    <w:rsid w:val="380C4125"/>
    <w:rsid w:val="38444FA6"/>
    <w:rsid w:val="385D7D1B"/>
    <w:rsid w:val="38B37009"/>
    <w:rsid w:val="38C71649"/>
    <w:rsid w:val="38E2522D"/>
    <w:rsid w:val="39506D30"/>
    <w:rsid w:val="39875ED2"/>
    <w:rsid w:val="3A283CAC"/>
    <w:rsid w:val="3AA15C80"/>
    <w:rsid w:val="3AAC12CD"/>
    <w:rsid w:val="3B212EFD"/>
    <w:rsid w:val="3B602635"/>
    <w:rsid w:val="3B6333D9"/>
    <w:rsid w:val="3B672FB9"/>
    <w:rsid w:val="3B8369A0"/>
    <w:rsid w:val="3B9310D0"/>
    <w:rsid w:val="3CA34541"/>
    <w:rsid w:val="3D563239"/>
    <w:rsid w:val="3D8F388C"/>
    <w:rsid w:val="3DE05B31"/>
    <w:rsid w:val="3ECB2957"/>
    <w:rsid w:val="3F6B5F3F"/>
    <w:rsid w:val="3F6E3C47"/>
    <w:rsid w:val="3FA22180"/>
    <w:rsid w:val="3FE7186C"/>
    <w:rsid w:val="3FFE602A"/>
    <w:rsid w:val="400C1C6E"/>
    <w:rsid w:val="4056113F"/>
    <w:rsid w:val="40C66DDF"/>
    <w:rsid w:val="40F706B5"/>
    <w:rsid w:val="40F82815"/>
    <w:rsid w:val="41621F53"/>
    <w:rsid w:val="41FA63D6"/>
    <w:rsid w:val="42E4751E"/>
    <w:rsid w:val="43243365"/>
    <w:rsid w:val="44827159"/>
    <w:rsid w:val="44F97C1D"/>
    <w:rsid w:val="452A6EF9"/>
    <w:rsid w:val="457069F8"/>
    <w:rsid w:val="45F574AE"/>
    <w:rsid w:val="460015FB"/>
    <w:rsid w:val="46DD104A"/>
    <w:rsid w:val="46E04399"/>
    <w:rsid w:val="47334B91"/>
    <w:rsid w:val="47F46D8C"/>
    <w:rsid w:val="4902059A"/>
    <w:rsid w:val="497E172B"/>
    <w:rsid w:val="49EA4112"/>
    <w:rsid w:val="49F04B51"/>
    <w:rsid w:val="49FF6579"/>
    <w:rsid w:val="4A411B8C"/>
    <w:rsid w:val="4A525A89"/>
    <w:rsid w:val="4A650BEC"/>
    <w:rsid w:val="4A9B3CD2"/>
    <w:rsid w:val="4AB50F89"/>
    <w:rsid w:val="4AC94C29"/>
    <w:rsid w:val="4B873338"/>
    <w:rsid w:val="4BCB1AEF"/>
    <w:rsid w:val="4BDF50EF"/>
    <w:rsid w:val="4C1B6635"/>
    <w:rsid w:val="4C264A79"/>
    <w:rsid w:val="4D33134B"/>
    <w:rsid w:val="4D4D72FA"/>
    <w:rsid w:val="4E266952"/>
    <w:rsid w:val="4E420ACC"/>
    <w:rsid w:val="4EBD5CA2"/>
    <w:rsid w:val="4EC12F6C"/>
    <w:rsid w:val="4F504E40"/>
    <w:rsid w:val="4F615A90"/>
    <w:rsid w:val="503458CC"/>
    <w:rsid w:val="505704DC"/>
    <w:rsid w:val="50935A54"/>
    <w:rsid w:val="5098461F"/>
    <w:rsid w:val="50E512C7"/>
    <w:rsid w:val="512D71A6"/>
    <w:rsid w:val="515A4238"/>
    <w:rsid w:val="515A5F2E"/>
    <w:rsid w:val="51942D9B"/>
    <w:rsid w:val="51951C27"/>
    <w:rsid w:val="519A4BF6"/>
    <w:rsid w:val="51DD0207"/>
    <w:rsid w:val="52175142"/>
    <w:rsid w:val="525F3B4C"/>
    <w:rsid w:val="52926019"/>
    <w:rsid w:val="53264239"/>
    <w:rsid w:val="535708FD"/>
    <w:rsid w:val="53817833"/>
    <w:rsid w:val="53885F2D"/>
    <w:rsid w:val="53EA5212"/>
    <w:rsid w:val="54162A64"/>
    <w:rsid w:val="541B065B"/>
    <w:rsid w:val="544A2AC9"/>
    <w:rsid w:val="54732F91"/>
    <w:rsid w:val="54D86D1E"/>
    <w:rsid w:val="5559355C"/>
    <w:rsid w:val="564A583F"/>
    <w:rsid w:val="567D4D42"/>
    <w:rsid w:val="568E5E66"/>
    <w:rsid w:val="56A7745D"/>
    <w:rsid w:val="56AA3196"/>
    <w:rsid w:val="57923901"/>
    <w:rsid w:val="57A666B3"/>
    <w:rsid w:val="57B8678E"/>
    <w:rsid w:val="57D30D19"/>
    <w:rsid w:val="58092AB4"/>
    <w:rsid w:val="582164EF"/>
    <w:rsid w:val="58353F78"/>
    <w:rsid w:val="592864C5"/>
    <w:rsid w:val="5956752D"/>
    <w:rsid w:val="596A6909"/>
    <w:rsid w:val="59B37154"/>
    <w:rsid w:val="59B72269"/>
    <w:rsid w:val="59D1740A"/>
    <w:rsid w:val="5A0C5667"/>
    <w:rsid w:val="5AD675A5"/>
    <w:rsid w:val="5B0202BA"/>
    <w:rsid w:val="5C5C458C"/>
    <w:rsid w:val="5C894E7A"/>
    <w:rsid w:val="5C903A4B"/>
    <w:rsid w:val="5CB353E8"/>
    <w:rsid w:val="5DBE1114"/>
    <w:rsid w:val="5E0B4CA0"/>
    <w:rsid w:val="5E140B05"/>
    <w:rsid w:val="5E7B1C86"/>
    <w:rsid w:val="5F3B1E65"/>
    <w:rsid w:val="601401E0"/>
    <w:rsid w:val="60383F9E"/>
    <w:rsid w:val="624A2F23"/>
    <w:rsid w:val="642C32A2"/>
    <w:rsid w:val="64571CA3"/>
    <w:rsid w:val="64E43346"/>
    <w:rsid w:val="64F57A84"/>
    <w:rsid w:val="660A6732"/>
    <w:rsid w:val="663E6DC3"/>
    <w:rsid w:val="667A3B67"/>
    <w:rsid w:val="668F0414"/>
    <w:rsid w:val="67153E49"/>
    <w:rsid w:val="67616741"/>
    <w:rsid w:val="67A4040C"/>
    <w:rsid w:val="680229F8"/>
    <w:rsid w:val="681D70B7"/>
    <w:rsid w:val="68394328"/>
    <w:rsid w:val="684E7CE1"/>
    <w:rsid w:val="68736322"/>
    <w:rsid w:val="68E13DB0"/>
    <w:rsid w:val="68FC0EDA"/>
    <w:rsid w:val="6A4D4F1C"/>
    <w:rsid w:val="6B215FBD"/>
    <w:rsid w:val="6BA41571"/>
    <w:rsid w:val="6BD83D12"/>
    <w:rsid w:val="6C1D1E64"/>
    <w:rsid w:val="6C475020"/>
    <w:rsid w:val="6DFD060D"/>
    <w:rsid w:val="6E3A74D8"/>
    <w:rsid w:val="6F6C272A"/>
    <w:rsid w:val="6F7F17E1"/>
    <w:rsid w:val="6FE42B7E"/>
    <w:rsid w:val="6FE8313E"/>
    <w:rsid w:val="6FEF6346"/>
    <w:rsid w:val="7006462D"/>
    <w:rsid w:val="710419FA"/>
    <w:rsid w:val="712F60E6"/>
    <w:rsid w:val="713000F5"/>
    <w:rsid w:val="717F4E2C"/>
    <w:rsid w:val="718515CA"/>
    <w:rsid w:val="71D46E84"/>
    <w:rsid w:val="72713391"/>
    <w:rsid w:val="72914C88"/>
    <w:rsid w:val="72EB55A3"/>
    <w:rsid w:val="72F707B7"/>
    <w:rsid w:val="73233CA8"/>
    <w:rsid w:val="7383674B"/>
    <w:rsid w:val="73931271"/>
    <w:rsid w:val="73B0588C"/>
    <w:rsid w:val="74135E1E"/>
    <w:rsid w:val="743B3304"/>
    <w:rsid w:val="74644BD9"/>
    <w:rsid w:val="747312B3"/>
    <w:rsid w:val="74D200B9"/>
    <w:rsid w:val="75C146D6"/>
    <w:rsid w:val="7717538D"/>
    <w:rsid w:val="773418CE"/>
    <w:rsid w:val="77990E5C"/>
    <w:rsid w:val="77DE590F"/>
    <w:rsid w:val="77E41123"/>
    <w:rsid w:val="77F64417"/>
    <w:rsid w:val="78715069"/>
    <w:rsid w:val="78761D8B"/>
    <w:rsid w:val="78D04D89"/>
    <w:rsid w:val="78ED3A76"/>
    <w:rsid w:val="79333067"/>
    <w:rsid w:val="79896D8C"/>
    <w:rsid w:val="79B17193"/>
    <w:rsid w:val="7A5B2048"/>
    <w:rsid w:val="7A73338A"/>
    <w:rsid w:val="7AC23B9F"/>
    <w:rsid w:val="7B786608"/>
    <w:rsid w:val="7CBF30A1"/>
    <w:rsid w:val="7CD100D2"/>
    <w:rsid w:val="7D344EDA"/>
    <w:rsid w:val="7D345250"/>
    <w:rsid w:val="7D4B5AAF"/>
    <w:rsid w:val="7DD471C3"/>
    <w:rsid w:val="7E9034ED"/>
    <w:rsid w:val="7EB24863"/>
    <w:rsid w:val="7ECE1A62"/>
    <w:rsid w:val="7F0D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1"/>
    <w:pPr>
      <w:ind w:left="1291" w:hanging="481"/>
      <w:outlineLvl w:val="2"/>
    </w:pPr>
    <w:rPr>
      <w:rFonts w:ascii="Bookman Old Style" w:hAnsi="Bookman Old Style" w:eastAsia="Bookman Old Style" w:cs="Bookman Old Style"/>
      <w:sz w:val="24"/>
      <w:szCs w:val="24"/>
      <w:lang w:val="en-US" w:eastAsia="en-US" w:bidi="en-US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1"/>
    <w:rPr>
      <w:rFonts w:ascii="Cambria" w:hAnsi="Cambria" w:eastAsia="Cambria" w:cs="Cambria"/>
      <w:sz w:val="20"/>
      <w:szCs w:val="20"/>
      <w:lang w:val="en-US" w:eastAsia="en-US" w:bidi="en-US"/>
    </w:rPr>
  </w:style>
  <w:style w:type="paragraph" w:styleId="7">
    <w:name w:val="endnote text"/>
    <w:basedOn w:val="1"/>
    <w:qFormat/>
    <w:uiPriority w:val="0"/>
    <w:pPr>
      <w:snapToGrid w:val="0"/>
      <w:jc w:val="left"/>
    </w:pPr>
  </w:style>
  <w:style w:type="paragraph" w:styleId="8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ndnote reference"/>
    <w:qFormat/>
    <w:uiPriority w:val="0"/>
    <w:rPr>
      <w:vertAlign w:val="superscript"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footnote reference"/>
    <w:basedOn w:val="14"/>
    <w:qFormat/>
    <w:uiPriority w:val="0"/>
    <w:rPr>
      <w:vertAlign w:val="superscript"/>
    </w:rPr>
  </w:style>
  <w:style w:type="paragraph" w:customStyle="1" w:styleId="19">
    <w:name w:val="_00000000-0000-0000-0000-000000000001_"/>
    <w:unhideWhenUsed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20">
    <w:name w:val="RSC B02 Article Text"/>
    <w:basedOn w:val="1"/>
    <w:link w:val="36"/>
    <w:qFormat/>
    <w:uiPriority w:val="0"/>
    <w:pPr>
      <w:spacing w:line="240" w:lineRule="exact"/>
    </w:pPr>
    <w:rPr>
      <w:rFonts w:cs="Times New Roman"/>
      <w:w w:val="108"/>
      <w:sz w:val="18"/>
      <w:szCs w:val="18"/>
    </w:rPr>
  </w:style>
  <w:style w:type="paragraph" w:customStyle="1" w:styleId="21">
    <w:name w:val="Acknowledgements"/>
    <w:basedOn w:val="1"/>
    <w:qFormat/>
    <w:uiPriority w:val="0"/>
  </w:style>
  <w:style w:type="paragraph" w:customStyle="1" w:styleId="22">
    <w:name w:val="Head 1"/>
    <w:basedOn w:val="1"/>
    <w:qFormat/>
    <w:uiPriority w:val="0"/>
    <w:pPr>
      <w:spacing w:line="360" w:lineRule="auto"/>
    </w:pPr>
    <w:rPr>
      <w:b/>
    </w:rPr>
  </w:style>
  <w:style w:type="paragraph" w:customStyle="1" w:styleId="23">
    <w:name w:val="Main Text"/>
    <w:basedOn w:val="1"/>
    <w:qFormat/>
    <w:uiPriority w:val="0"/>
    <w:pPr>
      <w:spacing w:line="480" w:lineRule="auto"/>
    </w:pPr>
  </w:style>
  <w:style w:type="paragraph" w:customStyle="1" w:styleId="24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LOKLH H+ Gulliver SC Os F" w:hAnsi="LOKLH H+ Gulliver SC Os F" w:eastAsia="LOKLH H+ Gulliver SC Os F" w:cs="Times New Roman"/>
      <w:color w:val="000000"/>
      <w:sz w:val="24"/>
      <w:lang w:val="en-US" w:eastAsia="zh-CN" w:bidi="ar-SA"/>
    </w:rPr>
  </w:style>
  <w:style w:type="paragraph" w:customStyle="1" w:styleId="25">
    <w:name w:val="02 Paper Authors"/>
    <w:basedOn w:val="1"/>
    <w:qFormat/>
    <w:uiPriority w:val="0"/>
    <w:pPr>
      <w:widowControl/>
      <w:spacing w:before="200" w:after="480" w:line="240" w:lineRule="exact"/>
      <w:jc w:val="left"/>
    </w:pPr>
    <w:rPr>
      <w:rFonts w:ascii="Myriad Pro" w:hAnsi="Myriad Pro"/>
      <w:spacing w:val="4"/>
      <w:kern w:val="0"/>
      <w:sz w:val="20"/>
      <w:szCs w:val="20"/>
    </w:rPr>
  </w:style>
  <w:style w:type="paragraph" w:customStyle="1" w:styleId="26">
    <w:name w:val="01 Paper Title"/>
    <w:qFormat/>
    <w:uiPriority w:val="99"/>
    <w:pPr>
      <w:spacing w:after="180" w:line="360" w:lineRule="exact"/>
    </w:pPr>
    <w:rPr>
      <w:rFonts w:ascii="Times New Roman" w:hAnsi="Times New Roman" w:eastAsia="宋体" w:cs="Times New Roman"/>
      <w:b/>
      <w:position w:val="7"/>
      <w:sz w:val="32"/>
      <w:szCs w:val="32"/>
      <w:lang w:val="en-US" w:eastAsia="zh-CN" w:bidi="ar-SA"/>
    </w:rPr>
  </w:style>
  <w:style w:type="paragraph" w:customStyle="1" w:styleId="27">
    <w:name w:val="RSC F01 Footnote Author Address"/>
    <w:qFormat/>
    <w:uiPriority w:val="0"/>
    <w:pPr>
      <w:numPr>
        <w:ilvl w:val="0"/>
        <w:numId w:val="1"/>
      </w:numPr>
      <w:pBdr>
        <w:top w:val="single" w:color="A6A6A6" w:sz="12" w:space="1"/>
      </w:pBdr>
      <w:ind w:left="85" w:hanging="85"/>
    </w:pPr>
    <w:rPr>
      <w:rFonts w:ascii="Calibri" w:hAnsi="Calibri" w:eastAsia="Calibri" w:cs="Times New Roman"/>
      <w:i/>
      <w:w w:val="105"/>
      <w:sz w:val="14"/>
      <w:szCs w:val="14"/>
      <w:lang w:val="en-US" w:eastAsia="en-US" w:bidi="ar-SA"/>
    </w:rPr>
  </w:style>
  <w:style w:type="paragraph" w:customStyle="1" w:styleId="28">
    <w:name w:val="RSC F02 Footnotes to Title/Authors"/>
    <w:basedOn w:val="1"/>
    <w:qFormat/>
    <w:uiPriority w:val="0"/>
    <w:pPr>
      <w:tabs>
        <w:tab w:val="left" w:pos="284"/>
      </w:tabs>
    </w:pPr>
    <w:rPr>
      <w:rFonts w:cs="Times New Roman"/>
      <w:w w:val="105"/>
      <w:sz w:val="14"/>
      <w:szCs w:val="14"/>
    </w:rPr>
  </w:style>
  <w:style w:type="character" w:styleId="29">
    <w:name w:val="Placeholder Text"/>
    <w:basedOn w:val="14"/>
    <w:semiHidden/>
    <w:qFormat/>
    <w:uiPriority w:val="99"/>
    <w:rPr>
      <w:color w:val="808080"/>
    </w:rPr>
  </w:style>
  <w:style w:type="character" w:customStyle="1" w:styleId="30">
    <w:name w:val="apple-converted-space"/>
    <w:basedOn w:val="14"/>
    <w:qFormat/>
    <w:uiPriority w:val="0"/>
  </w:style>
  <w:style w:type="character" w:customStyle="1" w:styleId="31">
    <w:name w:val="tran"/>
    <w:basedOn w:val="14"/>
    <w:qFormat/>
    <w:uiPriority w:val="0"/>
  </w:style>
  <w:style w:type="paragraph" w:customStyle="1" w:styleId="32">
    <w:name w:val="TableHead"/>
    <w:basedOn w:val="1"/>
    <w:qFormat/>
    <w:uiPriority w:val="0"/>
    <w:pPr>
      <w:widowControl/>
      <w:pBdr>
        <w:top w:val="single" w:color="FFFFFF" w:sz="4" w:space="4"/>
        <w:left w:val="single" w:color="FFFFFF" w:sz="4" w:space="4"/>
        <w:bottom w:val="single" w:color="FFFFFF" w:sz="4" w:space="4"/>
        <w:right w:val="single" w:color="FFFFFF" w:sz="4" w:space="4"/>
      </w:pBdr>
      <w:spacing w:line="180" w:lineRule="exact"/>
    </w:pPr>
    <w:rPr>
      <w:rFonts w:ascii="Arial" w:hAnsi="Arial" w:eastAsia="MS Mincho" w:cs="Times New Roman"/>
      <w:kern w:val="0"/>
      <w:sz w:val="14"/>
      <w:szCs w:val="14"/>
      <w:lang w:val="en-GB" w:eastAsia="ja-JP"/>
    </w:rPr>
  </w:style>
  <w:style w:type="paragraph" w:customStyle="1" w:styleId="33">
    <w:name w:val="TableBody"/>
    <w:basedOn w:val="32"/>
    <w:qFormat/>
    <w:uiPriority w:val="0"/>
  </w:style>
  <w:style w:type="character" w:customStyle="1" w:styleId="34">
    <w:name w:val="页眉 字符"/>
    <w:basedOn w:val="14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5">
    <w:name w:val="页脚 字符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6">
    <w:name w:val="RSC B02 Article Text Char"/>
    <w:link w:val="20"/>
    <w:qFormat/>
    <w:uiPriority w:val="0"/>
    <w:rPr>
      <w:rFonts w:asciiTheme="minorHAnsi" w:hAnsiTheme="minorHAnsi" w:eastAsiaTheme="minorEastAsia"/>
      <w:w w:val="108"/>
      <w:kern w:val="2"/>
      <w:sz w:val="18"/>
      <w:szCs w:val="18"/>
    </w:rPr>
  </w:style>
  <w:style w:type="paragraph" w:styleId="37">
    <w:name w:val="No Spacing"/>
    <w:qFormat/>
    <w:uiPriority w:val="1"/>
    <w:pPr>
      <w:jc w:val="center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tiff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0ADEB7-6372-4D60-A699-CBC603DF7F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729</Words>
  <Characters>3177</Characters>
  <Lines>144</Lines>
  <Paragraphs>40</Paragraphs>
  <TotalTime>1</TotalTime>
  <ScaleCrop>false</ScaleCrop>
  <LinksUpToDate>false</LinksUpToDate>
  <CharactersWithSpaces>3466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2020-07-01T05:31:00Z</dcterms:created>
  <dc:creator>绒嘟儿大猫咪</dc:creator>
  <cp:lastModifiedBy>范霖</cp:lastModifiedBy>
  <dcterms:modified xsi:type="dcterms:W3CDTF">2023-06-20T03:21:28Z</dcterms:modified>
  <cp:revision>211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1E68CC8BC0C84B31912E4359283F92DA</vt:lpwstr>
  </property>
</Properties>
</file>