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1498" w:rsidRDefault="002B1498" w:rsidP="002B1498">
      <w:r>
        <w:rPr>
          <w:noProof/>
        </w:rPr>
        <w:drawing>
          <wp:inline distT="0" distB="0" distL="0" distR="0" wp14:anchorId="5724BCD0" wp14:editId="376C6196">
            <wp:extent cx="5943600" cy="43529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498" w:rsidRDefault="002B1498" w:rsidP="002B1498"/>
    <w:p w:rsidR="002B1498" w:rsidRPr="00606E03" w:rsidRDefault="002B1498" w:rsidP="002B1498">
      <w:pPr>
        <w:spacing w:line="360" w:lineRule="auto"/>
        <w:rPr>
          <w:rFonts w:ascii="Arial" w:hAnsi="Arial" w:cs="Arial"/>
          <w:sz w:val="24"/>
          <w:szCs w:val="24"/>
        </w:rPr>
      </w:pPr>
      <w:r w:rsidRPr="00606E03">
        <w:rPr>
          <w:rFonts w:ascii="Arial" w:hAnsi="Arial" w:cs="Arial"/>
          <w:b/>
          <w:bCs/>
          <w:sz w:val="24"/>
          <w:szCs w:val="24"/>
        </w:rPr>
        <w:t xml:space="preserve">Figure S1. Bacterial phyla in placebo and morphine-pelleted mice. </w:t>
      </w:r>
      <w:r w:rsidRPr="00606E03">
        <w:rPr>
          <w:rFonts w:ascii="Arial" w:hAnsi="Arial" w:cs="Arial"/>
          <w:sz w:val="24"/>
          <w:szCs w:val="24"/>
        </w:rPr>
        <w:t>(A) Stack bars depicting the abundance of bacterial phyla in PP and MP mice. Abundance of (B) Firmicutes, (C) Actinobacteria, and (D) Bacteroidetes in PP and MP mice. Data in B, C and D are mean ± SEM, and scatter represents data from individual mice. Sample sizes are 5 mice per group. Data in B, C and D were analyzed by two-tailed unpaired Student’s t-test. P values are indicated.</w:t>
      </w:r>
    </w:p>
    <w:p w:rsidR="002B1498" w:rsidRDefault="002B1498" w:rsidP="002B1498">
      <w:pPr>
        <w:spacing w:after="0" w:line="360" w:lineRule="auto"/>
        <w:rPr>
          <w:rFonts w:ascii="Arial" w:eastAsia="Arial" w:hAnsi="Arial" w:cs="Arial"/>
          <w:b/>
          <w:bCs/>
          <w:sz w:val="24"/>
          <w:szCs w:val="24"/>
        </w:rPr>
      </w:pPr>
    </w:p>
    <w:p w:rsidR="002B1498" w:rsidRDefault="002B1498" w:rsidP="002B1498">
      <w:pPr>
        <w:spacing w:after="0" w:line="360" w:lineRule="auto"/>
        <w:rPr>
          <w:rFonts w:ascii="Arial" w:eastAsia="Arial" w:hAnsi="Arial" w:cs="Arial"/>
          <w:b/>
          <w:bCs/>
          <w:sz w:val="24"/>
          <w:szCs w:val="24"/>
        </w:rPr>
      </w:pPr>
    </w:p>
    <w:p w:rsidR="002B1498" w:rsidRDefault="002B1498" w:rsidP="002B1498">
      <w:pPr>
        <w:spacing w:after="0" w:line="360" w:lineRule="auto"/>
        <w:rPr>
          <w:rFonts w:ascii="Arial" w:eastAsia="Arial" w:hAnsi="Arial" w:cs="Arial"/>
          <w:b/>
          <w:bCs/>
          <w:sz w:val="24"/>
          <w:szCs w:val="24"/>
        </w:rPr>
      </w:pPr>
      <w:r>
        <w:rPr>
          <w:rFonts w:ascii="Arial" w:eastAsia="Arial" w:hAnsi="Arial" w:cs="Arial"/>
          <w:b/>
          <w:bCs/>
          <w:noProof/>
          <w:sz w:val="24"/>
          <w:szCs w:val="24"/>
        </w:rPr>
        <w:lastRenderedPageBreak/>
        <w:drawing>
          <wp:inline distT="0" distB="0" distL="0" distR="0" wp14:anchorId="53E89228" wp14:editId="1C3BDA21">
            <wp:extent cx="5943600" cy="42195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498" w:rsidRDefault="002B1498" w:rsidP="002B1498">
      <w:pPr>
        <w:spacing w:after="0" w:line="360" w:lineRule="auto"/>
        <w:rPr>
          <w:rFonts w:ascii="Arial" w:eastAsia="Arial" w:hAnsi="Arial" w:cs="Arial"/>
          <w:b/>
          <w:bCs/>
          <w:sz w:val="24"/>
          <w:szCs w:val="24"/>
        </w:rPr>
      </w:pPr>
    </w:p>
    <w:p w:rsidR="002B1498" w:rsidRPr="006E431D" w:rsidRDefault="002B1498" w:rsidP="002B1498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6E431D">
        <w:rPr>
          <w:rFonts w:ascii="Arial" w:eastAsia="Arial" w:hAnsi="Arial" w:cs="Arial"/>
          <w:b/>
          <w:bCs/>
          <w:sz w:val="24"/>
          <w:szCs w:val="24"/>
        </w:rPr>
        <w:t>Figure S2. Fecal microbiome analysis in butyrate-treated mice.</w:t>
      </w:r>
      <w:r w:rsidRPr="006E431D">
        <w:rPr>
          <w:rFonts w:ascii="Arial" w:eastAsia="Arial" w:hAnsi="Arial" w:cs="Arial"/>
          <w:sz w:val="24"/>
          <w:szCs w:val="24"/>
        </w:rPr>
        <w:t xml:space="preserve"> (A) Alpha diversity was assessed in the fecal samples of saline-treated PP, butyrate-treated PP, saline-treated MP, and butyrate-treated MP mice using the Chao1 index. Principal </w:t>
      </w:r>
      <w:r w:rsidRPr="006E431D">
        <w:rPr>
          <w:rFonts w:ascii="Arial" w:eastAsia="Arial" w:hAnsi="Arial" w:cs="Arial"/>
          <w:bCs/>
          <w:iCs/>
          <w:sz w:val="24"/>
          <w:szCs w:val="24"/>
        </w:rPr>
        <w:t>coordinate analysis (</w:t>
      </w:r>
      <w:proofErr w:type="spellStart"/>
      <w:r w:rsidRPr="006E431D">
        <w:rPr>
          <w:rFonts w:ascii="Arial" w:eastAsia="Arial" w:hAnsi="Arial" w:cs="Arial"/>
          <w:bCs/>
          <w:iCs/>
          <w:sz w:val="24"/>
          <w:szCs w:val="24"/>
        </w:rPr>
        <w:t>PCoA</w:t>
      </w:r>
      <w:proofErr w:type="spellEnd"/>
      <w:r w:rsidRPr="006E431D">
        <w:rPr>
          <w:rFonts w:ascii="Arial" w:eastAsia="Arial" w:hAnsi="Arial" w:cs="Arial"/>
          <w:bCs/>
          <w:iCs/>
          <w:sz w:val="24"/>
          <w:szCs w:val="24"/>
        </w:rPr>
        <w:t xml:space="preserve">) of the beta diversity of the fecal bacteria in </w:t>
      </w:r>
      <w:r>
        <w:rPr>
          <w:rFonts w:ascii="Arial" w:eastAsia="Arial" w:hAnsi="Arial" w:cs="Arial"/>
          <w:bCs/>
          <w:iCs/>
          <w:sz w:val="24"/>
          <w:szCs w:val="24"/>
        </w:rPr>
        <w:t xml:space="preserve">(B) saline-treated MP and butyrate-treated MP mice, (C) </w:t>
      </w:r>
      <w:r w:rsidRPr="006E431D">
        <w:rPr>
          <w:rFonts w:ascii="Arial" w:eastAsia="Arial" w:hAnsi="Arial" w:cs="Arial"/>
          <w:sz w:val="24"/>
          <w:szCs w:val="24"/>
        </w:rPr>
        <w:t>saline-treated PP</w:t>
      </w:r>
      <w:r>
        <w:rPr>
          <w:rFonts w:ascii="Arial" w:eastAsia="Arial" w:hAnsi="Arial" w:cs="Arial"/>
          <w:sz w:val="24"/>
          <w:szCs w:val="24"/>
        </w:rPr>
        <w:t xml:space="preserve"> and butyrate-treated MP mice</w:t>
      </w:r>
      <w:r w:rsidRPr="006E431D">
        <w:rPr>
          <w:rFonts w:ascii="Arial" w:eastAsia="Arial" w:hAnsi="Arial" w:cs="Arial"/>
          <w:sz w:val="24"/>
          <w:szCs w:val="24"/>
        </w:rPr>
        <w:t>,</w:t>
      </w:r>
      <w:r>
        <w:rPr>
          <w:rFonts w:ascii="Arial" w:eastAsia="Arial" w:hAnsi="Arial" w:cs="Arial"/>
          <w:sz w:val="24"/>
          <w:szCs w:val="24"/>
        </w:rPr>
        <w:t xml:space="preserve"> and (D)</w:t>
      </w:r>
      <w:r w:rsidRPr="006E431D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saline-treated PP and </w:t>
      </w:r>
      <w:r w:rsidRPr="006E431D">
        <w:rPr>
          <w:rFonts w:ascii="Arial" w:eastAsia="Arial" w:hAnsi="Arial" w:cs="Arial"/>
          <w:sz w:val="24"/>
          <w:szCs w:val="24"/>
        </w:rPr>
        <w:t>butyrate-treated PP</w:t>
      </w:r>
      <w:r>
        <w:rPr>
          <w:rFonts w:ascii="Arial" w:eastAsia="Arial" w:hAnsi="Arial" w:cs="Arial"/>
          <w:sz w:val="24"/>
          <w:szCs w:val="24"/>
        </w:rPr>
        <w:t xml:space="preserve"> mice</w:t>
      </w:r>
      <w:r w:rsidRPr="006E431D">
        <w:rPr>
          <w:rFonts w:ascii="Arial" w:eastAsia="Arial" w:hAnsi="Arial" w:cs="Arial"/>
          <w:bCs/>
          <w:iCs/>
          <w:sz w:val="24"/>
          <w:szCs w:val="24"/>
        </w:rPr>
        <w:t xml:space="preserve"> was measured with the Bray-Curtis Index. </w:t>
      </w:r>
      <w:r w:rsidRPr="006E431D">
        <w:rPr>
          <w:rFonts w:ascii="Arial" w:eastAsia="Arial" w:hAnsi="Arial" w:cs="Arial"/>
          <w:sz w:val="24"/>
          <w:szCs w:val="24"/>
        </w:rPr>
        <w:t xml:space="preserve">Data in A was analyzed by two-way ANOVA and Tukey’s multiple comparisons test was used for </w:t>
      </w:r>
      <w:r w:rsidRPr="006E431D">
        <w:rPr>
          <w:rFonts w:ascii="Arial" w:eastAsia="Arial" w:hAnsi="Arial" w:cs="Arial"/>
          <w:i/>
          <w:sz w:val="24"/>
          <w:szCs w:val="24"/>
        </w:rPr>
        <w:t>post hoc</w:t>
      </w:r>
      <w:r w:rsidRPr="006E431D">
        <w:rPr>
          <w:rFonts w:ascii="Arial" w:eastAsia="Arial" w:hAnsi="Arial" w:cs="Arial"/>
          <w:sz w:val="24"/>
          <w:szCs w:val="24"/>
        </w:rPr>
        <w:t xml:space="preserve"> analysis. P values for relevant interactions have been indicated. Data in A are mean ± SEM, and scatter represents data from individual mice. Sample sizes in A and B are 5 mice per group.</w:t>
      </w:r>
      <w:r w:rsidRPr="006E431D">
        <w:rPr>
          <w:rFonts w:ascii="Arial" w:eastAsia="Arial" w:hAnsi="Arial" w:cs="Arial"/>
          <w:bCs/>
          <w:iCs/>
          <w:sz w:val="24"/>
          <w:szCs w:val="24"/>
        </w:rPr>
        <w:t xml:space="preserve"> </w:t>
      </w:r>
      <w:r w:rsidRPr="00CE5568">
        <w:rPr>
          <w:rFonts w:ascii="Arial" w:eastAsia="Arial" w:hAnsi="Arial" w:cs="Arial"/>
          <w:bCs/>
          <w:iCs/>
          <w:sz w:val="24"/>
          <w:szCs w:val="24"/>
        </w:rPr>
        <w:t>The data for saline-treated PP and saline-treated MP mice was reused from Figures 1A and 1B.</w:t>
      </w:r>
    </w:p>
    <w:p w:rsidR="002B1498" w:rsidRDefault="002B1498" w:rsidP="002B1498"/>
    <w:p w:rsidR="002B1498" w:rsidRDefault="002B1498" w:rsidP="002B1498"/>
    <w:p w:rsidR="002B1498" w:rsidRDefault="002B1498" w:rsidP="002B1498"/>
    <w:p w:rsidR="002B1498" w:rsidRPr="006E431D" w:rsidRDefault="002B1498" w:rsidP="002B1498">
      <w:pPr>
        <w:spacing w:after="0" w:line="360" w:lineRule="auto"/>
        <w:rPr>
          <w:rFonts w:ascii="Arial" w:eastAsia="Arial" w:hAnsi="Arial" w:cs="Arial"/>
          <w:b/>
          <w:bCs/>
          <w:sz w:val="24"/>
          <w:szCs w:val="24"/>
        </w:rPr>
      </w:pPr>
      <w:r w:rsidRPr="006E431D">
        <w:rPr>
          <w:rFonts w:ascii="Arial" w:eastAsia="Arial" w:hAnsi="Arial" w:cs="Arial"/>
          <w:b/>
          <w:bCs/>
          <w:sz w:val="24"/>
          <w:szCs w:val="24"/>
        </w:rPr>
        <w:lastRenderedPageBreak/>
        <w:t>Table S1. PERMANOVA Analysis of the beta diversity of the fecal bacteria.</w:t>
      </w:r>
    </w:p>
    <w:p w:rsidR="002B1498" w:rsidRPr="006E431D" w:rsidRDefault="002B1498" w:rsidP="002B1498">
      <w:pPr>
        <w:spacing w:after="0" w:line="360" w:lineRule="auto"/>
        <w:rPr>
          <w:rFonts w:ascii="Arial" w:eastAsia="Arial" w:hAnsi="Arial" w:cs="Arial"/>
          <w:b/>
          <w:bCs/>
          <w:sz w:val="24"/>
          <w:szCs w:val="24"/>
        </w:rPr>
      </w:pPr>
    </w:p>
    <w:tbl>
      <w:tblPr>
        <w:tblStyle w:val="GridTable5Dark-Accent31"/>
        <w:tblW w:w="0" w:type="auto"/>
        <w:tblInd w:w="0" w:type="dxa"/>
        <w:tblLook w:val="04A0" w:firstRow="1" w:lastRow="0" w:firstColumn="1" w:lastColumn="0" w:noHBand="0" w:noVBand="1"/>
      </w:tblPr>
      <w:tblGrid>
        <w:gridCol w:w="3955"/>
        <w:gridCol w:w="2758"/>
        <w:gridCol w:w="1742"/>
      </w:tblGrid>
      <w:tr w:rsidR="002B1498" w:rsidRPr="006E431D" w:rsidTr="004168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bottom w:val="single" w:sz="4" w:space="0" w:color="FFFFFF"/>
            </w:tcBorders>
            <w:hideMark/>
          </w:tcPr>
          <w:p w:rsidR="002B1498" w:rsidRPr="006E431D" w:rsidRDefault="002B1498" w:rsidP="004168CF">
            <w:pPr>
              <w:spacing w:line="360" w:lineRule="auto"/>
              <w:jc w:val="center"/>
              <w:rPr>
                <w:color w:val="000000"/>
              </w:rPr>
            </w:pPr>
            <w:r w:rsidRPr="006E431D">
              <w:rPr>
                <w:color w:val="000000"/>
              </w:rPr>
              <w:t>Group Comparisons</w:t>
            </w:r>
          </w:p>
        </w:tc>
        <w:tc>
          <w:tcPr>
            <w:tcW w:w="2758" w:type="dxa"/>
            <w:tcBorders>
              <w:bottom w:val="single" w:sz="4" w:space="0" w:color="FFFFFF"/>
            </w:tcBorders>
            <w:hideMark/>
          </w:tcPr>
          <w:p w:rsidR="002B1498" w:rsidRPr="006E431D" w:rsidRDefault="002B1498" w:rsidP="004168C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6E431D">
              <w:rPr>
                <w:color w:val="000000"/>
              </w:rPr>
              <w:t>F-Statistic</w:t>
            </w:r>
          </w:p>
        </w:tc>
        <w:tc>
          <w:tcPr>
            <w:tcW w:w="1742" w:type="dxa"/>
            <w:tcBorders>
              <w:bottom w:val="single" w:sz="4" w:space="0" w:color="FFFFFF"/>
            </w:tcBorders>
            <w:hideMark/>
          </w:tcPr>
          <w:p w:rsidR="002B1498" w:rsidRPr="006E431D" w:rsidRDefault="002B1498" w:rsidP="004168CF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6E431D">
              <w:rPr>
                <w:color w:val="000000"/>
              </w:rPr>
              <w:t>P-Value</w:t>
            </w:r>
          </w:p>
        </w:tc>
      </w:tr>
      <w:tr w:rsidR="002B1498" w:rsidRPr="006E431D" w:rsidTr="00416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2B1498" w:rsidRPr="006E431D" w:rsidRDefault="002B1498" w:rsidP="004168CF">
            <w:pPr>
              <w:spacing w:line="360" w:lineRule="auto"/>
              <w:rPr>
                <w:color w:val="000000"/>
              </w:rPr>
            </w:pPr>
            <w:r w:rsidRPr="006E431D">
              <w:rPr>
                <w:color w:val="000000"/>
              </w:rPr>
              <w:t>PP + Saline vs. PP + Butyrate</w:t>
            </w:r>
          </w:p>
        </w:tc>
        <w:tc>
          <w:tcPr>
            <w:tcW w:w="27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B1498" w:rsidRPr="006E431D" w:rsidRDefault="002B1498" w:rsidP="004168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2.015</w:t>
            </w:r>
          </w:p>
        </w:tc>
        <w:tc>
          <w:tcPr>
            <w:tcW w:w="17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B1498" w:rsidRPr="006E431D" w:rsidRDefault="002B1498" w:rsidP="004168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0.147</w:t>
            </w:r>
          </w:p>
        </w:tc>
      </w:tr>
      <w:tr w:rsidR="002B1498" w:rsidRPr="006E431D" w:rsidTr="00416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2B1498" w:rsidRPr="006E431D" w:rsidRDefault="002B1498" w:rsidP="004168CF">
            <w:pPr>
              <w:spacing w:line="360" w:lineRule="auto"/>
              <w:rPr>
                <w:color w:val="000000"/>
              </w:rPr>
            </w:pPr>
            <w:r w:rsidRPr="006E431D">
              <w:rPr>
                <w:color w:val="000000"/>
              </w:rPr>
              <w:t>PP + Saline vs. MP + Saline</w:t>
            </w:r>
          </w:p>
        </w:tc>
        <w:tc>
          <w:tcPr>
            <w:tcW w:w="27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B1498" w:rsidRPr="006E431D" w:rsidRDefault="002B1498" w:rsidP="004168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3.137</w:t>
            </w:r>
          </w:p>
        </w:tc>
        <w:tc>
          <w:tcPr>
            <w:tcW w:w="17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B1498" w:rsidRPr="006E431D" w:rsidRDefault="002B1498" w:rsidP="004168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0.008</w:t>
            </w:r>
          </w:p>
        </w:tc>
      </w:tr>
      <w:tr w:rsidR="002B1498" w:rsidRPr="006E431D" w:rsidTr="00416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2B1498" w:rsidRPr="006E431D" w:rsidRDefault="002B1498" w:rsidP="004168CF">
            <w:pPr>
              <w:spacing w:line="360" w:lineRule="auto"/>
              <w:rPr>
                <w:color w:val="000000"/>
              </w:rPr>
            </w:pPr>
            <w:r w:rsidRPr="006E431D">
              <w:rPr>
                <w:color w:val="000000"/>
              </w:rPr>
              <w:t>PP + Saline vs. MP + Butyrate</w:t>
            </w:r>
          </w:p>
        </w:tc>
        <w:tc>
          <w:tcPr>
            <w:tcW w:w="27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B1498" w:rsidRPr="006E431D" w:rsidRDefault="002B1498" w:rsidP="004168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2.896</w:t>
            </w:r>
          </w:p>
        </w:tc>
        <w:tc>
          <w:tcPr>
            <w:tcW w:w="17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B1498" w:rsidRPr="006E431D" w:rsidRDefault="002B1498" w:rsidP="004168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0.015</w:t>
            </w:r>
          </w:p>
        </w:tc>
      </w:tr>
      <w:tr w:rsidR="002B1498" w:rsidRPr="006E431D" w:rsidTr="00416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2B1498" w:rsidRPr="006E431D" w:rsidRDefault="002B1498" w:rsidP="004168CF">
            <w:pPr>
              <w:spacing w:line="360" w:lineRule="auto"/>
              <w:rPr>
                <w:color w:val="000000"/>
              </w:rPr>
            </w:pPr>
            <w:r w:rsidRPr="006E431D">
              <w:rPr>
                <w:color w:val="000000"/>
              </w:rPr>
              <w:t>PP + Butyrate vs. MP + Saline</w:t>
            </w:r>
          </w:p>
        </w:tc>
        <w:tc>
          <w:tcPr>
            <w:tcW w:w="27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B1498" w:rsidRPr="006E431D" w:rsidRDefault="002B1498" w:rsidP="004168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3.454</w:t>
            </w:r>
          </w:p>
        </w:tc>
        <w:tc>
          <w:tcPr>
            <w:tcW w:w="17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B1498" w:rsidRPr="006E431D" w:rsidRDefault="002B1498" w:rsidP="004168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0.012</w:t>
            </w:r>
          </w:p>
        </w:tc>
      </w:tr>
      <w:tr w:rsidR="002B1498" w:rsidRPr="006E431D" w:rsidTr="00416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top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2B1498" w:rsidRPr="006E431D" w:rsidRDefault="002B1498" w:rsidP="004168CF">
            <w:pPr>
              <w:spacing w:line="360" w:lineRule="auto"/>
              <w:rPr>
                <w:color w:val="000000"/>
              </w:rPr>
            </w:pPr>
            <w:r w:rsidRPr="006E431D">
              <w:rPr>
                <w:color w:val="000000"/>
              </w:rPr>
              <w:t>PP + Butyrate vs. MP + Butyrate</w:t>
            </w:r>
          </w:p>
        </w:tc>
        <w:tc>
          <w:tcPr>
            <w:tcW w:w="27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B1498" w:rsidRPr="006E431D" w:rsidRDefault="002B1498" w:rsidP="004168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2.799</w:t>
            </w:r>
          </w:p>
        </w:tc>
        <w:tc>
          <w:tcPr>
            <w:tcW w:w="17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B1498" w:rsidRPr="006E431D" w:rsidRDefault="002B1498" w:rsidP="004168CF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0.014</w:t>
            </w:r>
          </w:p>
        </w:tc>
      </w:tr>
      <w:tr w:rsidR="002B1498" w:rsidRPr="006E431D" w:rsidTr="00416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5" w:type="dxa"/>
            <w:tcBorders>
              <w:top w:val="single" w:sz="4" w:space="0" w:color="FFFFFF"/>
              <w:right w:val="single" w:sz="4" w:space="0" w:color="FFFFFF"/>
            </w:tcBorders>
            <w:hideMark/>
          </w:tcPr>
          <w:p w:rsidR="002B1498" w:rsidRPr="006E431D" w:rsidRDefault="002B1498" w:rsidP="004168CF">
            <w:pPr>
              <w:spacing w:line="360" w:lineRule="auto"/>
              <w:rPr>
                <w:color w:val="000000"/>
              </w:rPr>
            </w:pPr>
            <w:r w:rsidRPr="006E431D">
              <w:rPr>
                <w:color w:val="000000"/>
              </w:rPr>
              <w:t>MP + Saline vs. MP + Butyrate</w:t>
            </w:r>
          </w:p>
        </w:tc>
        <w:tc>
          <w:tcPr>
            <w:tcW w:w="275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B1498" w:rsidRPr="006E431D" w:rsidRDefault="002B1498" w:rsidP="004168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1.966</w:t>
            </w:r>
          </w:p>
        </w:tc>
        <w:tc>
          <w:tcPr>
            <w:tcW w:w="1742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2B1498" w:rsidRPr="006E431D" w:rsidRDefault="002B1498" w:rsidP="004168CF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0.022</w:t>
            </w:r>
          </w:p>
        </w:tc>
      </w:tr>
    </w:tbl>
    <w:p w:rsidR="002B1498" w:rsidRDefault="002B1498" w:rsidP="002B1498"/>
    <w:p w:rsidR="00E24847" w:rsidRDefault="00E24847">
      <w:bookmarkStart w:id="0" w:name="_GoBack"/>
      <w:bookmarkEnd w:id="0"/>
    </w:p>
    <w:sectPr w:rsidR="00E248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498"/>
    <w:rsid w:val="002B1498"/>
    <w:rsid w:val="00D71036"/>
    <w:rsid w:val="00E24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7F7EF8-A007-45FC-8F5D-CB7F81369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B14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5Dark-Accent31">
    <w:name w:val="Grid Table 5 Dark - Accent 31"/>
    <w:basedOn w:val="TableNormal"/>
    <w:next w:val="GridTable5Dark-Accent3"/>
    <w:uiPriority w:val="50"/>
    <w:rsid w:val="002B1498"/>
    <w:pPr>
      <w:spacing w:after="0" w:line="240" w:lineRule="auto"/>
    </w:pPr>
    <w:rPr>
      <w:rFonts w:ascii="Arial" w:eastAsia="Arial" w:hAnsi="Arial" w:cs="Arial"/>
      <w:sz w:val="24"/>
      <w:szCs w:val="24"/>
    </w:rPr>
    <w:tblPr>
      <w:tblStyleRowBandSize w:val="1"/>
      <w:tblStyleColBandSize w:val="1"/>
      <w:tblInd w:w="0" w:type="nil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DEDE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styleId="GridTable5Dark-Accent3">
    <w:name w:val="Grid Table 5 Dark Accent 3"/>
    <w:basedOn w:val="TableNormal"/>
    <w:uiPriority w:val="50"/>
    <w:rsid w:val="002B149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Virginia Commonwealth University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Hamid Akbarali</dc:creator>
  <cp:keywords/>
  <dc:description/>
  <cp:lastModifiedBy>Hamid Akbarali</cp:lastModifiedBy>
  <cp:revision>1</cp:revision>
  <dcterms:created xsi:type="dcterms:W3CDTF">2023-06-15T20:25:00Z</dcterms:created>
  <dcterms:modified xsi:type="dcterms:W3CDTF">2023-06-15T20:26:00Z</dcterms:modified>
</cp:coreProperties>
</file>