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784AF4" w:rsidRPr="00D70D43" w:rsidRDefault="0003068C">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r w:rsidRPr="00D70D43">
        <w:rPr>
          <w:rFonts w:ascii="Times New Roman" w:eastAsia="Times New Roman" w:hAnsi="Times New Roman" w:cs="Times New Roman"/>
          <w:b/>
          <w:color w:val="000000"/>
          <w:sz w:val="24"/>
          <w:szCs w:val="24"/>
        </w:rPr>
        <w:t>Supplementary Information of the manuscript</w:t>
      </w:r>
    </w:p>
    <w:p w14:paraId="00000002" w14:textId="77777777" w:rsidR="00784AF4" w:rsidRPr="00D70D43" w:rsidRDefault="00784AF4">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p>
    <w:p w14:paraId="09E66070" w14:textId="77777777" w:rsidR="00995CFF" w:rsidRPr="00995CFF" w:rsidRDefault="00995CFF" w:rsidP="00995CFF">
      <w:pPr>
        <w:spacing w:line="360" w:lineRule="auto"/>
        <w:rPr>
          <w:rFonts w:asciiTheme="majorBidi" w:hAnsiTheme="majorBidi" w:cstheme="majorBidi"/>
          <w:b/>
          <w:sz w:val="28"/>
          <w:szCs w:val="28"/>
        </w:rPr>
      </w:pPr>
      <w:bookmarkStart w:id="0" w:name="_Hlk137206612"/>
      <w:r w:rsidRPr="00995CFF">
        <w:rPr>
          <w:rFonts w:asciiTheme="majorBidi" w:hAnsiTheme="majorBidi" w:cstheme="majorBidi"/>
          <w:b/>
          <w:sz w:val="28"/>
          <w:szCs w:val="28"/>
        </w:rPr>
        <w:t>Earliest isotopic evidence of high reliance on plant food in the Late P</w:t>
      </w:r>
      <w:bookmarkStart w:id="1" w:name="_GoBack"/>
      <w:bookmarkEnd w:id="1"/>
      <w:r w:rsidRPr="00995CFF">
        <w:rPr>
          <w:rFonts w:asciiTheme="majorBidi" w:hAnsiTheme="majorBidi" w:cstheme="majorBidi"/>
          <w:b/>
          <w:sz w:val="28"/>
          <w:szCs w:val="28"/>
        </w:rPr>
        <w:t>leistocene hunter-gatherer population (Taforalt, Morocco)</w:t>
      </w:r>
    </w:p>
    <w:bookmarkEnd w:id="0"/>
    <w:p w14:paraId="00000004" w14:textId="77777777" w:rsidR="00784AF4" w:rsidRPr="00D70D43" w:rsidRDefault="00784AF4">
      <w:pPr>
        <w:rPr>
          <w:rFonts w:ascii="Times New Roman" w:eastAsia="Times New Roman" w:hAnsi="Times New Roman" w:cs="Times New Roman"/>
          <w:b/>
          <w:sz w:val="24"/>
          <w:szCs w:val="24"/>
        </w:rPr>
      </w:pPr>
    </w:p>
    <w:p w14:paraId="00000005" w14:textId="77777777" w:rsidR="00784AF4" w:rsidRPr="00D70D43" w:rsidRDefault="00784AF4">
      <w:pPr>
        <w:rPr>
          <w:rFonts w:ascii="Times New Roman" w:eastAsia="Times New Roman" w:hAnsi="Times New Roman" w:cs="Times New Roman"/>
          <w:b/>
          <w:sz w:val="24"/>
          <w:szCs w:val="24"/>
        </w:rPr>
      </w:pPr>
    </w:p>
    <w:p w14:paraId="00000007" w14:textId="77777777" w:rsidR="00784AF4" w:rsidRPr="0064579A" w:rsidRDefault="00784AF4">
      <w:pPr>
        <w:rPr>
          <w:rFonts w:ascii="Times New Roman" w:eastAsia="Times New Roman" w:hAnsi="Times New Roman" w:cs="Times New Roman"/>
          <w:b/>
          <w:sz w:val="24"/>
          <w:szCs w:val="24"/>
        </w:rPr>
      </w:pPr>
    </w:p>
    <w:p w14:paraId="00000008" w14:textId="77777777" w:rsidR="00784AF4" w:rsidRPr="0064579A" w:rsidRDefault="00784AF4">
      <w:pPr>
        <w:rPr>
          <w:rFonts w:ascii="Times New Roman" w:eastAsia="Times New Roman" w:hAnsi="Times New Roman" w:cs="Times New Roman"/>
          <w:b/>
          <w:sz w:val="24"/>
          <w:szCs w:val="24"/>
        </w:rPr>
      </w:pPr>
    </w:p>
    <w:p w14:paraId="00000009" w14:textId="77777777" w:rsidR="00784AF4" w:rsidRPr="00D70D43" w:rsidRDefault="0003068C">
      <w:pP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Supplementary Information 1: Archeological context</w:t>
      </w:r>
    </w:p>
    <w:p w14:paraId="0000000A" w14:textId="77777777" w:rsidR="00784AF4" w:rsidRPr="00D70D43" w:rsidRDefault="0003068C">
      <w:pP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Supplementary Information 2: Details on isotope proxies used in this study</w:t>
      </w:r>
    </w:p>
    <w:p w14:paraId="0000000B" w14:textId="77777777" w:rsidR="00784AF4" w:rsidRPr="00D70D43" w:rsidRDefault="0003068C">
      <w:pP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Supplementary Information 3: Material and Methods</w:t>
      </w:r>
    </w:p>
    <w:p w14:paraId="0000000C" w14:textId="3C876B88" w:rsidR="00784AF4" w:rsidRDefault="0003068C">
      <w:pP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Supplementary Information 4: Results</w:t>
      </w:r>
    </w:p>
    <w:p w14:paraId="32351D8B" w14:textId="6E43195D" w:rsidR="0020388D" w:rsidRPr="00D70D43" w:rsidRDefault="0020388D">
      <w:pP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 xml:space="preserve">Supplementary Information </w:t>
      </w:r>
      <w:r>
        <w:rPr>
          <w:rFonts w:ascii="Times New Roman" w:eastAsia="Times New Roman" w:hAnsi="Times New Roman" w:cs="Times New Roman"/>
          <w:b/>
          <w:sz w:val="24"/>
          <w:szCs w:val="24"/>
        </w:rPr>
        <w:t>5</w:t>
      </w:r>
      <w:r w:rsidRPr="00D70D43">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Additional discussion</w:t>
      </w:r>
    </w:p>
    <w:p w14:paraId="26B574D0" w14:textId="36A4AF24" w:rsidR="001925CC" w:rsidRDefault="0003068C">
      <w:pP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 xml:space="preserve">Supplementary Information </w:t>
      </w:r>
      <w:r w:rsidR="0020388D">
        <w:rPr>
          <w:rFonts w:ascii="Times New Roman" w:eastAsia="Times New Roman" w:hAnsi="Times New Roman" w:cs="Times New Roman"/>
          <w:b/>
          <w:sz w:val="24"/>
          <w:szCs w:val="24"/>
        </w:rPr>
        <w:t>6</w:t>
      </w:r>
      <w:r w:rsidRPr="00D70D43">
        <w:rPr>
          <w:rFonts w:ascii="Times New Roman" w:eastAsia="Times New Roman" w:hAnsi="Times New Roman" w:cs="Times New Roman"/>
          <w:b/>
          <w:sz w:val="24"/>
          <w:szCs w:val="24"/>
        </w:rPr>
        <w:t>: Supplementary figures and tables</w:t>
      </w:r>
    </w:p>
    <w:p w14:paraId="639B9F5A" w14:textId="5961F7EC" w:rsidR="00F92C01" w:rsidRDefault="00012ABC" w:rsidP="00F92C0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Information </w:t>
      </w:r>
      <w:r w:rsidR="0020388D">
        <w:rPr>
          <w:rFonts w:ascii="Times New Roman" w:eastAsia="Times New Roman" w:hAnsi="Times New Roman" w:cs="Times New Roman"/>
          <w:b/>
          <w:sz w:val="24"/>
          <w:szCs w:val="24"/>
        </w:rPr>
        <w:t>7</w:t>
      </w:r>
      <w:r w:rsidR="00F92C01">
        <w:rPr>
          <w:rFonts w:ascii="Times New Roman" w:eastAsia="Times New Roman" w:hAnsi="Times New Roman" w:cs="Times New Roman"/>
          <w:b/>
          <w:sz w:val="24"/>
          <w:szCs w:val="24"/>
        </w:rPr>
        <w:t>: 3D models of the human teeth and sampling strategy</w:t>
      </w:r>
    </w:p>
    <w:p w14:paraId="501D6A14" w14:textId="63739157" w:rsidR="00012ABC" w:rsidRPr="00D70D43" w:rsidRDefault="00012ABC" w:rsidP="00F92C01">
      <w:pPr>
        <w:rPr>
          <w:rFonts w:ascii="Times New Roman" w:eastAsia="Times New Roman" w:hAnsi="Times New Roman" w:cs="Times New Roman"/>
          <w:b/>
          <w:sz w:val="24"/>
          <w:szCs w:val="24"/>
        </w:rPr>
      </w:pPr>
    </w:p>
    <w:p w14:paraId="00000010" w14:textId="77777777" w:rsidR="00784AF4" w:rsidRPr="00D70D43" w:rsidRDefault="0003068C">
      <w:pPr>
        <w:rPr>
          <w:rFonts w:ascii="Times New Roman" w:eastAsia="Times New Roman" w:hAnsi="Times New Roman" w:cs="Times New Roman"/>
          <w:b/>
          <w:color w:val="000000"/>
          <w:sz w:val="24"/>
          <w:szCs w:val="24"/>
        </w:rPr>
      </w:pPr>
      <w:r w:rsidRPr="00D70D43">
        <w:rPr>
          <w:rFonts w:ascii="Times New Roman" w:hAnsi="Times New Roman" w:cs="Times New Roman"/>
          <w:sz w:val="24"/>
          <w:szCs w:val="24"/>
        </w:rPr>
        <w:br w:type="page"/>
      </w:r>
    </w:p>
    <w:p w14:paraId="00000011" w14:textId="77777777" w:rsidR="00784AF4" w:rsidRPr="00D70D43" w:rsidRDefault="0003068C">
      <w:pPr>
        <w:rPr>
          <w:rFonts w:ascii="Times New Roman" w:eastAsia="Times New Roman" w:hAnsi="Times New Roman" w:cs="Times New Roman"/>
          <w:b/>
          <w:color w:val="000000"/>
          <w:sz w:val="24"/>
          <w:szCs w:val="24"/>
        </w:rPr>
      </w:pPr>
      <w:r w:rsidRPr="00D70D43">
        <w:rPr>
          <w:rFonts w:ascii="Times New Roman" w:eastAsia="Times New Roman" w:hAnsi="Times New Roman" w:cs="Times New Roman"/>
          <w:b/>
          <w:color w:val="000000"/>
          <w:sz w:val="24"/>
          <w:szCs w:val="24"/>
        </w:rPr>
        <w:lastRenderedPageBreak/>
        <w:t>Supplementary Information 1: Archeological context</w:t>
      </w:r>
    </w:p>
    <w:p w14:paraId="00000012" w14:textId="77777777" w:rsidR="00784AF4" w:rsidRPr="00D70D43" w:rsidRDefault="00784AF4">
      <w:pPr>
        <w:rPr>
          <w:rFonts w:ascii="Times New Roman" w:hAnsi="Times New Roman" w:cs="Times New Roman"/>
          <w:sz w:val="24"/>
          <w:szCs w:val="24"/>
        </w:rPr>
      </w:pPr>
    </w:p>
    <w:p w14:paraId="00000013" w14:textId="4651AF31" w:rsidR="00784AF4" w:rsidRPr="00225500" w:rsidRDefault="0003068C" w:rsidP="00225500">
      <w:pPr>
        <w:pStyle w:val="Paragraphedeliste"/>
        <w:numPr>
          <w:ilvl w:val="1"/>
          <w:numId w:val="3"/>
        </w:numPr>
        <w:rPr>
          <w:rFonts w:ascii="Times New Roman" w:eastAsia="Times New Roman" w:hAnsi="Times New Roman" w:cs="Times New Roman"/>
          <w:b/>
          <w:i/>
          <w:sz w:val="24"/>
          <w:szCs w:val="24"/>
        </w:rPr>
      </w:pPr>
      <w:r w:rsidRPr="00225500">
        <w:rPr>
          <w:rFonts w:ascii="Times New Roman" w:eastAsia="Times New Roman" w:hAnsi="Times New Roman" w:cs="Times New Roman"/>
          <w:b/>
          <w:i/>
          <w:sz w:val="24"/>
          <w:szCs w:val="24"/>
        </w:rPr>
        <w:t>The site of Taforalt “</w:t>
      </w:r>
      <w:proofErr w:type="spellStart"/>
      <w:r w:rsidRPr="00225500">
        <w:rPr>
          <w:rFonts w:ascii="Times New Roman" w:eastAsia="Times New Roman" w:hAnsi="Times New Roman" w:cs="Times New Roman"/>
          <w:b/>
          <w:i/>
          <w:sz w:val="24"/>
          <w:szCs w:val="24"/>
        </w:rPr>
        <w:t>Grotte</w:t>
      </w:r>
      <w:proofErr w:type="spellEnd"/>
      <w:r w:rsidRPr="00225500">
        <w:rPr>
          <w:rFonts w:ascii="Times New Roman" w:eastAsia="Times New Roman" w:hAnsi="Times New Roman" w:cs="Times New Roman"/>
          <w:b/>
          <w:i/>
          <w:sz w:val="24"/>
          <w:szCs w:val="24"/>
        </w:rPr>
        <w:t xml:space="preserve"> des Pigeons”</w:t>
      </w:r>
    </w:p>
    <w:p w14:paraId="077E8A31" w14:textId="784BC5F5" w:rsidR="0031719A" w:rsidRPr="003C7995" w:rsidRDefault="0003068C" w:rsidP="00AC13BC">
      <w:pPr>
        <w:pBdr>
          <w:top w:val="nil"/>
          <w:left w:val="nil"/>
          <w:bottom w:val="nil"/>
          <w:right w:val="nil"/>
          <w:between w:val="nil"/>
        </w:pBdr>
        <w:spacing w:before="240" w:after="240" w:line="360" w:lineRule="auto"/>
        <w:ind w:firstLine="360"/>
        <w:jc w:val="both"/>
        <w:rPr>
          <w:rFonts w:ascii="Times New Roman" w:eastAsia="Times New Roman" w:hAnsi="Times New Roman" w:cs="Times New Roman"/>
          <w:color w:val="000000"/>
          <w:sz w:val="24"/>
          <w:szCs w:val="24"/>
        </w:rPr>
      </w:pPr>
      <w:r w:rsidRPr="003C7995">
        <w:rPr>
          <w:rFonts w:ascii="Times New Roman" w:eastAsia="Times New Roman" w:hAnsi="Times New Roman" w:cs="Times New Roman"/>
          <w:color w:val="000000"/>
          <w:sz w:val="24"/>
          <w:szCs w:val="24"/>
        </w:rPr>
        <w:t xml:space="preserve">The site of Taforalt (also known as La </w:t>
      </w:r>
      <w:proofErr w:type="spellStart"/>
      <w:r w:rsidRPr="003C7995">
        <w:rPr>
          <w:rFonts w:ascii="Times New Roman" w:eastAsia="Times New Roman" w:hAnsi="Times New Roman" w:cs="Times New Roman"/>
          <w:color w:val="000000"/>
          <w:sz w:val="24"/>
          <w:szCs w:val="24"/>
        </w:rPr>
        <w:t>Grotte</w:t>
      </w:r>
      <w:proofErr w:type="spellEnd"/>
      <w:r w:rsidRPr="003C7995">
        <w:rPr>
          <w:rFonts w:ascii="Times New Roman" w:eastAsia="Times New Roman" w:hAnsi="Times New Roman" w:cs="Times New Roman"/>
          <w:color w:val="000000"/>
          <w:sz w:val="24"/>
          <w:szCs w:val="24"/>
        </w:rPr>
        <w:t xml:space="preserve"> des Pigeons) is located in eastern Morocco (34° 48’ 38” N, 2° 24’ 30” W) and more precisely 500 m distant from the village from which it takes the name. The site is approximately 40 km inland from the Mediterranean Sea and at an altitude of 750 m above sea level.</w:t>
      </w:r>
      <w:r w:rsidR="008B4920">
        <w:rPr>
          <w:rFonts w:ascii="Times New Roman" w:eastAsia="Times New Roman" w:hAnsi="Times New Roman" w:cs="Times New Roman"/>
          <w:color w:val="000000"/>
          <w:sz w:val="24"/>
          <w:szCs w:val="24"/>
        </w:rPr>
        <w:t xml:space="preserve"> </w:t>
      </w:r>
      <w:r w:rsidRPr="003C7995">
        <w:rPr>
          <w:rFonts w:ascii="Times New Roman" w:eastAsia="Times New Roman" w:hAnsi="Times New Roman" w:cs="Times New Roman"/>
          <w:color w:val="000000"/>
          <w:sz w:val="24"/>
          <w:szCs w:val="24"/>
        </w:rPr>
        <w:t xml:space="preserve">The cave has a form of a large dolomite limestone cavity formed in the Beni </w:t>
      </w:r>
      <w:proofErr w:type="spellStart"/>
      <w:r w:rsidRPr="003C7995">
        <w:rPr>
          <w:rFonts w:ascii="Times New Roman" w:eastAsia="Times New Roman" w:hAnsi="Times New Roman" w:cs="Times New Roman"/>
          <w:color w:val="000000"/>
          <w:sz w:val="24"/>
          <w:szCs w:val="24"/>
        </w:rPr>
        <w:t>Snassen</w:t>
      </w:r>
      <w:proofErr w:type="spellEnd"/>
      <w:r w:rsidRPr="003C7995">
        <w:rPr>
          <w:rFonts w:ascii="Times New Roman" w:eastAsia="Times New Roman" w:hAnsi="Times New Roman" w:cs="Times New Roman"/>
          <w:color w:val="000000"/>
          <w:sz w:val="24"/>
          <w:szCs w:val="24"/>
        </w:rPr>
        <w:t xml:space="preserve"> Mountains and </w:t>
      </w:r>
      <w:r w:rsidR="00E02D6F">
        <w:rPr>
          <w:rFonts w:ascii="Times New Roman" w:eastAsia="Times New Roman" w:hAnsi="Times New Roman" w:cs="Times New Roman"/>
          <w:color w:val="000000"/>
          <w:sz w:val="24"/>
          <w:szCs w:val="24"/>
        </w:rPr>
        <w:t>opens</w:t>
      </w:r>
      <w:r w:rsidRPr="003C7995">
        <w:rPr>
          <w:rFonts w:ascii="Times New Roman" w:eastAsia="Times New Roman" w:hAnsi="Times New Roman" w:cs="Times New Roman"/>
          <w:color w:val="000000"/>
          <w:sz w:val="24"/>
          <w:szCs w:val="24"/>
        </w:rPr>
        <w:t xml:space="preserve"> to Northeastern with 30 m in width and 15 m in length. </w:t>
      </w:r>
    </w:p>
    <w:p w14:paraId="23E2B7B2" w14:textId="406993D6" w:rsidR="00335C15" w:rsidRPr="00AC13BC" w:rsidRDefault="00335C15" w:rsidP="00AC13BC">
      <w:pPr>
        <w:pStyle w:val="NormalWeb"/>
        <w:spacing w:before="0" w:beforeAutospacing="0" w:after="200" w:afterAutospacing="0" w:line="360" w:lineRule="auto"/>
        <w:ind w:firstLine="360"/>
        <w:jc w:val="both"/>
        <w:rPr>
          <w:color w:val="000000"/>
          <w:lang w:val="en-US"/>
        </w:rPr>
      </w:pPr>
      <w:r w:rsidRPr="003C7995">
        <w:rPr>
          <w:color w:val="000000"/>
          <w:lang w:val="en-US"/>
        </w:rPr>
        <w:t xml:space="preserve">The site was first discovered by Dr. </w:t>
      </w:r>
      <w:proofErr w:type="spellStart"/>
      <w:r w:rsidRPr="003C7995">
        <w:rPr>
          <w:color w:val="000000"/>
          <w:lang w:val="en-US"/>
        </w:rPr>
        <w:t>Pinchon</w:t>
      </w:r>
      <w:proofErr w:type="spellEnd"/>
      <w:r w:rsidRPr="003C7995">
        <w:rPr>
          <w:color w:val="000000"/>
          <w:lang w:val="en-US"/>
        </w:rPr>
        <w:t xml:space="preserve"> in 1908, since then the cave was </w:t>
      </w:r>
      <w:r w:rsidR="00002710" w:rsidRPr="003C7995">
        <w:rPr>
          <w:color w:val="000000"/>
          <w:lang w:val="en-US"/>
        </w:rPr>
        <w:t xml:space="preserve">the subject </w:t>
      </w:r>
      <w:r w:rsidRPr="003C7995">
        <w:rPr>
          <w:color w:val="000000"/>
          <w:lang w:val="en-US"/>
        </w:rPr>
        <w:t xml:space="preserve">of several </w:t>
      </w:r>
      <w:r w:rsidR="00E02D6F">
        <w:rPr>
          <w:color w:val="000000"/>
          <w:lang w:val="en-US"/>
        </w:rPr>
        <w:t>excavations</w:t>
      </w:r>
      <w:r w:rsidRPr="003C7995">
        <w:rPr>
          <w:color w:val="000000"/>
          <w:lang w:val="en-US"/>
        </w:rPr>
        <w:t>.</w:t>
      </w:r>
      <w:r w:rsidR="008B4920">
        <w:rPr>
          <w:color w:val="000000"/>
          <w:lang w:val="en-US"/>
        </w:rPr>
        <w:t xml:space="preserve"> </w:t>
      </w:r>
      <w:r w:rsidRPr="003C7995">
        <w:rPr>
          <w:color w:val="000000"/>
          <w:lang w:val="en-US"/>
        </w:rPr>
        <w:t>The first excavations were initiated by Ruhlmann from 1944 to 1947 where he made two surveys:</w:t>
      </w:r>
      <w:r w:rsidR="008B4920">
        <w:rPr>
          <w:color w:val="000000"/>
          <w:lang w:val="en-US"/>
        </w:rPr>
        <w:t xml:space="preserve"> </w:t>
      </w:r>
      <w:r w:rsidRPr="003C7995">
        <w:rPr>
          <w:color w:val="000000"/>
          <w:lang w:val="en-US"/>
        </w:rPr>
        <w:t xml:space="preserve">in the central and the right lateral part of the cave and he reached the bottom of the fill inside the cavity. His works have provided insight </w:t>
      </w:r>
      <w:r w:rsidR="00E02D6F">
        <w:rPr>
          <w:color w:val="000000"/>
          <w:lang w:val="en-US"/>
        </w:rPr>
        <w:t>into</w:t>
      </w:r>
      <w:r w:rsidRPr="003C7995">
        <w:rPr>
          <w:color w:val="000000"/>
          <w:lang w:val="en-US"/>
        </w:rPr>
        <w:t xml:space="preserve"> the nature of the archeological deposits which span the Aterian (Middle Stone Age) and The Iberomaurusian (Later Stone Age) (Roche, 1976).</w:t>
      </w:r>
      <w:r w:rsidR="008B4920">
        <w:rPr>
          <w:color w:val="000000"/>
          <w:lang w:val="en-US"/>
        </w:rPr>
        <w:t xml:space="preserve"> </w:t>
      </w:r>
      <w:r w:rsidRPr="003C7995">
        <w:rPr>
          <w:color w:val="000000"/>
          <w:lang w:val="en-US"/>
        </w:rPr>
        <w:t>From 1950 to 1955 Roche carried out a systematic excavation of the cave on the ashy layers where he described them as an Iberomaurusian occupation.</w:t>
      </w:r>
      <w:r w:rsidR="008B4920">
        <w:rPr>
          <w:color w:val="000000"/>
          <w:lang w:val="en-US"/>
        </w:rPr>
        <w:t xml:space="preserve"> </w:t>
      </w:r>
      <w:r w:rsidRPr="003C7995">
        <w:rPr>
          <w:color w:val="000000"/>
          <w:lang w:val="en-US"/>
        </w:rPr>
        <w:t xml:space="preserve">During his campaign, he uncovered an extensive series of burials in the grey ashy deposits. This includes the two </w:t>
      </w:r>
      <w:r w:rsidR="00E02D6F">
        <w:rPr>
          <w:color w:val="000000"/>
          <w:lang w:val="en-US"/>
        </w:rPr>
        <w:t>burial</w:t>
      </w:r>
      <w:r w:rsidRPr="003C7995">
        <w:rPr>
          <w:color w:val="000000"/>
          <w:lang w:val="en-US"/>
        </w:rPr>
        <w:t xml:space="preserve"> areas (designated Necropolis I and II). Moreover, he recovered multiple human graves which were analyzed by </w:t>
      </w:r>
      <w:proofErr w:type="spellStart"/>
      <w:r w:rsidRPr="003C7995">
        <w:rPr>
          <w:color w:val="000000"/>
          <w:lang w:val="en-US"/>
        </w:rPr>
        <w:t>Ferembach</w:t>
      </w:r>
      <w:proofErr w:type="spellEnd"/>
      <w:r w:rsidR="00D23667">
        <w:rPr>
          <w:color w:val="000000"/>
          <w:lang w:val="en-US"/>
        </w:rPr>
        <w:t xml:space="preserve"> in 1962</w:t>
      </w:r>
      <w:r w:rsidRPr="003C7995">
        <w:rPr>
          <w:color w:val="000000"/>
          <w:lang w:val="en-US"/>
        </w:rPr>
        <w:t xml:space="preserve">. Further excavations were carried out from </w:t>
      </w:r>
      <w:r w:rsidRPr="00AC13BC">
        <w:rPr>
          <w:color w:val="000000"/>
          <w:lang w:val="en-US"/>
        </w:rPr>
        <w:t>1969 to 1979 to acquire detailed information about the archaeological and geological aspects</w:t>
      </w:r>
      <w:r w:rsidR="00D23667">
        <w:rPr>
          <w:color w:val="000000"/>
          <w:lang w:val="en-US"/>
        </w:rPr>
        <w:t xml:space="preserve"> </w:t>
      </w:r>
      <w:r w:rsidR="00D23667">
        <w:rPr>
          <w:color w:val="000000"/>
          <w:lang w:val="en-US"/>
        </w:rPr>
        <w:fldChar w:fldCharType="begin"/>
      </w:r>
      <w:r w:rsidR="009C1161">
        <w:rPr>
          <w:color w:val="000000"/>
          <w:lang w:val="en-US"/>
        </w:rPr>
        <w:instrText xml:space="preserve"> ADDIN ZOTERO_ITEM CSL_CITATION {"citationID":"t898XLiy","properties":{"formattedCitation":"\\super 1\\nosupersub{}","plainCitation":"1","noteIndex":0},"citationItems":[{"id":114,"uris":["http://zotero.org/users/7125028/items/Z5E44YNM"],"itemData":{"id":114,"type":"article-journal","container-title":"Monographien des RGZM","DOI":"10.11588/PROPYLAEUM.734","note":"publisher: University Library Heidelberg\nversion: 1","source":"DOI.org (Datacite)","title":"Cemeteries and Sedentism in the Later Stone Age of NW Africa: Excavations at Grotte des Pigeons, Taforalt, Morocco","title-short":"Cemeteries and Sedentism in the Later Stone Age of NW Africa","URL":"https://books.ub.uni-heidelberg.de/index.php/propylaeum/catalog/book/734","author":[{"family":"Barton","given":"R. Nicholas E."}],"accessed":{"date-parts":[["2021",7,23]]},"issued":{"date-parts":[["2020"]]}}}],"schema":"https://github.com/citation-style-language/schema/raw/master/csl-citation.json"} </w:instrText>
      </w:r>
      <w:r w:rsidR="00D23667">
        <w:rPr>
          <w:color w:val="000000"/>
          <w:lang w:val="en-US"/>
        </w:rPr>
        <w:fldChar w:fldCharType="separate"/>
      </w:r>
      <w:r w:rsidR="009C1161" w:rsidRPr="0064579A">
        <w:rPr>
          <w:vertAlign w:val="superscript"/>
          <w:lang w:val="en-US"/>
        </w:rPr>
        <w:t>1</w:t>
      </w:r>
      <w:r w:rsidR="00D23667">
        <w:rPr>
          <w:color w:val="000000"/>
          <w:lang w:val="en-US"/>
        </w:rPr>
        <w:fldChar w:fldCharType="end"/>
      </w:r>
      <w:r w:rsidRPr="00AC13BC">
        <w:rPr>
          <w:color w:val="000000"/>
          <w:lang w:val="en-US"/>
        </w:rPr>
        <w:t>.</w:t>
      </w:r>
    </w:p>
    <w:p w14:paraId="00000016" w14:textId="1D866532" w:rsidR="00784AF4" w:rsidRPr="00AC13BC" w:rsidRDefault="00335C15" w:rsidP="00AC13BC">
      <w:pPr>
        <w:pBdr>
          <w:top w:val="nil"/>
          <w:left w:val="nil"/>
          <w:bottom w:val="nil"/>
          <w:right w:val="nil"/>
          <w:between w:val="nil"/>
        </w:pBdr>
        <w:spacing w:before="240" w:after="240" w:line="360" w:lineRule="auto"/>
        <w:ind w:firstLine="360"/>
        <w:jc w:val="both"/>
        <w:rPr>
          <w:rFonts w:ascii="Times New Roman" w:eastAsia="Times New Roman" w:hAnsi="Times New Roman" w:cs="Times New Roman"/>
          <w:sz w:val="24"/>
          <w:szCs w:val="24"/>
        </w:rPr>
      </w:pPr>
      <w:r w:rsidRPr="00AC13BC">
        <w:rPr>
          <w:rFonts w:ascii="Times New Roman" w:hAnsi="Times New Roman" w:cs="Times New Roman"/>
          <w:color w:val="000000"/>
          <w:sz w:val="24"/>
          <w:szCs w:val="24"/>
          <w:lang w:eastAsia="en-US"/>
        </w:rPr>
        <w:t>From 2003 to 2017 a new work was conducted on the Iber</w:t>
      </w:r>
      <w:r w:rsidR="000552F1">
        <w:rPr>
          <w:rFonts w:ascii="Times New Roman" w:hAnsi="Times New Roman" w:cs="Times New Roman"/>
          <w:color w:val="000000"/>
          <w:sz w:val="24"/>
          <w:szCs w:val="24"/>
          <w:lang w:eastAsia="en-US"/>
        </w:rPr>
        <w:t>o</w:t>
      </w:r>
      <w:r w:rsidRPr="00AC13BC">
        <w:rPr>
          <w:rFonts w:ascii="Times New Roman" w:hAnsi="Times New Roman" w:cs="Times New Roman"/>
          <w:color w:val="000000"/>
          <w:sz w:val="24"/>
          <w:szCs w:val="24"/>
          <w:lang w:eastAsia="en-US"/>
        </w:rPr>
        <w:t>m</w:t>
      </w:r>
      <w:r w:rsidR="000552F1">
        <w:rPr>
          <w:rFonts w:ascii="Times New Roman" w:hAnsi="Times New Roman" w:cs="Times New Roman"/>
          <w:color w:val="000000"/>
          <w:sz w:val="24"/>
          <w:szCs w:val="24"/>
          <w:lang w:eastAsia="en-US"/>
        </w:rPr>
        <w:t>au</w:t>
      </w:r>
      <w:r w:rsidRPr="00AC13BC">
        <w:rPr>
          <w:rFonts w:ascii="Times New Roman" w:hAnsi="Times New Roman" w:cs="Times New Roman"/>
          <w:color w:val="000000"/>
          <w:sz w:val="24"/>
          <w:szCs w:val="24"/>
          <w:lang w:eastAsia="en-US"/>
        </w:rPr>
        <w:t>rusian sequence of Taforalt</w:t>
      </w:r>
      <w:r w:rsidR="0075156C" w:rsidRPr="00AC13BC">
        <w:rPr>
          <w:rFonts w:ascii="Times New Roman" w:hAnsi="Times New Roman" w:cs="Times New Roman"/>
          <w:color w:val="000000"/>
          <w:sz w:val="24"/>
          <w:szCs w:val="24"/>
          <w:lang w:eastAsia="en-US"/>
        </w:rPr>
        <w:t>. These new investigation of the Iberomaurusian sequence described two main units.</w:t>
      </w:r>
      <w:r w:rsidR="00D23667">
        <w:rPr>
          <w:rFonts w:ascii="Times New Roman" w:hAnsi="Times New Roman" w:cs="Times New Roman"/>
          <w:color w:val="000000"/>
          <w:sz w:val="24"/>
          <w:szCs w:val="24"/>
          <w:lang w:eastAsia="en-US"/>
        </w:rPr>
        <w:fldChar w:fldCharType="begin"/>
      </w:r>
      <w:r w:rsidR="009C1161">
        <w:rPr>
          <w:rFonts w:ascii="Times New Roman" w:hAnsi="Times New Roman" w:cs="Times New Roman"/>
          <w:color w:val="000000"/>
          <w:sz w:val="24"/>
          <w:szCs w:val="24"/>
          <w:lang w:eastAsia="en-US"/>
        </w:rPr>
        <w:instrText xml:space="preserve"> ADDIN ZOTERO_ITEM CSL_CITATION {"citationID":"b4zMHLcO","properties":{"formattedCitation":"\\super 2,3\\nosupersub{}","plainCitation":"2,3","noteIndex":0},"citationItems":[{"id":35,"uris":["http://zotero.org/users/7125028/items/N3GJHVL7"],"itemData":{"id":35,"type":"article-journal","abstract":"Amongst the least well-defined periods in North African prehistoric archaeology is the interval between </w:instrText>
      </w:r>
      <w:r w:rsidR="009C1161">
        <w:rPr>
          <w:rFonts w:ascii="Cambria Math" w:hAnsi="Cambria Math" w:cs="Cambria Math"/>
          <w:color w:val="000000"/>
          <w:sz w:val="24"/>
          <w:szCs w:val="24"/>
          <w:lang w:eastAsia="en-US"/>
        </w:rPr>
        <w:instrText>∼</w:instrText>
      </w:r>
      <w:r w:rsidR="009C1161">
        <w:rPr>
          <w:rFonts w:ascii="Times New Roman" w:hAnsi="Times New Roman" w:cs="Times New Roman"/>
          <w:color w:val="000000"/>
          <w:sz w:val="24"/>
          <w:szCs w:val="24"/>
          <w:lang w:eastAsia="en-US"/>
        </w:rPr>
        <w:instrText xml:space="preserve">40 and 20 ka BP. This encompasses a phase (or phases) of major technological change which archaeologists describe as the MSA (Middle Stone Age) to LSA (Later Stone Age) transition. The nature of this transition is complicated by the fact that few sites spanning this period have been the object of modern scientific study. Two exceptions are the caves of Taforalt (Morocco) and the Haua Fteah (Libya) which have each been systematically excavated in the last decade and have yielded datable sequences that provide fresh light on the nature of the transition. In this paper we describe the results of new work at Taforalt and suggest that considerable variation exists across the region, in comparison with sites like the Haua Fteah. Initial results are also given on the rich charred plant remains (likely food residues) and wood charcoal evidence from the younger MSA layers dating to </w:instrText>
      </w:r>
      <w:r w:rsidR="009C1161">
        <w:rPr>
          <w:rFonts w:ascii="Cambria Math" w:hAnsi="Cambria Math" w:cs="Cambria Math"/>
          <w:color w:val="000000"/>
          <w:sz w:val="24"/>
          <w:szCs w:val="24"/>
          <w:lang w:eastAsia="en-US"/>
        </w:rPr>
        <w:instrText>∼</w:instrText>
      </w:r>
      <w:r w:rsidR="009C1161">
        <w:rPr>
          <w:rFonts w:ascii="Times New Roman" w:hAnsi="Times New Roman" w:cs="Times New Roman"/>
          <w:color w:val="000000"/>
          <w:sz w:val="24"/>
          <w:szCs w:val="24"/>
          <w:lang w:eastAsia="en-US"/>
        </w:rPr>
        <w:instrText xml:space="preserve">27 ka BP.","collection-title":"Origins and evolution of Modern Humans Behaviour: a view from North Africa","container-title":"Quaternary International","DOI":"10.1016/j.quaint.2015.11.085","ISSN":"1040-6182","journalAbbreviation":"Quaternary International","language":"en","page":"36-49","source":"ScienceDirect","title":"Reconsidering the MSA to LSA transition at Taforalt Cave (Morocco) in the light of new multi-proxy dating evidence","volume":"413","author":[{"family":"Barton","given":"R. N. E."},{"family":"Bouzouggar","given":"A."},{"family":"Collcutt","given":"S. N."},{"family":"Carrión Marco","given":"Y."},{"family":"Clark-Balzan","given":"L."},{"family":"Debenham","given":"N. C."},{"family":"Morales","given":"J."}],"issued":{"date-parts":[["2016",8,22]]}}},{"id":129,"uris":["http://zotero.org/users/7125028/items/7EXG2KVI"],"itemData":{"id":129,"type":"article-journal","abstract":"Recent genetic studies based on the distribution of mtDNA of haplogroup U6 have led to subtly different theories regarding the arrival of modern human populations in North Africa. One proposes that groups of the proto-U6 lineage spread from the Near East to North Africa around 40–45 ka (thousands of years ago), followed by some degree of regional continuity. Another envisages a westward human migration from the Near East, followed by further demographic expansion at </w:instrText>
      </w:r>
      <w:r w:rsidR="009C1161">
        <w:rPr>
          <w:rFonts w:ascii="Cambria Math" w:hAnsi="Cambria Math" w:cs="Cambria Math"/>
          <w:color w:val="000000"/>
          <w:sz w:val="24"/>
          <w:szCs w:val="24"/>
          <w:lang w:eastAsia="en-US"/>
        </w:rPr>
        <w:instrText>∼</w:instrText>
      </w:r>
      <w:r w:rsidR="009C1161">
        <w:rPr>
          <w:rFonts w:ascii="Times New Roman" w:hAnsi="Times New Roman" w:cs="Times New Roman"/>
          <w:color w:val="000000"/>
          <w:sz w:val="24"/>
          <w:szCs w:val="24"/>
          <w:lang w:eastAsia="en-US"/>
        </w:rPr>
        <w:instrText xml:space="preserve">22 ka centred on the Maghreb and associated with a microlithic bladelet culture known as the Iberomaurusian. In evaluating these theories, we report on the results of new work on the Middle (MSA) and Later Stone (LSA) Age deposits at Taforalt Cave in Morocco. We present 54 AMS radiocarbon dates on bone and charcoals from a sequence of late MSA and LSA occupation levels of the cave. Using Bayesian modelling we show that an MSA non-Levallois flake industry was present until </w:instrText>
      </w:r>
      <w:r w:rsidR="009C1161">
        <w:rPr>
          <w:rFonts w:ascii="Cambria Math" w:hAnsi="Cambria Math" w:cs="Cambria Math"/>
          <w:color w:val="000000"/>
          <w:sz w:val="24"/>
          <w:szCs w:val="24"/>
          <w:lang w:eastAsia="en-US"/>
        </w:rPr>
        <w:instrText>∼</w:instrText>
      </w:r>
      <w:r w:rsidR="009C1161">
        <w:rPr>
          <w:rFonts w:ascii="Times New Roman" w:hAnsi="Times New Roman" w:cs="Times New Roman"/>
          <w:color w:val="000000"/>
          <w:sz w:val="24"/>
          <w:szCs w:val="24"/>
          <w:lang w:eastAsia="en-US"/>
        </w:rPr>
        <w:instrText xml:space="preserve">24.5 ka Cal BP (calibrated years before present), followed by a gap in occupation and the subsequent appearance of an LSA Iberomaurusian industry from at least 21,160 Cal BP. The new dating offers fresh light on theories of continuity versus replacement of populations as presented by the genetic evidence. We examine the implications of these data for interpreting the first appearance of the LSA in the Maghreb and providing comparisons with other dated early blade and bladelet industries in North Africa.","container-title":"Journal of Human Evolution","DOI":"10.1016/j.jhevol.2013.06.003","ISSN":"0047-2484","issue":"3","journalAbbreviation":"Journal of Human Evolution","language":"en","page":"266-281","source":"ScienceDirect","title":"Origins of the Iberomaurusian in NW Africa: New AMS radiocarbon dating of the Middle and Later Stone Age deposits at Taforalt Cave, Morocco","title-short":"Origins of the Iberomaurusian in NW Africa","volume":"65","author":[{"family":"Barton","given":"R. N. E."},{"family":"Bouzouggar","given":"A."},{"family":"Hogue","given":"J. T."},{"family":"Lee","given":"S."},{"family":"Collcutt","given":"S. N."},{"family":"Ditchfield","given":"P."}],"issued":{"date-parts":[["2013",9,1]]}}}],"schema":"https://github.com/citation-style-language/schema/raw/master/csl-citation.json"} </w:instrText>
      </w:r>
      <w:r w:rsidR="00D23667">
        <w:rPr>
          <w:rFonts w:ascii="Times New Roman" w:hAnsi="Times New Roman" w:cs="Times New Roman"/>
          <w:color w:val="000000"/>
          <w:sz w:val="24"/>
          <w:szCs w:val="24"/>
          <w:lang w:eastAsia="en-US"/>
        </w:rPr>
        <w:fldChar w:fldCharType="separate"/>
      </w:r>
      <w:r w:rsidR="009C1161" w:rsidRPr="009C1161">
        <w:rPr>
          <w:rFonts w:ascii="Times New Roman" w:hAnsi="Times New Roman" w:cs="Times New Roman"/>
          <w:sz w:val="24"/>
          <w:szCs w:val="24"/>
          <w:vertAlign w:val="superscript"/>
        </w:rPr>
        <w:t>2,3</w:t>
      </w:r>
      <w:r w:rsidR="00D23667">
        <w:rPr>
          <w:rFonts w:ascii="Times New Roman" w:hAnsi="Times New Roman" w:cs="Times New Roman"/>
          <w:color w:val="000000"/>
          <w:sz w:val="24"/>
          <w:szCs w:val="24"/>
          <w:lang w:eastAsia="en-US"/>
        </w:rPr>
        <w:fldChar w:fldCharType="end"/>
      </w:r>
    </w:p>
    <w:p w14:paraId="00000017" w14:textId="1FBB8475" w:rsidR="00784AF4" w:rsidRPr="00D70D43" w:rsidRDefault="0003068C">
      <w:pPr>
        <w:spacing w:before="240" w:after="24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b/>
          <w:sz w:val="24"/>
          <w:szCs w:val="24"/>
        </w:rPr>
        <w:t>The Yellow series (YS)</w:t>
      </w:r>
      <w:r w:rsidRPr="00D70D43">
        <w:rPr>
          <w:rFonts w:ascii="Times New Roman" w:eastAsia="Times New Roman" w:hAnsi="Times New Roman" w:cs="Times New Roman"/>
          <w:sz w:val="24"/>
          <w:szCs w:val="24"/>
        </w:rPr>
        <w:t xml:space="preserve">: The underlying deposit has been recognized as the yellow series, and is associated with the early Iberomaurusian phase which is dated around 22,292-21,825 </w:t>
      </w:r>
      <w:proofErr w:type="spellStart"/>
      <w:r w:rsidRPr="00D70D43">
        <w:rPr>
          <w:rFonts w:ascii="Times New Roman" w:eastAsia="Times New Roman" w:hAnsi="Times New Roman" w:cs="Times New Roman"/>
          <w:sz w:val="24"/>
          <w:szCs w:val="24"/>
        </w:rPr>
        <w:t>cal</w:t>
      </w:r>
      <w:proofErr w:type="spellEnd"/>
      <w:r w:rsidRPr="00D70D43">
        <w:rPr>
          <w:rFonts w:ascii="Times New Roman" w:eastAsia="Times New Roman" w:hAnsi="Times New Roman" w:cs="Times New Roman"/>
          <w:sz w:val="24"/>
          <w:szCs w:val="24"/>
        </w:rPr>
        <w:t xml:space="preserve"> B.P (Barton et al., 2013). A clear sedimentation change of the Iberomaurusian deposits occurs around 15,190- 14,830 </w:t>
      </w:r>
      <w:proofErr w:type="spellStart"/>
      <w:r w:rsidRPr="00D70D43">
        <w:rPr>
          <w:rFonts w:ascii="Times New Roman" w:eastAsia="Times New Roman" w:hAnsi="Times New Roman" w:cs="Times New Roman"/>
          <w:sz w:val="24"/>
          <w:szCs w:val="24"/>
        </w:rPr>
        <w:t>cal</w:t>
      </w:r>
      <w:proofErr w:type="spellEnd"/>
      <w:r w:rsidRPr="00D70D43">
        <w:rPr>
          <w:rFonts w:ascii="Times New Roman" w:eastAsia="Times New Roman" w:hAnsi="Times New Roman" w:cs="Times New Roman"/>
          <w:sz w:val="24"/>
          <w:szCs w:val="24"/>
        </w:rPr>
        <w:t xml:space="preserve"> BP. </w:t>
      </w:r>
    </w:p>
    <w:p w14:paraId="00000018" w14:textId="5A0FEFB7" w:rsidR="00784AF4" w:rsidRPr="00D70D43" w:rsidRDefault="0003068C">
      <w:pPr>
        <w:pBdr>
          <w:top w:val="nil"/>
          <w:left w:val="nil"/>
          <w:bottom w:val="nil"/>
          <w:right w:val="nil"/>
          <w:between w:val="nil"/>
        </w:pBdr>
        <w:spacing w:before="240" w:after="24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b/>
          <w:color w:val="000000"/>
          <w:sz w:val="24"/>
          <w:szCs w:val="24"/>
        </w:rPr>
        <w:t xml:space="preserve">The Grey </w:t>
      </w:r>
      <w:r w:rsidRPr="00D70D43">
        <w:rPr>
          <w:rFonts w:ascii="Times New Roman" w:eastAsia="Times New Roman" w:hAnsi="Times New Roman" w:cs="Times New Roman"/>
          <w:b/>
          <w:sz w:val="24"/>
          <w:szCs w:val="24"/>
        </w:rPr>
        <w:t>serie</w:t>
      </w:r>
      <w:r w:rsidR="000552F1">
        <w:rPr>
          <w:rFonts w:ascii="Times New Roman" w:eastAsia="Times New Roman" w:hAnsi="Times New Roman" w:cs="Times New Roman"/>
          <w:b/>
          <w:sz w:val="24"/>
          <w:szCs w:val="24"/>
        </w:rPr>
        <w:t>s</w:t>
      </w:r>
      <w:r w:rsidRPr="00D70D43">
        <w:rPr>
          <w:rFonts w:ascii="Times New Roman" w:eastAsia="Times New Roman" w:hAnsi="Times New Roman" w:cs="Times New Roman"/>
          <w:b/>
          <w:sz w:val="24"/>
          <w:szCs w:val="24"/>
        </w:rPr>
        <w:t xml:space="preserve"> </w:t>
      </w:r>
      <w:r w:rsidRPr="00D70D43">
        <w:rPr>
          <w:rFonts w:ascii="Times New Roman" w:eastAsia="Times New Roman" w:hAnsi="Times New Roman" w:cs="Times New Roman"/>
          <w:b/>
          <w:color w:val="000000"/>
          <w:sz w:val="24"/>
          <w:szCs w:val="24"/>
        </w:rPr>
        <w:t>(GS)</w:t>
      </w:r>
      <w:r w:rsidRPr="00D70D43">
        <w:rPr>
          <w:rFonts w:ascii="Times New Roman" w:eastAsia="Times New Roman" w:hAnsi="Times New Roman" w:cs="Times New Roman"/>
          <w:color w:val="000000"/>
          <w:sz w:val="24"/>
          <w:szCs w:val="24"/>
        </w:rPr>
        <w:t xml:space="preserve">: The upper unit refers to the grey ashy deposits of the Iberomaurusian occupation with a </w:t>
      </w:r>
      <w:r w:rsidR="00224F58" w:rsidRPr="00D70D43">
        <w:rPr>
          <w:rFonts w:ascii="Times New Roman" w:eastAsia="Times New Roman" w:hAnsi="Times New Roman" w:cs="Times New Roman"/>
          <w:color w:val="000000"/>
          <w:sz w:val="24"/>
          <w:szCs w:val="24"/>
        </w:rPr>
        <w:t>4-meter</w:t>
      </w:r>
      <w:r w:rsidRPr="00D70D43">
        <w:rPr>
          <w:rFonts w:ascii="Times New Roman" w:eastAsia="Times New Roman" w:hAnsi="Times New Roman" w:cs="Times New Roman"/>
          <w:color w:val="000000"/>
          <w:sz w:val="24"/>
          <w:szCs w:val="24"/>
        </w:rPr>
        <w:t xml:space="preserve"> thickness and it is dated between 15,000 and 12,600</w:t>
      </w:r>
      <w:r w:rsidRPr="00D70D43">
        <w:rPr>
          <w:rFonts w:ascii="Times New Roman" w:eastAsia="Times New Roman" w:hAnsi="Times New Roman" w:cs="Times New Roman"/>
          <w:sz w:val="24"/>
          <w:szCs w:val="24"/>
        </w:rPr>
        <w:t xml:space="preserve"> </w:t>
      </w:r>
      <w:proofErr w:type="spellStart"/>
      <w:r w:rsidRPr="00D70D43">
        <w:rPr>
          <w:rFonts w:ascii="Times New Roman" w:eastAsia="Times New Roman" w:hAnsi="Times New Roman" w:cs="Times New Roman"/>
          <w:sz w:val="24"/>
          <w:szCs w:val="24"/>
        </w:rPr>
        <w:t>cal</w:t>
      </w:r>
      <w:proofErr w:type="spellEnd"/>
      <w:r w:rsidRPr="00D70D43">
        <w:rPr>
          <w:rFonts w:ascii="Times New Roman" w:eastAsia="Times New Roman" w:hAnsi="Times New Roman" w:cs="Times New Roman"/>
          <w:sz w:val="24"/>
          <w:szCs w:val="24"/>
        </w:rPr>
        <w:t xml:space="preserve"> B.P. </w:t>
      </w:r>
      <w:r w:rsidR="00D23667">
        <w:rPr>
          <w:rFonts w:ascii="Times New Roman" w:eastAsia="Times New Roman" w:hAnsi="Times New Roman" w:cs="Times New Roman"/>
          <w:sz w:val="24"/>
          <w:szCs w:val="24"/>
        </w:rPr>
        <w:fldChar w:fldCharType="begin"/>
      </w:r>
      <w:r w:rsidR="009C1161">
        <w:rPr>
          <w:rFonts w:ascii="Times New Roman" w:eastAsia="Times New Roman" w:hAnsi="Times New Roman" w:cs="Times New Roman"/>
          <w:sz w:val="24"/>
          <w:szCs w:val="24"/>
        </w:rPr>
        <w:instrText xml:space="preserve"> ADDIN ZOTERO_ITEM CSL_CITATION {"citationID":"yqSOWXU3","properties":{"formattedCitation":"\\super 3\\nosupersub{}","plainCitation":"3","noteIndex":0},"citationItems":[{"id":129,"uris":["http://zotero.org/users/7125028/items/7EXG2KVI"],"itemData":{"id":129,"type":"article-journal","abstract":"Recent genetic studies based on the distribution of mtDNA of haplogroup U6 have led to subtly different theories regarding the arrival of modern human populations in North Africa. One proposes that groups of the proto-U6 lineage spread from the Near East to North Africa around 40–45 ka (thousands of years ago), followed by some degree of regional continuity. Another envisages a westward human migration from the Near East, followed by further demographic expansion at </w:instrText>
      </w:r>
      <w:r w:rsidR="009C1161">
        <w:rPr>
          <w:rFonts w:ascii="Cambria Math" w:eastAsia="Times New Roman" w:hAnsi="Cambria Math" w:cs="Cambria Math"/>
          <w:sz w:val="24"/>
          <w:szCs w:val="24"/>
        </w:rPr>
        <w:instrText>∼</w:instrText>
      </w:r>
      <w:r w:rsidR="009C1161">
        <w:rPr>
          <w:rFonts w:ascii="Times New Roman" w:eastAsia="Times New Roman" w:hAnsi="Times New Roman" w:cs="Times New Roman"/>
          <w:sz w:val="24"/>
          <w:szCs w:val="24"/>
        </w:rPr>
        <w:instrText xml:space="preserve">22 ka centred on the Maghreb and associated with a microlithic bladelet culture known as the Iberomaurusian. In evaluating these theories, we report on the results of new work on the Middle (MSA) and Later Stone (LSA) Age deposits at Taforalt Cave in Morocco. We present 54 AMS radiocarbon dates on bone and charcoals from a sequence of late MSA and LSA occupation levels of the cave. Using Bayesian modelling we show that an MSA non-Levallois flake industry was present until </w:instrText>
      </w:r>
      <w:r w:rsidR="009C1161">
        <w:rPr>
          <w:rFonts w:ascii="Cambria Math" w:eastAsia="Times New Roman" w:hAnsi="Cambria Math" w:cs="Cambria Math"/>
          <w:sz w:val="24"/>
          <w:szCs w:val="24"/>
        </w:rPr>
        <w:instrText>∼</w:instrText>
      </w:r>
      <w:r w:rsidR="009C1161">
        <w:rPr>
          <w:rFonts w:ascii="Times New Roman" w:eastAsia="Times New Roman" w:hAnsi="Times New Roman" w:cs="Times New Roman"/>
          <w:sz w:val="24"/>
          <w:szCs w:val="24"/>
        </w:rPr>
        <w:instrText xml:space="preserve">24.5 ka Cal BP (calibrated years before present), followed by a gap in occupation and the subsequent appearance of an LSA Iberomaurusian industry from at least 21,160 Cal BP. The new dating offers fresh light on theories of continuity versus replacement of populations as presented by the genetic evidence. We examine the implications of these data for interpreting the first appearance of the LSA in the Maghreb and providing comparisons with other dated early blade and bladelet industries in North Africa.","container-title":"Journal of Human Evolution","DOI":"10.1016/j.jhevol.2013.06.003","ISSN":"0047-2484","issue":"3","journalAbbreviation":"Journal of Human Evolution","language":"en","page":"266-281","source":"ScienceDirect","title":"Origins of the Iberomaurusian in NW Africa: New AMS radiocarbon dating of the Middle and Later Stone Age deposits at Taforalt Cave, Morocco","title-short":"Origins of the Iberomaurusian in NW Africa","volume":"65","author":[{"family":"Barton","given":"R. N. E."},{"family":"Bouzouggar","given":"A."},{"family":"Hogue","given":"J. T."},{"family":"Lee","given":"S."},{"family":"Collcutt","given":"S. N."},{"family":"Ditchfield","given":"P."}],"issued":{"date-parts":[["2013",9,1]]}}}],"schema":"https://github.com/citation-style-language/schema/raw/master/csl-citation.json"} </w:instrText>
      </w:r>
      <w:r w:rsidR="00D23667">
        <w:rPr>
          <w:rFonts w:ascii="Times New Roman" w:eastAsia="Times New Roman" w:hAnsi="Times New Roman" w:cs="Times New Roman"/>
          <w:sz w:val="24"/>
          <w:szCs w:val="24"/>
        </w:rPr>
        <w:fldChar w:fldCharType="separate"/>
      </w:r>
      <w:r w:rsidR="009C1161" w:rsidRPr="009C1161">
        <w:rPr>
          <w:rFonts w:ascii="Times New Roman" w:hAnsi="Times New Roman" w:cs="Times New Roman"/>
          <w:sz w:val="24"/>
          <w:szCs w:val="24"/>
          <w:vertAlign w:val="superscript"/>
        </w:rPr>
        <w:t>3</w:t>
      </w:r>
      <w:r w:rsidR="00D23667">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color w:val="000000"/>
          <w:sz w:val="24"/>
          <w:szCs w:val="24"/>
        </w:rPr>
        <w:t xml:space="preserve">. </w:t>
      </w:r>
      <w:r w:rsidRPr="00D70D43">
        <w:rPr>
          <w:rFonts w:ascii="Times New Roman" w:eastAsia="Times New Roman" w:hAnsi="Times New Roman" w:cs="Times New Roman"/>
          <w:sz w:val="24"/>
          <w:szCs w:val="24"/>
        </w:rPr>
        <w:t xml:space="preserve">The sedimentary change between the YS and GS coincides with a change in subsistence strategy by </w:t>
      </w:r>
      <w:r w:rsidRPr="00D70D43">
        <w:rPr>
          <w:rFonts w:ascii="Times New Roman" w:eastAsia="Times New Roman" w:hAnsi="Times New Roman" w:cs="Times New Roman"/>
          <w:sz w:val="24"/>
          <w:szCs w:val="24"/>
        </w:rPr>
        <w:lastRenderedPageBreak/>
        <w:t xml:space="preserve">the </w:t>
      </w:r>
      <w:proofErr w:type="spellStart"/>
      <w:r w:rsidRPr="00D70D43">
        <w:rPr>
          <w:rFonts w:ascii="Times New Roman" w:eastAsia="Times New Roman" w:hAnsi="Times New Roman" w:cs="Times New Roman"/>
          <w:sz w:val="24"/>
          <w:szCs w:val="24"/>
        </w:rPr>
        <w:t>Iberomaurusians</w:t>
      </w:r>
      <w:proofErr w:type="spellEnd"/>
      <w:r w:rsidRPr="00D70D43">
        <w:rPr>
          <w:rFonts w:ascii="Times New Roman" w:eastAsia="Times New Roman" w:hAnsi="Times New Roman" w:cs="Times New Roman"/>
          <w:sz w:val="24"/>
          <w:szCs w:val="24"/>
        </w:rPr>
        <w:t>. The recent excavations revealed a series of primary burials in sector 10 in the grey ashy deposits and evidence show that this area was reused several times because earlier burials were disturbed by subsequent ones. </w:t>
      </w:r>
    </w:p>
    <w:p w14:paraId="00000019" w14:textId="12B71A29" w:rsidR="00784AF4" w:rsidRPr="00D70D43" w:rsidRDefault="00224F58">
      <w:pPr>
        <w:pBdr>
          <w:top w:val="nil"/>
          <w:left w:val="nil"/>
          <w:bottom w:val="nil"/>
          <w:right w:val="nil"/>
          <w:between w:val="nil"/>
        </w:pBdr>
        <w:spacing w:before="240" w:after="240"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1.2 </w:t>
      </w:r>
      <w:r w:rsidR="0003068C" w:rsidRPr="00D70D43">
        <w:rPr>
          <w:rFonts w:ascii="Times New Roman" w:eastAsia="Times New Roman" w:hAnsi="Times New Roman" w:cs="Times New Roman"/>
          <w:b/>
          <w:i/>
          <w:sz w:val="24"/>
          <w:szCs w:val="24"/>
        </w:rPr>
        <w:t xml:space="preserve">The human burials </w:t>
      </w:r>
      <w:r w:rsidR="00B70051">
        <w:rPr>
          <w:rFonts w:ascii="Times New Roman" w:eastAsia="Times New Roman" w:hAnsi="Times New Roman" w:cs="Times New Roman"/>
          <w:b/>
          <w:i/>
          <w:sz w:val="24"/>
          <w:szCs w:val="24"/>
        </w:rPr>
        <w:t>at Taforalt</w:t>
      </w:r>
    </w:p>
    <w:p w14:paraId="0000001A" w14:textId="75BC997C" w:rsidR="00784AF4" w:rsidRPr="00D70D43" w:rsidRDefault="0017032E" w:rsidP="00AC13BC">
      <w:pPr>
        <w:pBdr>
          <w:top w:val="nil"/>
          <w:left w:val="nil"/>
          <w:bottom w:val="nil"/>
          <w:right w:val="nil"/>
          <w:between w:val="nil"/>
        </w:pBd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recent excavations (2003-</w:t>
      </w:r>
      <w:r w:rsidR="00661909">
        <w:rPr>
          <w:rFonts w:ascii="Times New Roman" w:eastAsia="Times New Roman" w:hAnsi="Times New Roman" w:cs="Times New Roman"/>
          <w:sz w:val="24"/>
          <w:szCs w:val="24"/>
        </w:rPr>
        <w:t>2017)</w:t>
      </w:r>
      <w:r w:rsidR="00661909" w:rsidRPr="00D70D43">
        <w:rPr>
          <w:rFonts w:ascii="Times New Roman" w:eastAsia="Times New Roman" w:hAnsi="Times New Roman" w:cs="Times New Roman"/>
          <w:color w:val="000000"/>
          <w:sz w:val="24"/>
          <w:szCs w:val="24"/>
        </w:rPr>
        <w:t xml:space="preserve"> reveale</w:t>
      </w:r>
      <w:r w:rsidR="0003068C" w:rsidRPr="00D70D43">
        <w:rPr>
          <w:rFonts w:ascii="Times New Roman" w:eastAsia="Times New Roman" w:hAnsi="Times New Roman" w:cs="Times New Roman"/>
          <w:color w:val="000000"/>
          <w:sz w:val="24"/>
          <w:szCs w:val="24"/>
        </w:rPr>
        <w:t xml:space="preserve">d </w:t>
      </w:r>
      <w:r w:rsidR="007D7FE3">
        <w:rPr>
          <w:rFonts w:ascii="Times New Roman" w:eastAsia="Times New Roman" w:hAnsi="Times New Roman" w:cs="Times New Roman"/>
          <w:color w:val="000000"/>
          <w:sz w:val="24"/>
          <w:szCs w:val="24"/>
        </w:rPr>
        <w:t xml:space="preserve">a series of </w:t>
      </w:r>
      <w:r w:rsidR="00FB34C1">
        <w:rPr>
          <w:rFonts w:ascii="Times New Roman" w:eastAsia="Times New Roman" w:hAnsi="Times New Roman" w:cs="Times New Roman"/>
          <w:color w:val="000000"/>
          <w:sz w:val="24"/>
          <w:szCs w:val="24"/>
        </w:rPr>
        <w:t xml:space="preserve">additional </w:t>
      </w:r>
      <w:r w:rsidR="0003068C" w:rsidRPr="00D70D43">
        <w:rPr>
          <w:rFonts w:ascii="Times New Roman" w:eastAsia="Times New Roman" w:hAnsi="Times New Roman" w:cs="Times New Roman"/>
          <w:color w:val="000000"/>
          <w:sz w:val="24"/>
          <w:szCs w:val="24"/>
        </w:rPr>
        <w:t>burial</w:t>
      </w:r>
      <w:r w:rsidR="000552F1">
        <w:rPr>
          <w:rFonts w:ascii="Times New Roman" w:eastAsia="Times New Roman" w:hAnsi="Times New Roman" w:cs="Times New Roman"/>
          <w:color w:val="000000"/>
          <w:sz w:val="24"/>
          <w:szCs w:val="24"/>
        </w:rPr>
        <w:t>s</w:t>
      </w:r>
      <w:r w:rsidR="0003068C" w:rsidRPr="00D70D43">
        <w:rPr>
          <w:rFonts w:ascii="Times New Roman" w:eastAsia="Times New Roman" w:hAnsi="Times New Roman" w:cs="Times New Roman"/>
          <w:color w:val="000000"/>
          <w:sz w:val="24"/>
          <w:szCs w:val="24"/>
        </w:rPr>
        <w:t xml:space="preserve"> including 12 partially articulated skeletons (7 adults and 5 infants). This disarticulation indicates the intensive</w:t>
      </w:r>
      <w:r w:rsidR="00031854">
        <w:rPr>
          <w:rFonts w:ascii="Times New Roman" w:eastAsia="Times New Roman" w:hAnsi="Times New Roman" w:cs="Times New Roman"/>
          <w:color w:val="000000"/>
          <w:sz w:val="24"/>
          <w:szCs w:val="24"/>
        </w:rPr>
        <w:t xml:space="preserve"> use</w:t>
      </w:r>
      <w:r w:rsidR="0003068C" w:rsidRPr="00D70D43">
        <w:rPr>
          <w:rFonts w:ascii="Times New Roman" w:eastAsia="Times New Roman" w:hAnsi="Times New Roman" w:cs="Times New Roman"/>
          <w:color w:val="000000"/>
          <w:sz w:val="24"/>
          <w:szCs w:val="24"/>
        </w:rPr>
        <w:t xml:space="preserve"> of the area. In addition to that</w:t>
      </w:r>
      <w:r w:rsidR="00224F58">
        <w:rPr>
          <w:rFonts w:ascii="Times New Roman" w:eastAsia="Times New Roman" w:hAnsi="Times New Roman" w:cs="Times New Roman"/>
          <w:color w:val="000000"/>
          <w:sz w:val="24"/>
          <w:szCs w:val="24"/>
        </w:rPr>
        <w:t>,</w:t>
      </w:r>
      <w:r w:rsidR="0003068C" w:rsidRPr="00D70D43">
        <w:rPr>
          <w:rFonts w:ascii="Times New Roman" w:eastAsia="Times New Roman" w:hAnsi="Times New Roman" w:cs="Times New Roman"/>
          <w:color w:val="000000"/>
          <w:sz w:val="24"/>
          <w:szCs w:val="24"/>
        </w:rPr>
        <w:t xml:space="preserve"> an almost complete infant skeleton and a broken cranium along with a mandible were discovered in the same area. The cemetery includes basically primary burials which indicate that death happened not too far from the site. In addition to that, there are some secondary depositions of skelet</w:t>
      </w:r>
      <w:r w:rsidR="000552F1">
        <w:rPr>
          <w:rFonts w:ascii="Times New Roman" w:eastAsia="Times New Roman" w:hAnsi="Times New Roman" w:cs="Times New Roman"/>
          <w:color w:val="000000"/>
          <w:sz w:val="24"/>
          <w:szCs w:val="24"/>
        </w:rPr>
        <w:t>al</w:t>
      </w:r>
      <w:r w:rsidR="0003068C" w:rsidRPr="00D70D43">
        <w:rPr>
          <w:rFonts w:ascii="Times New Roman" w:eastAsia="Times New Roman" w:hAnsi="Times New Roman" w:cs="Times New Roman"/>
          <w:color w:val="000000"/>
          <w:sz w:val="24"/>
          <w:szCs w:val="24"/>
        </w:rPr>
        <w:t xml:space="preserve"> elements with post mortem modifications (removal of soft tissues). There are two suggested </w:t>
      </w:r>
      <w:r w:rsidR="0003068C" w:rsidRPr="00D70D43">
        <w:rPr>
          <w:rFonts w:ascii="Times New Roman" w:eastAsia="Times New Roman" w:hAnsi="Times New Roman" w:cs="Times New Roman"/>
          <w:sz w:val="24"/>
          <w:szCs w:val="24"/>
        </w:rPr>
        <w:t>hypotheses</w:t>
      </w:r>
      <w:r w:rsidR="0003068C" w:rsidRPr="00D70D43">
        <w:rPr>
          <w:rFonts w:ascii="Times New Roman" w:eastAsia="Times New Roman" w:hAnsi="Times New Roman" w:cs="Times New Roman"/>
          <w:color w:val="000000"/>
          <w:sz w:val="24"/>
          <w:szCs w:val="24"/>
        </w:rPr>
        <w:t xml:space="preserve"> for these burials, either the individuals died elsewhere an</w:t>
      </w:r>
      <w:r w:rsidR="0003068C" w:rsidRPr="00D70D43">
        <w:rPr>
          <w:rFonts w:ascii="Times New Roman" w:eastAsia="Times New Roman" w:hAnsi="Times New Roman" w:cs="Times New Roman"/>
          <w:sz w:val="24"/>
          <w:szCs w:val="24"/>
        </w:rPr>
        <w:t xml:space="preserve">d were carried to the site for burial or </w:t>
      </w:r>
      <w:r w:rsidR="000552F1">
        <w:rPr>
          <w:rFonts w:ascii="Times New Roman" w:eastAsia="Times New Roman" w:hAnsi="Times New Roman" w:cs="Times New Roman"/>
          <w:sz w:val="24"/>
          <w:szCs w:val="24"/>
        </w:rPr>
        <w:t>they simply</w:t>
      </w:r>
      <w:r w:rsidR="0003068C" w:rsidRPr="00D70D43">
        <w:rPr>
          <w:rFonts w:ascii="Times New Roman" w:eastAsia="Times New Roman" w:hAnsi="Times New Roman" w:cs="Times New Roman"/>
          <w:sz w:val="24"/>
          <w:szCs w:val="24"/>
        </w:rPr>
        <w:t xml:space="preserve"> reflect an elaboration in the funerary practices</w:t>
      </w:r>
      <w:r w:rsidR="00D23667">
        <w:rPr>
          <w:rFonts w:ascii="Times New Roman" w:eastAsia="Times New Roman" w:hAnsi="Times New Roman" w:cs="Times New Roman"/>
          <w:sz w:val="24"/>
          <w:szCs w:val="24"/>
        </w:rPr>
        <w:t xml:space="preserve"> </w:t>
      </w:r>
      <w:r w:rsidR="00D23667">
        <w:rPr>
          <w:rFonts w:ascii="Times New Roman" w:eastAsia="Times New Roman" w:hAnsi="Times New Roman" w:cs="Times New Roman"/>
          <w:sz w:val="24"/>
          <w:szCs w:val="24"/>
        </w:rPr>
        <w:fldChar w:fldCharType="begin"/>
      </w:r>
      <w:r w:rsidR="009C1161">
        <w:rPr>
          <w:rFonts w:ascii="Times New Roman" w:eastAsia="Times New Roman" w:hAnsi="Times New Roman" w:cs="Times New Roman"/>
          <w:sz w:val="24"/>
          <w:szCs w:val="24"/>
        </w:rPr>
        <w:instrText xml:space="preserve"> ADDIN ZOTERO_ITEM CSL_CITATION {"citationID":"Uw7cTOw8","properties":{"formattedCitation":"\\super 4\\nosupersub{}","plainCitation":"4","noteIndex":0},"citationItems":[{"id":4,"uris":["http://zotero.org/users/7125028/items/AVGAHX9Z"],"itemData":{"id":4,"type":"article-journal","container-title":"Proceedings of the National Academy of Sciences","DOI":"10.1073/pnas.1318176111","issue":"3","note":"publisher: Proceedings of the National Academy of Sciences","page":"954-959","source":"pnas.org (Atypon)","title":"Earliest evidence for caries and exploitation of starchy plant foods in Pleistocene hunter-gatherers from Morocco","volume":"111","author":[{"family":"Humphrey","given":"Louise T."},{"family":"De Groote","given":"Isabelle"},{"family":"Morales","given":"Jacob"},{"family":"Barton","given":"Nick"},{"family":"Collcutt","given":"Simon"},{"family":"Bronk Ramsey","given":"Christopher"},{"family":"Bouzouggar","given":"Abdeljalil"}],"issued":{"date-parts":[["2014",1,21]]}}}],"schema":"https://github.com/citation-style-language/schema/raw/master/csl-citation.json"} </w:instrText>
      </w:r>
      <w:r w:rsidR="00D23667">
        <w:rPr>
          <w:rFonts w:ascii="Times New Roman" w:eastAsia="Times New Roman" w:hAnsi="Times New Roman" w:cs="Times New Roman"/>
          <w:sz w:val="24"/>
          <w:szCs w:val="24"/>
        </w:rPr>
        <w:fldChar w:fldCharType="separate"/>
      </w:r>
      <w:r w:rsidR="009C1161" w:rsidRPr="009C1161">
        <w:rPr>
          <w:rFonts w:ascii="Times New Roman" w:hAnsi="Times New Roman" w:cs="Times New Roman"/>
          <w:sz w:val="24"/>
          <w:szCs w:val="24"/>
          <w:vertAlign w:val="superscript"/>
        </w:rPr>
        <w:t>4</w:t>
      </w:r>
      <w:r w:rsidR="00D23667">
        <w:rPr>
          <w:rFonts w:ascii="Times New Roman" w:eastAsia="Times New Roman" w:hAnsi="Times New Roman" w:cs="Times New Roman"/>
          <w:sz w:val="24"/>
          <w:szCs w:val="24"/>
        </w:rPr>
        <w:fldChar w:fldCharType="end"/>
      </w:r>
      <w:r w:rsidR="00D23667">
        <w:rPr>
          <w:rFonts w:ascii="Times New Roman" w:eastAsia="Times New Roman" w:hAnsi="Times New Roman" w:cs="Times New Roman"/>
          <w:sz w:val="24"/>
          <w:szCs w:val="24"/>
        </w:rPr>
        <w:t>.</w:t>
      </w:r>
    </w:p>
    <w:p w14:paraId="1580172D" w14:textId="21A57573" w:rsidR="00FB34C1" w:rsidRDefault="0003068C" w:rsidP="00AC13BC">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4"/>
          <w:szCs w:val="24"/>
        </w:rPr>
      </w:pPr>
      <w:r w:rsidRPr="00D70D43">
        <w:rPr>
          <w:rFonts w:ascii="Times New Roman" w:eastAsia="Times New Roman" w:hAnsi="Times New Roman" w:cs="Times New Roman"/>
          <w:color w:val="000000"/>
          <w:sz w:val="24"/>
          <w:szCs w:val="24"/>
        </w:rPr>
        <w:t>However, most of the discovered skeletons were buried in a seated or semi-reclined position. The majority of the individuals were facing towards the entrance of the cave. The bodies were probably surrounded by a pocket of empty space during their decomposition and were covered by organic materials because of the partial loss of anatomical articulation of skeleton elements. It should be mentioned that many burials were associated with funerary objects like horn cores and stones stained with ochre</w:t>
      </w:r>
      <w:r w:rsidR="00D23667">
        <w:rPr>
          <w:rFonts w:ascii="Times New Roman" w:eastAsia="Times New Roman" w:hAnsi="Times New Roman" w:cs="Times New Roman"/>
          <w:color w:val="000000"/>
          <w:sz w:val="24"/>
          <w:szCs w:val="24"/>
        </w:rPr>
        <w:t xml:space="preserve"> </w:t>
      </w:r>
      <w:r w:rsidR="00D23667">
        <w:rPr>
          <w:rFonts w:ascii="Times New Roman" w:eastAsia="Times New Roman" w:hAnsi="Times New Roman" w:cs="Times New Roman"/>
          <w:color w:val="000000"/>
          <w:sz w:val="24"/>
          <w:szCs w:val="24"/>
        </w:rPr>
        <w:fldChar w:fldCharType="begin"/>
      </w:r>
      <w:r w:rsidR="009C1161">
        <w:rPr>
          <w:rFonts w:ascii="Times New Roman" w:eastAsia="Times New Roman" w:hAnsi="Times New Roman" w:cs="Times New Roman"/>
          <w:color w:val="000000"/>
          <w:sz w:val="24"/>
          <w:szCs w:val="24"/>
        </w:rPr>
        <w:instrText xml:space="preserve"> ADDIN ZOTERO_ITEM CSL_CITATION {"citationID":"rRyHt3He","properties":{"formattedCitation":"\\super 5\\nosupersub{}","plainCitation":"5","noteIndex":0},"citationItems":[{"id":34,"uris":["http://zotero.org/users/7125028/items/PLQI9GDR"],"itemData":{"id":34,"type":"article-journal","abstract":"Infant funerary behavior and kinship in Pleistocene hunter-gatherers from Morocco","container-title":"Journal of Human Evolution","ISSN":"0047-2484","language":"en","page":"102637","source":"www.academia.edu","title":"Infant funerary behavior and kinship in Pleistocene hunter-gatherers from Morocco","volume":"135","author":[{"family":"Humphrey","given":"Louise"},{"family":"Freyne","given":"Alison"},{"family":"Loosdrecht","given":"Marieke","dropping-particle":"van de"},{"family":"Hogue","given":"Joshua T."},{"family":"Turner","given":"Elaine"},{"family":"Barton","given":"Nick"},{"family":"Bouzouggar","given":"Abdeljalil"}],"issued":{"date-parts":[["2019"]]}}}],"schema":"https://github.com/citation-style-language/schema/raw/master/csl-citation.json"} </w:instrText>
      </w:r>
      <w:r w:rsidR="00D23667">
        <w:rPr>
          <w:rFonts w:ascii="Times New Roman" w:eastAsia="Times New Roman" w:hAnsi="Times New Roman" w:cs="Times New Roman"/>
          <w:color w:val="000000"/>
          <w:sz w:val="24"/>
          <w:szCs w:val="24"/>
        </w:rPr>
        <w:fldChar w:fldCharType="separate"/>
      </w:r>
      <w:r w:rsidR="009C1161" w:rsidRPr="009C1161">
        <w:rPr>
          <w:rFonts w:ascii="Times New Roman" w:hAnsi="Times New Roman" w:cs="Times New Roman"/>
          <w:sz w:val="24"/>
          <w:szCs w:val="24"/>
          <w:vertAlign w:val="superscript"/>
        </w:rPr>
        <w:t>5</w:t>
      </w:r>
      <w:r w:rsidR="00D23667">
        <w:rPr>
          <w:rFonts w:ascii="Times New Roman" w:eastAsia="Times New Roman" w:hAnsi="Times New Roman" w:cs="Times New Roman"/>
          <w:color w:val="000000"/>
          <w:sz w:val="24"/>
          <w:szCs w:val="24"/>
        </w:rPr>
        <w:fldChar w:fldCharType="end"/>
      </w:r>
      <w:r w:rsidR="00D23667">
        <w:rPr>
          <w:rFonts w:ascii="Times New Roman" w:eastAsia="Times New Roman" w:hAnsi="Times New Roman" w:cs="Times New Roman"/>
          <w:color w:val="000000"/>
          <w:sz w:val="24"/>
          <w:szCs w:val="24"/>
        </w:rPr>
        <w:t>.</w:t>
      </w:r>
    </w:p>
    <w:p w14:paraId="0000001B" w14:textId="57FBAECA" w:rsidR="00784AF4" w:rsidRPr="00D70D43" w:rsidRDefault="00FB34C1">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D70D43">
        <w:rPr>
          <w:rFonts w:ascii="Times New Roman" w:eastAsia="Times New Roman" w:hAnsi="Times New Roman" w:cs="Times New Roman"/>
          <w:color w:val="000000"/>
          <w:sz w:val="24"/>
          <w:szCs w:val="24"/>
        </w:rPr>
        <w:t>Seven human bone samples from Sector 10</w:t>
      </w:r>
      <w:r>
        <w:rPr>
          <w:rFonts w:ascii="Times New Roman" w:eastAsia="Times New Roman" w:hAnsi="Times New Roman" w:cs="Times New Roman"/>
          <w:color w:val="000000"/>
          <w:sz w:val="24"/>
          <w:szCs w:val="24"/>
        </w:rPr>
        <w:t xml:space="preserve"> (grey serie</w:t>
      </w:r>
      <w:r w:rsidR="00E81961">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w:t>
      </w:r>
      <w:r w:rsidRPr="00D70D43">
        <w:rPr>
          <w:rFonts w:ascii="Times New Roman" w:eastAsia="Times New Roman" w:hAnsi="Times New Roman" w:cs="Times New Roman"/>
          <w:color w:val="000000"/>
          <w:sz w:val="24"/>
          <w:szCs w:val="24"/>
        </w:rPr>
        <w:t xml:space="preserve"> have been directly dated by radiocarbon accelerator mass spectrometry (AMS) using ultrafiltration giving dates that span the period of 15,077 cal. BP and 13,892 cal. y BP</w:t>
      </w:r>
      <w:r>
        <w:rPr>
          <w:rFonts w:ascii="Times New Roman" w:eastAsia="Times New Roman" w:hAnsi="Times New Roman" w:cs="Times New Roman"/>
          <w:color w:val="000000"/>
          <w:sz w:val="24"/>
          <w:szCs w:val="24"/>
        </w:rPr>
        <w:t xml:space="preserve"> </w:t>
      </w:r>
      <w:r w:rsidR="00D23667">
        <w:rPr>
          <w:rFonts w:ascii="Times New Roman" w:eastAsia="Times New Roman" w:hAnsi="Times New Roman" w:cs="Times New Roman"/>
          <w:color w:val="000000"/>
          <w:sz w:val="24"/>
          <w:szCs w:val="24"/>
        </w:rPr>
        <w:fldChar w:fldCharType="begin"/>
      </w:r>
      <w:r w:rsidR="009C1161">
        <w:rPr>
          <w:rFonts w:ascii="Times New Roman" w:eastAsia="Times New Roman" w:hAnsi="Times New Roman" w:cs="Times New Roman"/>
          <w:color w:val="000000"/>
          <w:sz w:val="24"/>
          <w:szCs w:val="24"/>
        </w:rPr>
        <w:instrText xml:space="preserve"> ADDIN ZOTERO_ITEM CSL_CITATION {"citationID":"rfkbOFcK","properties":{"formattedCitation":"\\super 3\\nosupersub{}","plainCitation":"3","noteIndex":0},"citationItems":[{"id":129,"uris":["http://zotero.org/users/7125028/items/7EXG2KVI"],"itemData":{"id":129,"type":"article-journal","abstract":"Recent genetic studies based on the distribution of mtDNA of haplogroup U6 have led to subtly different theories regarding the arrival of modern human populations in North Africa. One proposes that groups of the proto-U6 lineage spread from the Near East to North Africa around 40–45 ka (thousands of years ago), followed by some degree of regional continuity. Another envisages a westward human migration from the Near East, followed by further demographic expansion at </w:instrText>
      </w:r>
      <w:r w:rsidR="009C1161">
        <w:rPr>
          <w:rFonts w:ascii="Cambria Math" w:eastAsia="Times New Roman" w:hAnsi="Cambria Math" w:cs="Cambria Math"/>
          <w:color w:val="000000"/>
          <w:sz w:val="24"/>
          <w:szCs w:val="24"/>
        </w:rPr>
        <w:instrText>∼</w:instrText>
      </w:r>
      <w:r w:rsidR="009C1161">
        <w:rPr>
          <w:rFonts w:ascii="Times New Roman" w:eastAsia="Times New Roman" w:hAnsi="Times New Roman" w:cs="Times New Roman"/>
          <w:color w:val="000000"/>
          <w:sz w:val="24"/>
          <w:szCs w:val="24"/>
        </w:rPr>
        <w:instrText xml:space="preserve">22 ka centred on the Maghreb and associated with a microlithic bladelet culture known as the Iberomaurusian. In evaluating these theories, we report on the results of new work on the Middle (MSA) and Later Stone (LSA) Age deposits at Taforalt Cave in Morocco. We present 54 AMS radiocarbon dates on bone and charcoals from a sequence of late MSA and LSA occupation levels of the cave. Using Bayesian modelling we show that an MSA non-Levallois flake industry was present until </w:instrText>
      </w:r>
      <w:r w:rsidR="009C1161">
        <w:rPr>
          <w:rFonts w:ascii="Cambria Math" w:eastAsia="Times New Roman" w:hAnsi="Cambria Math" w:cs="Cambria Math"/>
          <w:color w:val="000000"/>
          <w:sz w:val="24"/>
          <w:szCs w:val="24"/>
        </w:rPr>
        <w:instrText>∼</w:instrText>
      </w:r>
      <w:r w:rsidR="009C1161">
        <w:rPr>
          <w:rFonts w:ascii="Times New Roman" w:eastAsia="Times New Roman" w:hAnsi="Times New Roman" w:cs="Times New Roman"/>
          <w:color w:val="000000"/>
          <w:sz w:val="24"/>
          <w:szCs w:val="24"/>
        </w:rPr>
        <w:instrText xml:space="preserve">24.5 ka Cal BP (calibrated years before present), followed by a gap in occupation and the subsequent appearance of an LSA Iberomaurusian industry from at least 21,160 Cal BP. The new dating offers fresh light on theories of continuity versus replacement of populations as presented by the genetic evidence. We examine the implications of these data for interpreting the first appearance of the LSA in the Maghreb and providing comparisons with other dated early blade and bladelet industries in North Africa.","container-title":"Journal of Human Evolution","DOI":"10.1016/j.jhevol.2013.06.003","ISSN":"0047-2484","issue":"3","journalAbbreviation":"Journal of Human Evolution","language":"en","page":"266-281","source":"ScienceDirect","title":"Origins of the Iberomaurusian in NW Africa: New AMS radiocarbon dating of the Middle and Later Stone Age deposits at Taforalt Cave, Morocco","title-short":"Origins of the Iberomaurusian in NW Africa","volume":"65","author":[{"family":"Barton","given":"R. N. E."},{"family":"Bouzouggar","given":"A."},{"family":"Hogue","given":"J. T."},{"family":"Lee","given":"S."},{"family":"Collcutt","given":"S. N."},{"family":"Ditchfield","given":"P."}],"issued":{"date-parts":[["2013",9,1]]}}}],"schema":"https://github.com/citation-style-language/schema/raw/master/csl-citation.json"} </w:instrText>
      </w:r>
      <w:r w:rsidR="00D23667">
        <w:rPr>
          <w:rFonts w:ascii="Times New Roman" w:eastAsia="Times New Roman" w:hAnsi="Times New Roman" w:cs="Times New Roman"/>
          <w:color w:val="000000"/>
          <w:sz w:val="24"/>
          <w:szCs w:val="24"/>
        </w:rPr>
        <w:fldChar w:fldCharType="separate"/>
      </w:r>
      <w:r w:rsidR="009C1161" w:rsidRPr="009C1161">
        <w:rPr>
          <w:rFonts w:ascii="Times New Roman" w:hAnsi="Times New Roman" w:cs="Times New Roman"/>
          <w:sz w:val="24"/>
          <w:szCs w:val="24"/>
          <w:vertAlign w:val="superscript"/>
        </w:rPr>
        <w:t>3</w:t>
      </w:r>
      <w:r w:rsidR="00D23667">
        <w:rPr>
          <w:rFonts w:ascii="Times New Roman" w:eastAsia="Times New Roman" w:hAnsi="Times New Roman" w:cs="Times New Roman"/>
          <w:color w:val="000000"/>
          <w:sz w:val="24"/>
          <w:szCs w:val="24"/>
        </w:rPr>
        <w:fldChar w:fldCharType="end"/>
      </w:r>
    </w:p>
    <w:p w14:paraId="4EBBE4C6" w14:textId="77777777" w:rsidR="00FB3CD8" w:rsidRDefault="00FB3CD8">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p w14:paraId="0EE8805D" w14:textId="782195DE" w:rsidR="00FB3CD8" w:rsidRDefault="003F2C9A" w:rsidP="00C700A5">
      <w:pPr>
        <w:pBdr>
          <w:top w:val="nil"/>
          <w:left w:val="nil"/>
          <w:bottom w:val="nil"/>
          <w:right w:val="nil"/>
          <w:between w:val="nil"/>
        </w:pBdr>
        <w:spacing w:after="0" w:line="360" w:lineRule="auto"/>
        <w:jc w:val="center"/>
        <w:rPr>
          <w:rFonts w:ascii="Times New Roman" w:eastAsia="Times New Roman" w:hAnsi="Times New Roman" w:cs="Times New Roman"/>
          <w:sz w:val="24"/>
          <w:szCs w:val="24"/>
        </w:rPr>
      </w:pPr>
      <w:r>
        <w:rPr>
          <w:noProof/>
        </w:rPr>
        <w:lastRenderedPageBreak/>
        <w:drawing>
          <wp:inline distT="0" distB="0" distL="0" distR="0" wp14:anchorId="3B06D1B9" wp14:editId="648649A1">
            <wp:extent cx="4992735" cy="6318607"/>
            <wp:effectExtent l="0" t="0" r="0" b="6350"/>
            <wp:docPr id="22" name="Image 22" descr="https://ars.els-cdn.com/content/image/1-s2.0-S0047248413001383-g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rs.els-cdn.com/content/image/1-s2.0-S0047248413001383-gr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4188" cy="6320446"/>
                    </a:xfrm>
                    <a:prstGeom prst="rect">
                      <a:avLst/>
                    </a:prstGeom>
                    <a:noFill/>
                    <a:ln>
                      <a:noFill/>
                    </a:ln>
                  </pic:spPr>
                </pic:pic>
              </a:graphicData>
            </a:graphic>
          </wp:inline>
        </w:drawing>
      </w:r>
    </w:p>
    <w:p w14:paraId="4CA923AB" w14:textId="77777777" w:rsidR="00FB3CD8" w:rsidRDefault="00FB3CD8">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p>
    <w:p w14:paraId="2AD8B6E3" w14:textId="0E01462F" w:rsidR="00FB3CD8" w:rsidRDefault="00FB3CD8" w:rsidP="00FB3CD8">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F2C9A" w:rsidRPr="0064579A">
        <w:rPr>
          <w:rFonts w:ascii="Times New Roman" w:eastAsia="Times New Roman" w:hAnsi="Times New Roman" w:cs="Times New Roman"/>
          <w:b/>
          <w:sz w:val="24"/>
          <w:szCs w:val="24"/>
        </w:rPr>
        <w:t>Figure S1.</w:t>
      </w:r>
      <w:r w:rsidR="003F2C9A" w:rsidRPr="003F2C9A">
        <w:rPr>
          <w:rFonts w:ascii="Times New Roman" w:eastAsia="Times New Roman" w:hAnsi="Times New Roman" w:cs="Times New Roman"/>
          <w:b/>
          <w:sz w:val="24"/>
          <w:szCs w:val="24"/>
        </w:rPr>
        <w:t>1</w:t>
      </w:r>
      <w:r>
        <w:rPr>
          <w:rFonts w:ascii="Times New Roman" w:eastAsia="Times New Roman" w:hAnsi="Times New Roman" w:cs="Times New Roman"/>
          <w:sz w:val="24"/>
          <w:szCs w:val="24"/>
        </w:rPr>
        <w:t xml:space="preserve"> </w:t>
      </w:r>
      <w:r w:rsidR="003F2C9A" w:rsidRPr="003F2C9A">
        <w:rPr>
          <w:rFonts w:ascii="Times New Roman" w:eastAsia="Times New Roman" w:hAnsi="Times New Roman" w:cs="Times New Roman"/>
          <w:sz w:val="24"/>
          <w:szCs w:val="24"/>
        </w:rPr>
        <w:t xml:space="preserve">Plan of Taforalt showing </w:t>
      </w:r>
      <w:r w:rsidR="003F2C9A">
        <w:rPr>
          <w:rFonts w:ascii="Times New Roman" w:eastAsia="Times New Roman" w:hAnsi="Times New Roman" w:cs="Times New Roman"/>
          <w:sz w:val="24"/>
          <w:szCs w:val="24"/>
        </w:rPr>
        <w:t>location of different sectors</w:t>
      </w:r>
      <w:r w:rsidR="00C700A5">
        <w:rPr>
          <w:rFonts w:ascii="Times New Roman" w:eastAsia="Times New Roman" w:hAnsi="Times New Roman" w:cs="Times New Roman"/>
          <w:sz w:val="24"/>
          <w:szCs w:val="24"/>
        </w:rPr>
        <w:t xml:space="preserve"> and the </w:t>
      </w:r>
      <w:r w:rsidR="00C700A5" w:rsidRPr="00C700A5">
        <w:rPr>
          <w:rFonts w:ascii="Times New Roman" w:eastAsia="Times New Roman" w:hAnsi="Times New Roman" w:cs="Times New Roman"/>
          <w:sz w:val="24"/>
          <w:szCs w:val="24"/>
        </w:rPr>
        <w:t>earlier Roche excavations and main sectors of the recent field campaigns</w:t>
      </w:r>
      <w:r w:rsidR="00C700A5">
        <w:rPr>
          <w:rFonts w:ascii="Times New Roman" w:eastAsia="Times New Roman" w:hAnsi="Times New Roman" w:cs="Times New Roman"/>
          <w:sz w:val="24"/>
          <w:szCs w:val="24"/>
        </w:rPr>
        <w:t xml:space="preserve">  (From Barton et al., 2013)</w:t>
      </w:r>
      <w:r w:rsidR="00C700A5">
        <w:rPr>
          <w:rFonts w:ascii="Times New Roman" w:eastAsia="Times New Roman" w:hAnsi="Times New Roman" w:cs="Times New Roman"/>
          <w:sz w:val="24"/>
          <w:szCs w:val="24"/>
        </w:rPr>
        <w:fldChar w:fldCharType="begin"/>
      </w:r>
      <w:r w:rsidR="00C700A5">
        <w:rPr>
          <w:rFonts w:ascii="Times New Roman" w:eastAsia="Times New Roman" w:hAnsi="Times New Roman" w:cs="Times New Roman"/>
          <w:sz w:val="24"/>
          <w:szCs w:val="24"/>
        </w:rPr>
        <w:instrText xml:space="preserve"> ADDIN ZOTERO_ITEM CSL_CITATION {"citationID":"gsMFF7oU","properties":{"formattedCitation":"\\super 3\\nosupersub{}","plainCitation":"3","noteIndex":0},"citationItems":[{"id":129,"uris":["http://zotero.org/users/7125028/items/7EXG2KVI"],"itemData":{"id":129,"type":"article-journal","abstract":"Recent genetic studies based on the distribution of mtDNA of haplogroup U6 have led to subtly different theories regarding the arrival of modern human populations in North Africa. One proposes that groups of the proto-U6 lineage spread from the Near East to North Africa around 40–45 ka (thousands of years ago), followed by some degree of regional continuity. Another envisages a westward human migration from the Near East, followed by further demographic expansion at </w:instrText>
      </w:r>
      <w:r w:rsidR="00C700A5">
        <w:rPr>
          <w:rFonts w:ascii="Cambria Math" w:eastAsia="Times New Roman" w:hAnsi="Cambria Math" w:cs="Cambria Math"/>
          <w:sz w:val="24"/>
          <w:szCs w:val="24"/>
        </w:rPr>
        <w:instrText>∼</w:instrText>
      </w:r>
      <w:r w:rsidR="00C700A5">
        <w:rPr>
          <w:rFonts w:ascii="Times New Roman" w:eastAsia="Times New Roman" w:hAnsi="Times New Roman" w:cs="Times New Roman"/>
          <w:sz w:val="24"/>
          <w:szCs w:val="24"/>
        </w:rPr>
        <w:instrText xml:space="preserve">22 ka centred on the Maghreb and associated with a microlithic bladelet culture known as the Iberomaurusian. In evaluating these theories, we report on the results of new work on the Middle (MSA) and Later Stone (LSA) Age deposits at Taforalt Cave in Morocco. We present 54 AMS radiocarbon dates on bone and charcoals from a sequence of late MSA and LSA occupation levels of the cave. Using Bayesian modelling we show that an MSA non-Levallois flake industry was present until </w:instrText>
      </w:r>
      <w:r w:rsidR="00C700A5">
        <w:rPr>
          <w:rFonts w:ascii="Cambria Math" w:eastAsia="Times New Roman" w:hAnsi="Cambria Math" w:cs="Cambria Math"/>
          <w:sz w:val="24"/>
          <w:szCs w:val="24"/>
        </w:rPr>
        <w:instrText>∼</w:instrText>
      </w:r>
      <w:r w:rsidR="00C700A5">
        <w:rPr>
          <w:rFonts w:ascii="Times New Roman" w:eastAsia="Times New Roman" w:hAnsi="Times New Roman" w:cs="Times New Roman"/>
          <w:sz w:val="24"/>
          <w:szCs w:val="24"/>
        </w:rPr>
        <w:instrText xml:space="preserve">24.5 ka Cal BP (calibrated years before present), followed by a gap in occupation and the subsequent appearance of an LSA Iberomaurusian industry from at least 21,160 Cal BP. The new dating offers fresh light on theories of continuity versus replacement of populations as presented by the genetic evidence. We examine the implications of these data for interpreting the first appearance of the LSA in the Maghreb and providing comparisons with other dated early blade and bladelet industries in North Africa.","container-title":"Journal of Human Evolution","DOI":"10.1016/j.jhevol.2013.06.003","ISSN":"0047-2484","issue":"3","journalAbbreviation":"Journal of Human Evolution","language":"en","page":"266-281","source":"ScienceDirect","title":"Origins of the Iberomaurusian in NW Africa: New AMS radiocarbon dating of the Middle and Later Stone Age deposits at Taforalt Cave, Morocco","title-short":"Origins of the Iberomaurusian in NW Africa","volume":"65","author":[{"family":"Barton","given":"R. N. E."},{"family":"Bouzouggar","given":"A."},{"family":"Hogue","given":"J. T."},{"family":"Lee","given":"S."},{"family":"Collcutt","given":"S. N."},{"family":"Ditchfield","given":"P."}],"issued":{"date-parts":[["2013",9,1]]}}}],"schema":"https://github.com/citation-style-language/schema/raw/master/csl-citation.json"} </w:instrText>
      </w:r>
      <w:r w:rsidR="00C700A5">
        <w:rPr>
          <w:rFonts w:ascii="Times New Roman" w:eastAsia="Times New Roman" w:hAnsi="Times New Roman" w:cs="Times New Roman"/>
          <w:sz w:val="24"/>
          <w:szCs w:val="24"/>
        </w:rPr>
        <w:fldChar w:fldCharType="separate"/>
      </w:r>
      <w:r w:rsidR="00C700A5" w:rsidRPr="00C700A5">
        <w:rPr>
          <w:rFonts w:ascii="Times New Roman" w:hAnsi="Times New Roman" w:cs="Times New Roman"/>
          <w:sz w:val="24"/>
          <w:szCs w:val="24"/>
          <w:vertAlign w:val="superscript"/>
        </w:rPr>
        <w:t>3</w:t>
      </w:r>
      <w:r w:rsidR="00C700A5">
        <w:rPr>
          <w:rFonts w:ascii="Times New Roman" w:eastAsia="Times New Roman" w:hAnsi="Times New Roman" w:cs="Times New Roman"/>
          <w:sz w:val="24"/>
          <w:szCs w:val="24"/>
        </w:rPr>
        <w:fldChar w:fldCharType="end"/>
      </w:r>
      <w:r w:rsidR="00C700A5" w:rsidRPr="00C700A5">
        <w:rPr>
          <w:rFonts w:ascii="Times New Roman" w:eastAsia="Times New Roman" w:hAnsi="Times New Roman" w:cs="Times New Roman"/>
          <w:sz w:val="24"/>
          <w:szCs w:val="24"/>
        </w:rPr>
        <w:t>.</w:t>
      </w:r>
    </w:p>
    <w:p w14:paraId="0000001C" w14:textId="532FAD72" w:rsidR="00784AF4" w:rsidRPr="00D70D43" w:rsidRDefault="00FB3CD8" w:rsidP="00FB3CD8">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Pr>
          <w:noProof/>
        </w:rPr>
        <w:lastRenderedPageBreak/>
        <w:drawing>
          <wp:inline distT="0" distB="0" distL="0" distR="0" wp14:anchorId="671DC434" wp14:editId="5EB4B9BA">
            <wp:extent cx="6431872" cy="3851564"/>
            <wp:effectExtent l="0" t="0" r="762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40231" cy="3856569"/>
                    </a:xfrm>
                    <a:prstGeom prst="rect">
                      <a:avLst/>
                    </a:prstGeom>
                  </pic:spPr>
                </pic:pic>
              </a:graphicData>
            </a:graphic>
          </wp:inline>
        </w:drawing>
      </w:r>
      <w:r w:rsidR="00B90B1C">
        <w:rPr>
          <w:rFonts w:ascii="Times New Roman" w:eastAsia="Times New Roman" w:hAnsi="Times New Roman" w:cs="Times New Roman"/>
          <w:sz w:val="24"/>
          <w:szCs w:val="24"/>
        </w:rPr>
        <w:br w:type="textWrapping" w:clear="all"/>
      </w:r>
    </w:p>
    <w:p w14:paraId="0000001D" w14:textId="5A6C0A4E" w:rsidR="00784AF4" w:rsidRDefault="0003068C" w:rsidP="0064579A">
      <w:pPr>
        <w:spacing w:before="240" w:after="0" w:line="276" w:lineRule="auto"/>
        <w:rPr>
          <w:rFonts w:ascii="Times New Roman" w:eastAsia="Times New Roman" w:hAnsi="Times New Roman" w:cs="Times New Roman"/>
          <w:sz w:val="24"/>
          <w:szCs w:val="24"/>
        </w:rPr>
      </w:pPr>
      <w:r w:rsidRPr="0064579A">
        <w:rPr>
          <w:rFonts w:ascii="Times New Roman" w:eastAsia="Times New Roman" w:hAnsi="Times New Roman" w:cs="Times New Roman"/>
          <w:b/>
          <w:sz w:val="24"/>
          <w:szCs w:val="24"/>
        </w:rPr>
        <w:t>Figure</w:t>
      </w:r>
      <w:r w:rsidR="00E6571E" w:rsidRPr="0064579A">
        <w:rPr>
          <w:rFonts w:ascii="Times New Roman" w:eastAsia="Times New Roman" w:hAnsi="Times New Roman" w:cs="Times New Roman"/>
          <w:b/>
          <w:sz w:val="24"/>
          <w:szCs w:val="24"/>
        </w:rPr>
        <w:t xml:space="preserve"> </w:t>
      </w:r>
      <w:r w:rsidR="004103FF" w:rsidRPr="0064579A">
        <w:rPr>
          <w:rFonts w:ascii="Times New Roman" w:eastAsia="Times New Roman" w:hAnsi="Times New Roman" w:cs="Times New Roman"/>
          <w:b/>
          <w:sz w:val="24"/>
          <w:szCs w:val="24"/>
        </w:rPr>
        <w:t>S</w:t>
      </w:r>
      <w:r w:rsidR="00E6571E" w:rsidRPr="0064579A">
        <w:rPr>
          <w:rFonts w:ascii="Times New Roman" w:eastAsia="Times New Roman" w:hAnsi="Times New Roman" w:cs="Times New Roman"/>
          <w:b/>
          <w:sz w:val="24"/>
          <w:szCs w:val="24"/>
        </w:rPr>
        <w:t>1</w:t>
      </w:r>
      <w:r w:rsidR="004103FF" w:rsidRPr="0064579A">
        <w:rPr>
          <w:rFonts w:ascii="Times New Roman" w:eastAsia="Times New Roman" w:hAnsi="Times New Roman" w:cs="Times New Roman"/>
          <w:b/>
          <w:sz w:val="24"/>
          <w:szCs w:val="24"/>
        </w:rPr>
        <w:t>.</w:t>
      </w:r>
      <w:r w:rsidR="00B836DC">
        <w:rPr>
          <w:rFonts w:ascii="Times New Roman" w:eastAsia="Times New Roman" w:hAnsi="Times New Roman" w:cs="Times New Roman"/>
          <w:b/>
          <w:sz w:val="24"/>
          <w:szCs w:val="24"/>
        </w:rPr>
        <w:t>2</w:t>
      </w:r>
      <w:r w:rsidRPr="0064579A">
        <w:rPr>
          <w:rFonts w:ascii="Times New Roman" w:eastAsia="Times New Roman" w:hAnsi="Times New Roman" w:cs="Times New Roman"/>
          <w:b/>
          <w:sz w:val="24"/>
          <w:szCs w:val="24"/>
        </w:rPr>
        <w:t>:</w:t>
      </w:r>
      <w:r w:rsidRPr="00D70D43">
        <w:rPr>
          <w:rFonts w:ascii="Times New Roman" w:eastAsia="Times New Roman" w:hAnsi="Times New Roman" w:cs="Times New Roman"/>
          <w:sz w:val="24"/>
          <w:szCs w:val="24"/>
        </w:rPr>
        <w:t xml:space="preserve"> (</w:t>
      </w:r>
      <w:r w:rsidR="00B719E2">
        <w:rPr>
          <w:rFonts w:ascii="Times New Roman" w:eastAsia="Times New Roman" w:hAnsi="Times New Roman" w:cs="Times New Roman"/>
          <w:i/>
          <w:sz w:val="24"/>
          <w:szCs w:val="24"/>
        </w:rPr>
        <w:t>left</w:t>
      </w:r>
      <w:r w:rsidRPr="00D70D43">
        <w:rPr>
          <w:rFonts w:ascii="Times New Roman" w:eastAsia="Times New Roman" w:hAnsi="Times New Roman" w:cs="Times New Roman"/>
          <w:sz w:val="24"/>
          <w:szCs w:val="24"/>
        </w:rPr>
        <w:t xml:space="preserve">) </w:t>
      </w:r>
      <w:r w:rsidR="000475E4" w:rsidRPr="000475E4">
        <w:rPr>
          <w:rFonts w:ascii="Times New Roman" w:eastAsia="Times New Roman" w:hAnsi="Times New Roman" w:cs="Times New Roman"/>
          <w:sz w:val="24"/>
          <w:szCs w:val="24"/>
        </w:rPr>
        <w:t xml:space="preserve">Composite drawing of </w:t>
      </w:r>
      <w:r w:rsidR="003F2C9A">
        <w:rPr>
          <w:rFonts w:ascii="Times New Roman" w:eastAsia="Times New Roman" w:hAnsi="Times New Roman" w:cs="Times New Roman"/>
          <w:sz w:val="24"/>
          <w:szCs w:val="24"/>
        </w:rPr>
        <w:t>the human</w:t>
      </w:r>
      <w:r w:rsidR="000475E4" w:rsidRPr="000475E4">
        <w:rPr>
          <w:rFonts w:ascii="Times New Roman" w:eastAsia="Times New Roman" w:hAnsi="Times New Roman" w:cs="Times New Roman"/>
          <w:sz w:val="24"/>
          <w:szCs w:val="24"/>
        </w:rPr>
        <w:t xml:space="preserve"> burials </w:t>
      </w:r>
      <w:r w:rsidR="003F2C9A">
        <w:rPr>
          <w:rFonts w:ascii="Times New Roman" w:eastAsia="Times New Roman" w:hAnsi="Times New Roman" w:cs="Times New Roman"/>
          <w:sz w:val="24"/>
          <w:szCs w:val="24"/>
        </w:rPr>
        <w:t xml:space="preserve">from sector 10 </w:t>
      </w:r>
      <w:r w:rsidR="000475E4" w:rsidRPr="000475E4">
        <w:rPr>
          <w:rFonts w:ascii="Times New Roman" w:eastAsia="Times New Roman" w:hAnsi="Times New Roman" w:cs="Times New Roman"/>
          <w:sz w:val="24"/>
          <w:szCs w:val="24"/>
        </w:rPr>
        <w:t xml:space="preserve">showing Individuals 1-14 and including cover stones </w:t>
      </w:r>
      <w:r w:rsidR="003F2C9A">
        <w:rPr>
          <w:rFonts w:ascii="Times New Roman" w:eastAsia="Times New Roman" w:hAnsi="Times New Roman" w:cs="Times New Roman"/>
          <w:sz w:val="24"/>
          <w:szCs w:val="24"/>
        </w:rPr>
        <w:t xml:space="preserve">from </w:t>
      </w:r>
      <w:r w:rsidRPr="00D70D43">
        <w:rPr>
          <w:rFonts w:ascii="Times New Roman" w:eastAsia="Times New Roman" w:hAnsi="Times New Roman" w:cs="Times New Roman"/>
          <w:sz w:val="24"/>
          <w:szCs w:val="24"/>
        </w:rPr>
        <w:t>2005 to 20</w:t>
      </w:r>
      <w:r w:rsidR="00B719E2">
        <w:rPr>
          <w:rFonts w:ascii="Times New Roman" w:eastAsia="Times New Roman" w:hAnsi="Times New Roman" w:cs="Times New Roman"/>
          <w:sz w:val="24"/>
          <w:szCs w:val="24"/>
        </w:rPr>
        <w:t>16 excavations</w:t>
      </w:r>
      <w:r w:rsidR="000E23E0">
        <w:rPr>
          <w:rFonts w:ascii="Times New Roman" w:eastAsia="Times New Roman" w:hAnsi="Times New Roman" w:cs="Times New Roman"/>
          <w:sz w:val="24"/>
          <w:szCs w:val="24"/>
        </w:rPr>
        <w:t>.</w:t>
      </w:r>
      <w:r w:rsidR="00B719E2">
        <w:rPr>
          <w:rFonts w:ascii="Times New Roman" w:eastAsia="Times New Roman" w:hAnsi="Times New Roman" w:cs="Times New Roman"/>
          <w:sz w:val="24"/>
          <w:szCs w:val="24"/>
        </w:rPr>
        <w:t xml:space="preserve"> (</w:t>
      </w:r>
      <w:r w:rsidR="00B719E2" w:rsidRPr="00B719E2">
        <w:rPr>
          <w:rFonts w:ascii="Times New Roman" w:eastAsia="Times New Roman" w:hAnsi="Times New Roman" w:cs="Times New Roman"/>
          <w:i/>
          <w:iCs/>
          <w:sz w:val="24"/>
          <w:szCs w:val="24"/>
        </w:rPr>
        <w:t>right</w:t>
      </w:r>
      <w:r w:rsidR="00B719E2">
        <w:rPr>
          <w:rFonts w:ascii="Times New Roman" w:eastAsia="Times New Roman" w:hAnsi="Times New Roman" w:cs="Times New Roman"/>
          <w:sz w:val="24"/>
          <w:szCs w:val="24"/>
        </w:rPr>
        <w:t xml:space="preserve">) </w:t>
      </w:r>
      <w:r w:rsidR="00B719E2" w:rsidRPr="00B719E2">
        <w:rPr>
          <w:rFonts w:ascii="Times New Roman" w:eastAsia="Times New Roman" w:hAnsi="Times New Roman" w:cs="Times New Roman"/>
          <w:sz w:val="24"/>
          <w:szCs w:val="24"/>
        </w:rPr>
        <w:t xml:space="preserve">Composite drawing of </w:t>
      </w:r>
      <w:r w:rsidR="003F2C9A">
        <w:rPr>
          <w:rFonts w:ascii="Times New Roman" w:eastAsia="Times New Roman" w:hAnsi="Times New Roman" w:cs="Times New Roman"/>
          <w:sz w:val="24"/>
          <w:szCs w:val="24"/>
        </w:rPr>
        <w:t>the human</w:t>
      </w:r>
      <w:r w:rsidR="00B719E2" w:rsidRPr="00B719E2">
        <w:rPr>
          <w:rFonts w:ascii="Times New Roman" w:eastAsia="Times New Roman" w:hAnsi="Times New Roman" w:cs="Times New Roman"/>
          <w:sz w:val="24"/>
          <w:szCs w:val="24"/>
        </w:rPr>
        <w:t xml:space="preserve"> burials showing Individuals 1-14 but with cover stones</w:t>
      </w:r>
      <w:r w:rsidR="00B719E2">
        <w:rPr>
          <w:rFonts w:ascii="Times New Roman" w:eastAsia="Times New Roman" w:hAnsi="Times New Roman" w:cs="Times New Roman"/>
          <w:sz w:val="24"/>
          <w:szCs w:val="24"/>
        </w:rPr>
        <w:t xml:space="preserve"> </w:t>
      </w:r>
      <w:r w:rsidR="00B719E2" w:rsidRPr="00B719E2">
        <w:rPr>
          <w:rFonts w:ascii="Times New Roman" w:eastAsia="Times New Roman" w:hAnsi="Times New Roman" w:cs="Times New Roman"/>
          <w:sz w:val="24"/>
          <w:szCs w:val="24"/>
        </w:rPr>
        <w:t>and horn cores removed</w:t>
      </w:r>
      <w:r w:rsidR="00B719E2">
        <w:rPr>
          <w:rFonts w:ascii="Times New Roman" w:eastAsia="Times New Roman" w:hAnsi="Times New Roman" w:cs="Times New Roman"/>
          <w:sz w:val="24"/>
          <w:szCs w:val="24"/>
        </w:rPr>
        <w:t xml:space="preserve"> </w:t>
      </w:r>
      <w:r w:rsidR="00B719E2">
        <w:rPr>
          <w:rFonts w:ascii="Times New Roman" w:eastAsia="Times New Roman" w:hAnsi="Times New Roman" w:cs="Times New Roman"/>
          <w:sz w:val="24"/>
          <w:szCs w:val="24"/>
        </w:rPr>
        <w:fldChar w:fldCharType="begin"/>
      </w:r>
      <w:r w:rsidR="00B719E2">
        <w:rPr>
          <w:rFonts w:ascii="Times New Roman" w:eastAsia="Times New Roman" w:hAnsi="Times New Roman" w:cs="Times New Roman"/>
          <w:sz w:val="24"/>
          <w:szCs w:val="24"/>
        </w:rPr>
        <w:instrText xml:space="preserve"> ADDIN ZOTERO_ITEM CSL_CITATION {"citationID":"FSNr7hGg","properties":{"formattedCitation":"\\super 6\\nosupersub{}","plainCitation":"6","noteIndex":0},"citationItems":[{"id":895,"uris":["http://zotero.org/users/7125028/items/LNAKZ2VD"],"itemData":{"id":895,"type":"chapter","container-title":"Cemeteries and Sedentism in the Later Stone Age of NW Africa: Excavations at Grotte des Pigeons, Taforalt, Morocco","page":"444-482","publisher":"Monographien des Römisch-Germanischen Zentralmuseums","title":"HUMAN BURIAL EVIDENCE","author":[{"family":"Humphrey","given":"Louise"},{"family":"Freyne","given":"Alison"},{"family":"Berridge","given":"Peter"},{"family":"Berridge","given":"Paul"}],"issued":{"date-parts":[["2019"]]}}}],"schema":"https://github.com/citation-style-language/schema/raw/master/csl-citation.json"} </w:instrText>
      </w:r>
      <w:r w:rsidR="00B719E2">
        <w:rPr>
          <w:rFonts w:ascii="Times New Roman" w:eastAsia="Times New Roman" w:hAnsi="Times New Roman" w:cs="Times New Roman"/>
          <w:sz w:val="24"/>
          <w:szCs w:val="24"/>
        </w:rPr>
        <w:fldChar w:fldCharType="separate"/>
      </w:r>
      <w:r w:rsidR="00B719E2" w:rsidRPr="00B719E2">
        <w:rPr>
          <w:rFonts w:ascii="Times New Roman" w:hAnsi="Times New Roman" w:cs="Times New Roman"/>
          <w:sz w:val="24"/>
          <w:szCs w:val="24"/>
          <w:vertAlign w:val="superscript"/>
        </w:rPr>
        <w:t>6</w:t>
      </w:r>
      <w:r w:rsidR="00B719E2">
        <w:rPr>
          <w:rFonts w:ascii="Times New Roman" w:eastAsia="Times New Roman" w:hAnsi="Times New Roman" w:cs="Times New Roman"/>
          <w:sz w:val="24"/>
          <w:szCs w:val="24"/>
        </w:rPr>
        <w:fldChar w:fldCharType="end"/>
      </w:r>
      <w:r w:rsidR="00B719E2">
        <w:rPr>
          <w:rFonts w:ascii="Times New Roman" w:eastAsia="Times New Roman" w:hAnsi="Times New Roman" w:cs="Times New Roman"/>
          <w:sz w:val="24"/>
          <w:szCs w:val="24"/>
        </w:rPr>
        <w:t>.</w:t>
      </w:r>
    </w:p>
    <w:p w14:paraId="5E13EE10" w14:textId="4BB0185D" w:rsidR="002F3E1D" w:rsidRDefault="002F3E1D">
      <w:pPr>
        <w:spacing w:before="240" w:after="0" w:line="276" w:lineRule="auto"/>
        <w:jc w:val="center"/>
        <w:rPr>
          <w:rFonts w:ascii="Times New Roman" w:eastAsia="Times New Roman" w:hAnsi="Times New Roman" w:cs="Times New Roman"/>
          <w:sz w:val="24"/>
          <w:szCs w:val="24"/>
        </w:rPr>
      </w:pPr>
    </w:p>
    <w:p w14:paraId="2F50843B" w14:textId="77777777" w:rsidR="003F2C9A" w:rsidRPr="00D70D43" w:rsidRDefault="003F2C9A">
      <w:pPr>
        <w:spacing w:before="240" w:after="0" w:line="276" w:lineRule="auto"/>
        <w:jc w:val="center"/>
        <w:rPr>
          <w:rFonts w:ascii="Times New Roman" w:eastAsia="Times New Roman" w:hAnsi="Times New Roman" w:cs="Times New Roman"/>
          <w:sz w:val="24"/>
          <w:szCs w:val="24"/>
        </w:rPr>
      </w:pPr>
    </w:p>
    <w:p w14:paraId="42B3BD55" w14:textId="031169A5" w:rsidR="002F3E1D" w:rsidRPr="00AC13BC" w:rsidRDefault="00224F58" w:rsidP="002F3E1D">
      <w:pPr>
        <w:rPr>
          <w:rFonts w:ascii="Times New Roman" w:eastAsia="Times New Roman" w:hAnsi="Times New Roman" w:cs="Times New Roman"/>
          <w:b/>
          <w:i/>
          <w:sz w:val="24"/>
          <w:szCs w:val="24"/>
        </w:rPr>
      </w:pPr>
      <w:r w:rsidRPr="00AC13BC">
        <w:rPr>
          <w:rFonts w:ascii="Times New Roman" w:hAnsi="Times New Roman" w:cs="Times New Roman"/>
          <w:b/>
          <w:sz w:val="24"/>
          <w:szCs w:val="24"/>
        </w:rPr>
        <w:t>1.3</w:t>
      </w:r>
      <w:r w:rsidR="00AC13BC">
        <w:rPr>
          <w:rFonts w:ascii="Times New Roman" w:hAnsi="Times New Roman" w:cs="Times New Roman"/>
          <w:b/>
          <w:sz w:val="24"/>
          <w:szCs w:val="24"/>
        </w:rPr>
        <w:t xml:space="preserve"> </w:t>
      </w:r>
      <w:r w:rsidR="002F3E1D" w:rsidRPr="00AC13BC">
        <w:rPr>
          <w:rFonts w:ascii="Times New Roman" w:eastAsia="Times New Roman" w:hAnsi="Times New Roman" w:cs="Times New Roman"/>
          <w:b/>
          <w:i/>
          <w:sz w:val="24"/>
          <w:szCs w:val="24"/>
        </w:rPr>
        <w:t>The Iberomaurusian culture</w:t>
      </w:r>
    </w:p>
    <w:p w14:paraId="00000021" w14:textId="3EE5AEB7" w:rsidR="00784AF4" w:rsidRPr="00D70D43" w:rsidRDefault="0003068C" w:rsidP="00B164D0">
      <w:pPr>
        <w:spacing w:before="240" w:after="24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In Northwest Africa, the end of the Late Pleistocene is associated with the Iberomaurusian culture characterized by bladelets and microlithic backed tools, which marks a technological break with the antecedent Aterian</w:t>
      </w:r>
      <w:r w:rsidR="00B164D0">
        <w:rPr>
          <w:rFonts w:ascii="Times New Roman" w:eastAsia="Times New Roman" w:hAnsi="Times New Roman" w:cs="Times New Roman"/>
          <w:sz w:val="24"/>
          <w:szCs w:val="24"/>
        </w:rPr>
        <w:t xml:space="preserve"> (Middle Stone Age)</w:t>
      </w:r>
      <w:r w:rsidR="00D23667">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{"citationID":"ztYYebJs","properties":{"formattedCitation":"\\super 7,8\\nosupersub{}","plainCitation":"7,8","noteIndex":0},"citationItems":[{"id":128,"uris":["http://zotero.org/users/7125028/items/9A8WFL2K"],"itemData":{"id":128,"type":"article-journal","abstract":"Chronological evidence for the Iberomaurusian is currently very limited and there are problems with some of the published radiocarbon dates. In this paper we present new AMS dating results from well-stratified cave sequences at Ghar Cahal, Kehf el Hammar and Taforalt in northern and eastern Morocco. The longest of these sequences, from Taforalt, shows an intermittent occupation history spanning the period ca. 18,000-11,000 bp (radiocarbon determinations presented in this paper are expressed as ka bp or bp, whilst approximate calendar ages are expressed as Cal bp) with a marked intensification of cave use soon after ca. 13,000 bp. Using calibrated AMS ages in comparison to sea surface temperature evidence from the Alboran Sea core MD95-2043 and more generally to Greenland ice δ¹ɸO core records, we suggest that there may have been a relationship, albeit a complex one, between climatic events and cave activity on the part of Iberomaurusian populations. /// La chronologie de l'Ibéromaurusien est actuellement très limitée et certaines dates de radiocarbone publiées sont problématiques. Dans cet article, nous présentons de nouvelles datations AMS (spectrométrie de masse par accélérateur) provenant de séquences bien stratifiées des grottes du nord et de l'oriental est du Maroc: Ghar Cahal, Kehf el Hammar et Taforalt. La plus longue de ces séquences, celle de Taforalt, montre une occupation intermittente couvrant la période ca. 18,000 bp (dates de radiocarbone non corrigées) avec une utilisation intensive de la grotte peu après ca. 13,000 bp (non corrigée). Ensuite, nous avons comparé les datations AMS corrigées aux indications de températures de surface marine calculées à partir du carottage MD95-2043 de la Mer d'Alboran et plus généralement, aux données de δ¹ɸO des carottages de glace du Groenland. Nous en déduisons qu'il pourrait y avoir des rapports, quoique complexes, entre les événements climatiques et l'intensité des activités ibéromaurusiennes dans ces grottes.","container-title":"The African Archaeological Review","ISSN":"0263-0338","issue":"1/2","note":"publisher: Springer","page":"3-19","source":"JSTOR","title":"Reevaluating the Age of the Iberomaurusian in Morocco","volume":"25","author":[{"family":"Bouzouggar","given":"A."},{"family":"Barton","given":"R. N. E."},{"family":"Blockley","given":"S."},{"family":"Bronk-Ramsey","given":"C."},{"family":"Collcutt","given":"S. N."},{"family":"Gale","given":"R."},{"family":"Higham","given":"T. F. G."},{"family":"Humphrey","given":"L. T."},{"family":"Parfitt","given":"S."},{"family":"Turner","given":"E."},{"family":"Ward","given":"S."}],"issued":{"date-parts":[["2008"]]}}},{"id":132,"uris":["http://zotero.org/users/7125028/items/56MFD4IJ"],"itemData":{"id":132,"type":"article-journal","abstract":"A number of recent genetic studies have suggested competing hypotheses relating to the emergence and spread of populations in Northwest Africa during the Late Pleistocene. Until now is has been difficult to test models derived from genetic work against the archaeological record mainly due to the paucity of reliable dating evidence in the region. A major question relates to timing and nature of the emergence of microlithic LSA assemblages and whether these new technologies developed independently within the area or were related to movement of populations from adjacent regions. Here, we present a series of new AMS radiocarbon dates on bone from the LSA sequence at Tamar Hat (Algeria) and discuss these ages in relation to the existing radiocarbon chronology for the terminal Pleistocene microlithic LSA assemblages of the Maghreb. The radiocarbon ages date from </w:instrText>
      </w:r>
      <w:r w:rsidR="000475E4">
        <w:rPr>
          <w:rFonts w:ascii="Cambria Math" w:eastAsia="Times New Roman" w:hAnsi="Cambria Math" w:cs="Cambria Math"/>
          <w:sz w:val="24"/>
          <w:szCs w:val="24"/>
        </w:rPr>
        <w:instrText>∼</w:instrText>
      </w:r>
      <w:r w:rsidR="000475E4">
        <w:rPr>
          <w:rFonts w:ascii="Times New Roman" w:eastAsia="Times New Roman" w:hAnsi="Times New Roman" w:cs="Times New Roman"/>
          <w:sz w:val="24"/>
          <w:szCs w:val="24"/>
        </w:rPr>
        <w:instrText xml:space="preserve">25 ka cal BP and show an earlier appearance of this technology than previously thought. We examine the implications of these early dates for understanding the first appearance and spread of microlithic technology in the Maghreb and discuss further ramifications for understanding emergence of similar industries elsewhere in North Africa.","container-title":"Quaternary International","DOI":"10.1016/j.quaint.2015.11.144","journalAbbreviation":"Quaternary International","source":"ResearchGate","title":"New radiocarbon dates for the earliest Later Stone Age microlithic technology in Northwest Africa","author":[{"family":"Hogue","given":"Joshua"},{"family":"Barton","given":"Nick"}],"issued":{"date-parts":[["2016",2,1]]}}}],"schema":"https://github.com/citation-style-language/schema/raw/master/csl-citation.json"} </w:instrText>
      </w:r>
      <w:r w:rsidR="00D23667">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7,8</w:t>
      </w:r>
      <w:r w:rsidR="00D23667">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The Iberomaurusian culture first appeared around 25,000 </w:t>
      </w:r>
      <w:proofErr w:type="spellStart"/>
      <w:r w:rsidRPr="00D70D43">
        <w:rPr>
          <w:rFonts w:ascii="Times New Roman" w:eastAsia="Times New Roman" w:hAnsi="Times New Roman" w:cs="Times New Roman"/>
          <w:sz w:val="24"/>
          <w:szCs w:val="24"/>
        </w:rPr>
        <w:t>cal</w:t>
      </w:r>
      <w:proofErr w:type="spellEnd"/>
      <w:r w:rsidRPr="00D70D43">
        <w:rPr>
          <w:rFonts w:ascii="Times New Roman" w:eastAsia="Times New Roman" w:hAnsi="Times New Roman" w:cs="Times New Roman"/>
          <w:sz w:val="24"/>
          <w:szCs w:val="24"/>
        </w:rPr>
        <w:t xml:space="preserve"> BP in North Africa </w:t>
      </w:r>
      <w:r w:rsidR="00D23667">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{"citationID":"uTR1oRC3","properties":{"formattedCitation":"\\super 8\\nosupersub{}","plainCitation":"8","noteIndex":0},"citationItems":[{"id":132,"uris":["http://zotero.org/users/7125028/items/56MFD4IJ"],"itemData":{"id":132,"type":"article-journal","abstract":"A number of recent genetic studies have suggested competing hypotheses relating to the emergence and spread of populations in Northwest Africa during the Late Pleistocene. Until now is has been difficult to test models derived from genetic work against the archaeological record mainly due to the paucity of reliable dating evidence in the region. A major question relates to timing and nature of the emergence of microlithic LSA assemblages and whether these new technologies developed independently within the area or were related to movement of populations from adjacent regions. Here, we present a series of new AMS radiocarbon dates on bone from the LSA sequence at Tamar Hat (Algeria) and discuss these ages in relation to the existing radiocarbon chronology for the terminal Pleistocene microlithic LSA assemblages of the Maghreb. The radiocarbon ages date from </w:instrText>
      </w:r>
      <w:r w:rsidR="000475E4">
        <w:rPr>
          <w:rFonts w:ascii="Cambria Math" w:eastAsia="Times New Roman" w:hAnsi="Cambria Math" w:cs="Cambria Math"/>
          <w:sz w:val="24"/>
          <w:szCs w:val="24"/>
        </w:rPr>
        <w:instrText>∼</w:instrText>
      </w:r>
      <w:r w:rsidR="000475E4">
        <w:rPr>
          <w:rFonts w:ascii="Times New Roman" w:eastAsia="Times New Roman" w:hAnsi="Times New Roman" w:cs="Times New Roman"/>
          <w:sz w:val="24"/>
          <w:szCs w:val="24"/>
        </w:rPr>
        <w:instrText xml:space="preserve">25 ka cal BP and show an earlier appearance of this technology than previously thought. We examine the implications of these early dates for understanding the first appearance and spread of microlithic technology in the Maghreb and discuss further ramifications for understanding emergence of similar industries elsewhere in North Africa.","container-title":"Quaternary International","DOI":"10.1016/j.quaint.2015.11.144","journalAbbreviation":"Quaternary International","source":"ResearchGate","title":"New radiocarbon dates for the earliest Later Stone Age microlithic technology in Northwest Africa","author":[{"family":"Hogue","given":"Joshua"},{"family":"Barton","given":"Nick"}],"issued":{"date-parts":[["2016",2,1]]}}}],"schema":"https://github.com/citation-style-language/schema/raw/master/csl-citation.json"} </w:instrText>
      </w:r>
      <w:r w:rsidR="00D23667">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8</w:t>
      </w:r>
      <w:r w:rsidR="00D23667">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and may have persisted in the Holocene after 11,600 </w:t>
      </w:r>
      <w:proofErr w:type="spellStart"/>
      <w:r w:rsidRPr="00D70D43">
        <w:rPr>
          <w:rFonts w:ascii="Times New Roman" w:eastAsia="Times New Roman" w:hAnsi="Times New Roman" w:cs="Times New Roman"/>
          <w:sz w:val="24"/>
          <w:szCs w:val="24"/>
        </w:rPr>
        <w:t>cal</w:t>
      </w:r>
      <w:proofErr w:type="spellEnd"/>
      <w:r w:rsidRPr="00D70D43">
        <w:rPr>
          <w:rFonts w:ascii="Times New Roman" w:eastAsia="Times New Roman" w:hAnsi="Times New Roman" w:cs="Times New Roman"/>
          <w:sz w:val="24"/>
          <w:szCs w:val="24"/>
        </w:rPr>
        <w:t xml:space="preserve"> BP</w:t>
      </w:r>
      <w:r w:rsidR="00432E61">
        <w:rPr>
          <w:rFonts w:ascii="Times New Roman" w:eastAsia="Times New Roman" w:hAnsi="Times New Roman" w:cs="Times New Roman"/>
          <w:sz w:val="24"/>
          <w:szCs w:val="24"/>
        </w:rPr>
        <w:t xml:space="preserve"> </w:t>
      </w:r>
      <w:r w:rsidR="00432E61">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{"citationID":"B7QN28P6","properties":{"formattedCitation":"\\super 9\\nosupersub{}","plainCitation":"9","noteIndex":0},"citationItems":[{"id":225,"uris":["http://zotero.org/users/7125028/items/ARGQPTYZ"],"itemData":{"id":225,"type":"book","collection-number":"2","note":"container-title: Cambridge Archaeological Journal","number-of-pages":"195–214","title":"Human Burial Evidence from Hattab II Cave and the Question of Continuity in Late Pleistocene–Holocene Mortuary Practices in Northwest Africa","volume":"18","author":[{"family":"Barton","given":"Nick"},{"family":"Bouzouggar","given":"Abdeljalil"},{"family":"Humphrey","given":"Louise"},{"family":"Berridge","given":"Peter"},{"family":"Collcutt","given":"Simon"},{"family":"Gale","given":"Rowena"},{"family":"Parfitt","given":"Simon"},{"family":"Parker","given":"Adrian"},{"family":"Rhodes","given":"Edward"},{"family":"Schwenninger","given":"Jean-Luc"}],"issued":{"date-parts":[["2008"]]}}}],"schema":"https://github.com/citation-style-language/schema/raw/master/csl-citation.json"} </w:instrText>
      </w:r>
      <w:r w:rsidR="00432E61">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9</w:t>
      </w:r>
      <w:r w:rsidR="00432E61">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The Iberomaurusian culture has covered a vast geographical area stretching from </w:t>
      </w:r>
      <w:r w:rsidR="00E81961">
        <w:rPr>
          <w:rFonts w:ascii="Times New Roman" w:eastAsia="Times New Roman" w:hAnsi="Times New Roman" w:cs="Times New Roman"/>
          <w:sz w:val="24"/>
          <w:szCs w:val="24"/>
        </w:rPr>
        <w:t>modern day</w:t>
      </w:r>
      <w:r w:rsidRPr="00D70D43">
        <w:rPr>
          <w:rFonts w:ascii="Times New Roman" w:eastAsia="Times New Roman" w:hAnsi="Times New Roman" w:cs="Times New Roman"/>
          <w:sz w:val="24"/>
          <w:szCs w:val="24"/>
        </w:rPr>
        <w:t xml:space="preserve"> Morocco in the west (10°W) to Cyrenaica in the east (22°E). </w:t>
      </w:r>
      <w:r w:rsidR="00224F58" w:rsidRPr="00D70D43">
        <w:rPr>
          <w:rFonts w:ascii="Times New Roman" w:eastAsia="Times New Roman" w:hAnsi="Times New Roman" w:cs="Times New Roman"/>
          <w:sz w:val="24"/>
          <w:szCs w:val="24"/>
        </w:rPr>
        <w:t>However,</w:t>
      </w:r>
      <w:r w:rsidRPr="00D70D43">
        <w:rPr>
          <w:rFonts w:ascii="Times New Roman" w:eastAsia="Times New Roman" w:hAnsi="Times New Roman" w:cs="Times New Roman"/>
          <w:sz w:val="24"/>
          <w:szCs w:val="24"/>
        </w:rPr>
        <w:t xml:space="preserve"> its southern extension is still not well understood but it reaches up to about 33°N along the Atlantic coast. The term of the "Iberomaurusian" was coined by </w:t>
      </w:r>
      <w:proofErr w:type="spellStart"/>
      <w:r w:rsidRPr="00D70D43">
        <w:rPr>
          <w:rFonts w:ascii="Times New Roman" w:eastAsia="Times New Roman" w:hAnsi="Times New Roman" w:cs="Times New Roman"/>
          <w:sz w:val="24"/>
          <w:szCs w:val="24"/>
        </w:rPr>
        <w:t>Pallary</w:t>
      </w:r>
      <w:proofErr w:type="spellEnd"/>
      <w:r w:rsidRPr="00D70D43">
        <w:rPr>
          <w:rFonts w:ascii="Times New Roman" w:eastAsia="Times New Roman" w:hAnsi="Times New Roman" w:cs="Times New Roman"/>
          <w:sz w:val="24"/>
          <w:szCs w:val="24"/>
        </w:rPr>
        <w:t xml:space="preserve"> in 1909. He refers to this name as an assemblage </w:t>
      </w:r>
      <w:r w:rsidRPr="00D70D43">
        <w:rPr>
          <w:rFonts w:ascii="Times New Roman" w:eastAsia="Times New Roman" w:hAnsi="Times New Roman" w:cs="Times New Roman"/>
          <w:sz w:val="24"/>
          <w:szCs w:val="24"/>
        </w:rPr>
        <w:lastRenderedPageBreak/>
        <w:t xml:space="preserve">composed mainly of microlithic tools, which he discovered under the shelter of La </w:t>
      </w:r>
      <w:proofErr w:type="spellStart"/>
      <w:r w:rsidRPr="00D70D43">
        <w:rPr>
          <w:rFonts w:ascii="Times New Roman" w:eastAsia="Times New Roman" w:hAnsi="Times New Roman" w:cs="Times New Roman"/>
          <w:sz w:val="24"/>
          <w:szCs w:val="24"/>
        </w:rPr>
        <w:t>Mouillah</w:t>
      </w:r>
      <w:proofErr w:type="spellEnd"/>
      <w:r w:rsidRPr="00D70D43">
        <w:rPr>
          <w:rFonts w:ascii="Times New Roman" w:eastAsia="Times New Roman" w:hAnsi="Times New Roman" w:cs="Times New Roman"/>
          <w:sz w:val="24"/>
          <w:szCs w:val="24"/>
        </w:rPr>
        <w:t xml:space="preserve"> (Oran region, west Algeria). The second part "</w:t>
      </w:r>
      <w:proofErr w:type="spellStart"/>
      <w:r w:rsidRPr="00D70D43">
        <w:rPr>
          <w:rFonts w:ascii="Times New Roman" w:eastAsia="Times New Roman" w:hAnsi="Times New Roman" w:cs="Times New Roman"/>
          <w:sz w:val="24"/>
          <w:szCs w:val="24"/>
        </w:rPr>
        <w:t>maurusian</w:t>
      </w:r>
      <w:proofErr w:type="spellEnd"/>
      <w:r w:rsidRPr="00D70D43">
        <w:rPr>
          <w:rFonts w:ascii="Times New Roman" w:eastAsia="Times New Roman" w:hAnsi="Times New Roman" w:cs="Times New Roman"/>
          <w:sz w:val="24"/>
          <w:szCs w:val="24"/>
        </w:rPr>
        <w:t xml:space="preserve">" refers to the Moors which is a Roman name for North </w:t>
      </w:r>
      <w:r w:rsidR="00AC13BC" w:rsidRPr="00D70D43">
        <w:rPr>
          <w:rFonts w:ascii="Times New Roman" w:eastAsia="Times New Roman" w:hAnsi="Times New Roman" w:cs="Times New Roman"/>
          <w:sz w:val="24"/>
          <w:szCs w:val="24"/>
        </w:rPr>
        <w:t>Africa</w:t>
      </w:r>
      <w:r w:rsidRPr="00D70D43">
        <w:rPr>
          <w:rFonts w:ascii="Times New Roman" w:eastAsia="Times New Roman" w:hAnsi="Times New Roman" w:cs="Times New Roman"/>
          <w:sz w:val="24"/>
          <w:szCs w:val="24"/>
        </w:rPr>
        <w:t xml:space="preserve">. </w:t>
      </w:r>
      <w:proofErr w:type="spellStart"/>
      <w:r w:rsidRPr="00D70D43">
        <w:rPr>
          <w:rFonts w:ascii="Times New Roman" w:eastAsia="Times New Roman" w:hAnsi="Times New Roman" w:cs="Times New Roman"/>
          <w:sz w:val="24"/>
          <w:szCs w:val="24"/>
        </w:rPr>
        <w:t>Pallary</w:t>
      </w:r>
      <w:proofErr w:type="spellEnd"/>
      <w:r w:rsidRPr="00D70D43">
        <w:rPr>
          <w:rFonts w:ascii="Times New Roman" w:eastAsia="Times New Roman" w:hAnsi="Times New Roman" w:cs="Times New Roman"/>
          <w:sz w:val="24"/>
          <w:szCs w:val="24"/>
        </w:rPr>
        <w:t xml:space="preserve"> used the term "</w:t>
      </w:r>
      <w:proofErr w:type="spellStart"/>
      <w:r w:rsidRPr="00D70D43">
        <w:rPr>
          <w:rFonts w:ascii="Times New Roman" w:eastAsia="Times New Roman" w:hAnsi="Times New Roman" w:cs="Times New Roman"/>
          <w:sz w:val="24"/>
          <w:szCs w:val="24"/>
        </w:rPr>
        <w:t>Ibéromaurusien</w:t>
      </w:r>
      <w:proofErr w:type="spellEnd"/>
      <w:r w:rsidRPr="00D70D43">
        <w:rPr>
          <w:rFonts w:ascii="Times New Roman" w:eastAsia="Times New Roman" w:hAnsi="Times New Roman" w:cs="Times New Roman"/>
          <w:sz w:val="24"/>
          <w:szCs w:val="24"/>
        </w:rPr>
        <w:t>" to draw attention to the similarities between the lithic industries found in Spain and Morocco. However, the cultural link with southern Europe was later rejected by archaeologists who noted stronger African affinities. As an alternative, they adopted names such as "</w:t>
      </w:r>
      <w:proofErr w:type="spellStart"/>
      <w:r w:rsidRPr="00D70D43">
        <w:rPr>
          <w:rFonts w:ascii="Times New Roman" w:eastAsia="Times New Roman" w:hAnsi="Times New Roman" w:cs="Times New Roman"/>
          <w:sz w:val="24"/>
          <w:szCs w:val="24"/>
        </w:rPr>
        <w:t>Oranian</w:t>
      </w:r>
      <w:proofErr w:type="spellEnd"/>
      <w:r w:rsidRPr="00D70D43">
        <w:rPr>
          <w:rFonts w:ascii="Times New Roman" w:eastAsia="Times New Roman" w:hAnsi="Times New Roman" w:cs="Times New Roman"/>
          <w:sz w:val="24"/>
          <w:szCs w:val="24"/>
        </w:rPr>
        <w:t>" or "</w:t>
      </w:r>
      <w:proofErr w:type="spellStart"/>
      <w:r w:rsidRPr="00D70D43">
        <w:rPr>
          <w:rFonts w:ascii="Times New Roman" w:eastAsia="Times New Roman" w:hAnsi="Times New Roman" w:cs="Times New Roman"/>
          <w:sz w:val="24"/>
          <w:szCs w:val="24"/>
        </w:rPr>
        <w:t>Mouillian</w:t>
      </w:r>
      <w:proofErr w:type="spellEnd"/>
      <w:r w:rsidRPr="00D70D43">
        <w:rPr>
          <w:rFonts w:ascii="Times New Roman" w:eastAsia="Times New Roman" w:hAnsi="Times New Roman" w:cs="Times New Roman"/>
          <w:sz w:val="24"/>
          <w:szCs w:val="24"/>
        </w:rPr>
        <w:t xml:space="preserve">". Recently some researchers proposed "Late Upper </w:t>
      </w:r>
      <w:proofErr w:type="spellStart"/>
      <w:r w:rsidRPr="00D70D43">
        <w:rPr>
          <w:rFonts w:ascii="Times New Roman" w:eastAsia="Times New Roman" w:hAnsi="Times New Roman" w:cs="Times New Roman"/>
          <w:sz w:val="24"/>
          <w:szCs w:val="24"/>
        </w:rPr>
        <w:t>Palaeolithic</w:t>
      </w:r>
      <w:proofErr w:type="spellEnd"/>
      <w:r w:rsidRPr="00D70D43">
        <w:rPr>
          <w:rFonts w:ascii="Times New Roman" w:eastAsia="Times New Roman" w:hAnsi="Times New Roman" w:cs="Times New Roman"/>
          <w:sz w:val="24"/>
          <w:szCs w:val="24"/>
        </w:rPr>
        <w:t xml:space="preserve"> of Northwest African facies" in order to avoid terminological confusion </w:t>
      </w:r>
      <w:r w:rsidR="003860E6">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{"citationID":"agL0Q42f","properties":{"formattedCitation":"\\super 10\\nosupersub{}","plainCitation":"10","noteIndex":0},"citationItems":[{"id":705,"uris":["http://zotero.org/users/7125028/items/3BA8XMMZ"],"itemData":{"id":705,"type":"article-journal","abstract":"New work at Kehf el Hammar Cave provides the first well-dated palaeoenvironmental sequence for the Late Upper Palaeolithic in this region of the northwest Maghreb. The archaeological layers are dated via a combination of AMS radiocarbon and luminescence dating methods. The sequence contains charcoal-rich occupation layers with faunal, human and lithic finds. Local vegetational patterns are reconstructed on the basis of preliminary analysis of the charcoal evidence. Using standard calibration curves the AMS radiocarbon dates are compared with proxy evidence for climatic change from sea core records in the Alborán Sea. These appear to show that the Late Upper Palaeolithic occupation of the region coincides closely with Heinrich Event 1, a period marked by intense aridification and dating to ca. 16,700–17,250 calendar years ago.","container-title":"African Archaeological Review","DOI":"10.1007/s10437-005-4190-y","ISSN":"1572-9842","issue":"2","journalAbbreviation":"Afr Archaeol Rev","language":"en","page":"77-100","source":"Springer Link","title":"The Late Upper Palaeolithic Occupation of the Moroccan Northwest Maghreb During the Last Glacial Maximum","volume":"22","author":[{"family":"Barton","given":"R. N. E."},{"family":"Bouzouggar","given":"A."},{"family":"Collcutt","given":"S. N."},{"family":"Gale","given":"R."},{"family":"Higham","given":"T. F. G."},{"family":"Humphrey","given":"L. T."},{"family":"Parfitt","given":"S."},{"family":"Rhodes","given":"E."},{"family":"Stringer","given":"C. B."},{"family":"Malek","given":"F."}],"issued":{"date-parts":[["2005",6,1]]}}}],"schema":"https://github.com/citation-style-language/schema/raw/master/csl-citation.json"} </w:instrText>
      </w:r>
      <w:r w:rsidR="003860E6">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10</w:t>
      </w:r>
      <w:r w:rsidR="003860E6">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However, </w:t>
      </w:r>
      <w:r w:rsidR="00E81961">
        <w:rPr>
          <w:rFonts w:ascii="Times New Roman" w:eastAsia="Times New Roman" w:hAnsi="Times New Roman" w:cs="Times New Roman"/>
          <w:sz w:val="24"/>
          <w:szCs w:val="24"/>
        </w:rPr>
        <w:t xml:space="preserve">the </w:t>
      </w:r>
      <w:r w:rsidRPr="00D70D43">
        <w:rPr>
          <w:rFonts w:ascii="Times New Roman" w:eastAsia="Times New Roman" w:hAnsi="Times New Roman" w:cs="Times New Roman"/>
          <w:sz w:val="24"/>
          <w:szCs w:val="24"/>
        </w:rPr>
        <w:t xml:space="preserve">scientific community prefers to keep the term of </w:t>
      </w:r>
      <w:proofErr w:type="spellStart"/>
      <w:r w:rsidRPr="00D70D43">
        <w:rPr>
          <w:rFonts w:ascii="Times New Roman" w:eastAsia="Times New Roman" w:hAnsi="Times New Roman" w:cs="Times New Roman"/>
          <w:sz w:val="24"/>
          <w:szCs w:val="24"/>
        </w:rPr>
        <w:t>Iberomaurusien</w:t>
      </w:r>
      <w:proofErr w:type="spellEnd"/>
      <w:r w:rsidRPr="00D70D43">
        <w:rPr>
          <w:rFonts w:ascii="Times New Roman" w:eastAsia="Times New Roman" w:hAnsi="Times New Roman" w:cs="Times New Roman"/>
          <w:sz w:val="24"/>
          <w:szCs w:val="24"/>
        </w:rPr>
        <w:t xml:space="preserve"> as proposed by Camps</w:t>
      </w:r>
      <w:r w:rsidR="003860E6">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1974</w:t>
      </w:r>
      <w:r w:rsidR="003860E6">
        <w:rPr>
          <w:rFonts w:ascii="Times New Roman" w:eastAsia="Times New Roman" w:hAnsi="Times New Roman" w:cs="Times New Roman"/>
          <w:sz w:val="24"/>
          <w:szCs w:val="24"/>
        </w:rPr>
        <w:t xml:space="preserve"> </w:t>
      </w:r>
      <w:r w:rsidR="003860E6">
        <w:rPr>
          <w:rFonts w:ascii="Times New Roman" w:eastAsia="Times New Roman" w:hAnsi="Times New Roman" w:cs="Times New Roman"/>
          <w:sz w:val="24"/>
          <w:szCs w:val="24"/>
        </w:rPr>
        <w:fldChar w:fldCharType="begin"/>
      </w:r>
      <w:r w:rsidR="009C1161">
        <w:rPr>
          <w:rFonts w:ascii="Times New Roman" w:eastAsia="Times New Roman" w:hAnsi="Times New Roman" w:cs="Times New Roman"/>
          <w:sz w:val="24"/>
          <w:szCs w:val="24"/>
        </w:rPr>
        <w:instrText xml:space="preserve"> ADDIN ZOTERO_ITEM CSL_CITATION {"citationID":"M7r9dxNq","properties":{"formattedCitation":"\\super 1\\nosupersub{}","plainCitation":"1","noteIndex":0},"citationItems":[{"id":114,"uris":["http://zotero.org/users/7125028/items/Z5E44YNM"],"itemData":{"id":114,"type":"article-journal","container-title":"Monographien des RGZM","DOI":"10.11588/PROPYLAEUM.734","note":"publisher: University Library Heidelberg\nversion: 1","source":"DOI.org (Datacite)","title":"Cemeteries and Sedentism in the Later Stone Age of NW Africa: Excavations at Grotte des Pigeons, Taforalt, Morocco","title-short":"Cemeteries and Sedentism in the Later Stone Age of NW Africa","URL":"https://books.ub.uni-heidelberg.de/index.php/propylaeum/catalog/book/734","author":[{"family":"Barton","given":"R. Nicholas E."}],"accessed":{"date-parts":[["2021",7,23]]},"issued":{"date-parts":[["2020"]]}}}],"schema":"https://github.com/citation-style-language/schema/raw/master/csl-citation.json"} </w:instrText>
      </w:r>
      <w:r w:rsidR="003860E6">
        <w:rPr>
          <w:rFonts w:ascii="Times New Roman" w:eastAsia="Times New Roman" w:hAnsi="Times New Roman" w:cs="Times New Roman"/>
          <w:sz w:val="24"/>
          <w:szCs w:val="24"/>
        </w:rPr>
        <w:fldChar w:fldCharType="separate"/>
      </w:r>
      <w:r w:rsidR="009C1161" w:rsidRPr="009C1161">
        <w:rPr>
          <w:rFonts w:ascii="Times New Roman" w:hAnsi="Times New Roman" w:cs="Times New Roman"/>
          <w:sz w:val="24"/>
          <w:szCs w:val="24"/>
          <w:vertAlign w:val="superscript"/>
        </w:rPr>
        <w:t>1</w:t>
      </w:r>
      <w:r w:rsidR="003860E6">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This term has always persisted in the literature and that is why we will use it in our </w:t>
      </w:r>
      <w:r w:rsidR="00224F58">
        <w:rPr>
          <w:rFonts w:ascii="Times New Roman" w:eastAsia="Times New Roman" w:hAnsi="Times New Roman" w:cs="Times New Roman"/>
          <w:sz w:val="24"/>
          <w:szCs w:val="24"/>
        </w:rPr>
        <w:t>manuscript</w:t>
      </w:r>
      <w:r w:rsidRPr="00D70D43">
        <w:rPr>
          <w:rFonts w:ascii="Times New Roman" w:eastAsia="Times New Roman" w:hAnsi="Times New Roman" w:cs="Times New Roman"/>
          <w:sz w:val="24"/>
          <w:szCs w:val="24"/>
        </w:rPr>
        <w:t xml:space="preserve">. </w:t>
      </w:r>
    </w:p>
    <w:p w14:paraId="21C0B800" w14:textId="3F4CEABC" w:rsidR="002802E0" w:rsidRPr="00D70D43" w:rsidRDefault="00224F58">
      <w:pPr>
        <w:spacing w:before="240" w:after="240" w:line="36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1.4 </w:t>
      </w:r>
      <w:r w:rsidR="002802E0" w:rsidRPr="00D70D43">
        <w:rPr>
          <w:rFonts w:ascii="Times New Roman" w:eastAsia="Times New Roman" w:hAnsi="Times New Roman" w:cs="Times New Roman"/>
          <w:b/>
          <w:i/>
          <w:sz w:val="24"/>
          <w:szCs w:val="24"/>
        </w:rPr>
        <w:t xml:space="preserve">Faunal remains </w:t>
      </w:r>
      <w:r w:rsidR="00B70051">
        <w:rPr>
          <w:rFonts w:ascii="Times New Roman" w:eastAsia="Times New Roman" w:hAnsi="Times New Roman" w:cs="Times New Roman"/>
          <w:b/>
          <w:i/>
          <w:sz w:val="24"/>
          <w:szCs w:val="24"/>
        </w:rPr>
        <w:t>of Taforalt</w:t>
      </w:r>
    </w:p>
    <w:p w14:paraId="14DB7C57" w14:textId="751EBA4D" w:rsidR="00B63D04" w:rsidRPr="00D70D43" w:rsidRDefault="0046303C" w:rsidP="003C7995">
      <w:pPr>
        <w:spacing w:line="360" w:lineRule="auto"/>
        <w:jc w:val="both"/>
        <w:rPr>
          <w:rFonts w:ascii="Times New Roman" w:eastAsia="Times New Roman" w:hAnsi="Times New Roman" w:cs="Times New Roman"/>
          <w:b/>
          <w:sz w:val="24"/>
          <w:szCs w:val="24"/>
        </w:rPr>
      </w:pPr>
      <w:r w:rsidRPr="00D70D43">
        <w:rPr>
          <w:rFonts w:ascii="Times New Roman" w:hAnsi="Times New Roman" w:cs="Times New Roman"/>
          <w:sz w:val="24"/>
          <w:szCs w:val="24"/>
        </w:rPr>
        <w:t>Several animal ta</w:t>
      </w:r>
      <w:r w:rsidR="00F85E89" w:rsidRPr="00D70D43">
        <w:rPr>
          <w:rFonts w:ascii="Times New Roman" w:hAnsi="Times New Roman" w:cs="Times New Roman"/>
          <w:sz w:val="24"/>
          <w:szCs w:val="24"/>
        </w:rPr>
        <w:t>xa are recovered from the Later Stone Ag</w:t>
      </w:r>
      <w:r w:rsidR="005B441E" w:rsidRPr="00D70D43">
        <w:rPr>
          <w:rFonts w:ascii="Times New Roman" w:hAnsi="Times New Roman" w:cs="Times New Roman"/>
          <w:sz w:val="24"/>
          <w:szCs w:val="24"/>
        </w:rPr>
        <w:t>e</w:t>
      </w:r>
      <w:r w:rsidR="00F85E89" w:rsidRPr="00D70D43">
        <w:rPr>
          <w:rFonts w:ascii="Times New Roman" w:hAnsi="Times New Roman" w:cs="Times New Roman"/>
          <w:sz w:val="24"/>
          <w:szCs w:val="24"/>
        </w:rPr>
        <w:t xml:space="preserve"> deposits at Taforalt. </w:t>
      </w:r>
      <w:r w:rsidR="00B70051">
        <w:rPr>
          <w:rFonts w:ascii="Times New Roman" w:hAnsi="Times New Roman" w:cs="Times New Roman"/>
          <w:sz w:val="24"/>
          <w:szCs w:val="24"/>
        </w:rPr>
        <w:t xml:space="preserve">The </w:t>
      </w:r>
      <w:r w:rsidR="00F85E89" w:rsidRPr="00D70D43">
        <w:rPr>
          <w:rFonts w:ascii="Times New Roman" w:hAnsi="Times New Roman" w:cs="Times New Roman"/>
          <w:sz w:val="24"/>
          <w:szCs w:val="24"/>
        </w:rPr>
        <w:t xml:space="preserve">most dominant </w:t>
      </w:r>
      <w:r w:rsidR="00B70051">
        <w:rPr>
          <w:rFonts w:ascii="Times New Roman" w:hAnsi="Times New Roman" w:cs="Times New Roman"/>
          <w:sz w:val="24"/>
          <w:szCs w:val="24"/>
        </w:rPr>
        <w:t xml:space="preserve">species </w:t>
      </w:r>
      <w:r w:rsidR="00F85E89" w:rsidRPr="00D70D43">
        <w:rPr>
          <w:rFonts w:ascii="Times New Roman" w:hAnsi="Times New Roman" w:cs="Times New Roman"/>
          <w:sz w:val="24"/>
          <w:szCs w:val="24"/>
        </w:rPr>
        <w:t>are Barbary sheep</w:t>
      </w:r>
      <w:r w:rsidR="00CA53B5">
        <w:rPr>
          <w:rFonts w:ascii="Times New Roman" w:hAnsi="Times New Roman" w:cs="Times New Roman"/>
          <w:sz w:val="24"/>
          <w:szCs w:val="24"/>
        </w:rPr>
        <w:t xml:space="preserve"> </w:t>
      </w:r>
      <w:r w:rsidR="00CA53B5" w:rsidRPr="00CA53B5">
        <w:rPr>
          <w:rFonts w:ascii="Times New Roman" w:hAnsi="Times New Roman" w:cs="Times New Roman"/>
          <w:sz w:val="24"/>
          <w:szCs w:val="24"/>
        </w:rPr>
        <w:t>(</w:t>
      </w:r>
      <w:proofErr w:type="spellStart"/>
      <w:r w:rsidR="00CA53B5" w:rsidRPr="00CA53B5">
        <w:rPr>
          <w:rFonts w:ascii="Times New Roman" w:hAnsi="Times New Roman" w:cs="Times New Roman"/>
          <w:i/>
          <w:iCs/>
          <w:sz w:val="24"/>
          <w:szCs w:val="24"/>
        </w:rPr>
        <w:t>Ammotragus</w:t>
      </w:r>
      <w:proofErr w:type="spellEnd"/>
      <w:r w:rsidR="00CA53B5" w:rsidRPr="00CA53B5">
        <w:rPr>
          <w:rFonts w:ascii="Times New Roman" w:hAnsi="Times New Roman" w:cs="Times New Roman"/>
          <w:i/>
          <w:iCs/>
          <w:sz w:val="24"/>
          <w:szCs w:val="24"/>
        </w:rPr>
        <w:t xml:space="preserve"> </w:t>
      </w:r>
      <w:proofErr w:type="spellStart"/>
      <w:r w:rsidR="00CA53B5" w:rsidRPr="00CA53B5">
        <w:rPr>
          <w:rFonts w:ascii="Times New Roman" w:hAnsi="Times New Roman" w:cs="Times New Roman"/>
          <w:i/>
          <w:iCs/>
          <w:sz w:val="24"/>
          <w:szCs w:val="24"/>
        </w:rPr>
        <w:t>lervia</w:t>
      </w:r>
      <w:proofErr w:type="spellEnd"/>
      <w:r w:rsidR="00CA53B5" w:rsidRPr="00CA53B5">
        <w:rPr>
          <w:rFonts w:ascii="Times New Roman" w:hAnsi="Times New Roman" w:cs="Times New Roman"/>
          <w:sz w:val="24"/>
          <w:szCs w:val="24"/>
        </w:rPr>
        <w:t>)</w:t>
      </w:r>
      <w:r w:rsidR="00F85E89" w:rsidRPr="00CA53B5">
        <w:rPr>
          <w:rFonts w:ascii="Times New Roman" w:hAnsi="Times New Roman" w:cs="Times New Roman"/>
          <w:sz w:val="24"/>
          <w:szCs w:val="24"/>
        </w:rPr>
        <w:t>,</w:t>
      </w:r>
      <w:r w:rsidR="00F85E89" w:rsidRPr="00D70D43">
        <w:rPr>
          <w:rFonts w:ascii="Times New Roman" w:hAnsi="Times New Roman" w:cs="Times New Roman"/>
          <w:sz w:val="24"/>
          <w:szCs w:val="24"/>
        </w:rPr>
        <w:t xml:space="preserve"> </w:t>
      </w:r>
      <w:r w:rsidR="00CA53B5">
        <w:rPr>
          <w:rFonts w:ascii="Times New Roman" w:hAnsi="Times New Roman" w:cs="Times New Roman"/>
          <w:sz w:val="24"/>
          <w:szCs w:val="24"/>
        </w:rPr>
        <w:t>e</w:t>
      </w:r>
      <w:r w:rsidR="00F85E89" w:rsidRPr="00D70D43">
        <w:rPr>
          <w:rFonts w:ascii="Times New Roman" w:hAnsi="Times New Roman" w:cs="Times New Roman"/>
          <w:sz w:val="24"/>
          <w:szCs w:val="24"/>
        </w:rPr>
        <w:t>quid</w:t>
      </w:r>
      <w:r w:rsidR="00B70051">
        <w:rPr>
          <w:rFonts w:ascii="Times New Roman" w:hAnsi="Times New Roman" w:cs="Times New Roman"/>
          <w:sz w:val="24"/>
          <w:szCs w:val="24"/>
        </w:rPr>
        <w:t>s</w:t>
      </w:r>
      <w:r w:rsidR="00F85E89" w:rsidRPr="00D70D43">
        <w:rPr>
          <w:rFonts w:ascii="Times New Roman" w:hAnsi="Times New Roman" w:cs="Times New Roman"/>
          <w:sz w:val="24"/>
          <w:szCs w:val="24"/>
        </w:rPr>
        <w:t xml:space="preserve">, </w:t>
      </w:r>
      <w:r w:rsidR="00E81961">
        <w:rPr>
          <w:rFonts w:ascii="Times New Roman" w:hAnsi="Times New Roman" w:cs="Times New Roman"/>
          <w:sz w:val="24"/>
          <w:szCs w:val="24"/>
        </w:rPr>
        <w:t>large bovines</w:t>
      </w:r>
      <w:r w:rsidR="00F85E89" w:rsidRPr="00D70D43">
        <w:rPr>
          <w:rFonts w:ascii="Times New Roman" w:hAnsi="Times New Roman" w:cs="Times New Roman"/>
          <w:sz w:val="24"/>
          <w:szCs w:val="24"/>
        </w:rPr>
        <w:t xml:space="preserve">, gazelle and </w:t>
      </w:r>
      <w:r w:rsidR="00E81961">
        <w:rPr>
          <w:rFonts w:ascii="Times New Roman" w:hAnsi="Times New Roman" w:cs="Times New Roman"/>
          <w:sz w:val="24"/>
          <w:szCs w:val="24"/>
        </w:rPr>
        <w:t xml:space="preserve">members of the </w:t>
      </w:r>
      <w:proofErr w:type="spellStart"/>
      <w:r w:rsidR="00B70051">
        <w:rPr>
          <w:rFonts w:ascii="Times New Roman" w:hAnsi="Times New Roman" w:cs="Times New Roman"/>
          <w:sz w:val="24"/>
          <w:szCs w:val="24"/>
        </w:rPr>
        <w:t>A</w:t>
      </w:r>
      <w:r w:rsidR="00F85E89" w:rsidRPr="00D70D43">
        <w:rPr>
          <w:rFonts w:ascii="Times New Roman" w:hAnsi="Times New Roman" w:cs="Times New Roman"/>
          <w:sz w:val="24"/>
          <w:szCs w:val="24"/>
        </w:rPr>
        <w:t>lcelaphin</w:t>
      </w:r>
      <w:r w:rsidR="00B70051">
        <w:rPr>
          <w:rFonts w:ascii="Times New Roman" w:hAnsi="Times New Roman" w:cs="Times New Roman"/>
          <w:sz w:val="24"/>
          <w:szCs w:val="24"/>
        </w:rPr>
        <w:t>i</w:t>
      </w:r>
      <w:proofErr w:type="spellEnd"/>
      <w:r w:rsidR="006E52BE">
        <w:rPr>
          <w:rFonts w:ascii="Times New Roman" w:hAnsi="Times New Roman" w:cs="Times New Roman"/>
          <w:sz w:val="24"/>
          <w:szCs w:val="24"/>
        </w:rPr>
        <w:t xml:space="preserve"> (hartebeest)</w:t>
      </w:r>
      <w:r w:rsidR="00F85E89" w:rsidRPr="00D70D43">
        <w:rPr>
          <w:rFonts w:ascii="Times New Roman" w:hAnsi="Times New Roman" w:cs="Times New Roman"/>
          <w:sz w:val="24"/>
          <w:szCs w:val="24"/>
        </w:rPr>
        <w:t xml:space="preserve">. </w:t>
      </w:r>
      <w:r w:rsidR="00CA53B5" w:rsidRPr="00CA53B5">
        <w:rPr>
          <w:rFonts w:ascii="Times New Roman" w:hAnsi="Times New Roman" w:cs="Times New Roman"/>
          <w:sz w:val="24"/>
          <w:szCs w:val="24"/>
        </w:rPr>
        <w:t xml:space="preserve">Barbary sheep was the dominant species of game exploited by the </w:t>
      </w:r>
      <w:proofErr w:type="spellStart"/>
      <w:r w:rsidR="00CA53B5" w:rsidRPr="00CA53B5">
        <w:rPr>
          <w:rFonts w:ascii="Times New Roman" w:hAnsi="Times New Roman" w:cs="Times New Roman"/>
          <w:sz w:val="24"/>
          <w:szCs w:val="24"/>
        </w:rPr>
        <w:t>Iberomaurusians</w:t>
      </w:r>
      <w:proofErr w:type="spellEnd"/>
      <w:r w:rsidR="00CA53B5" w:rsidRPr="00CA53B5">
        <w:rPr>
          <w:rFonts w:ascii="Times New Roman" w:hAnsi="Times New Roman" w:cs="Times New Roman"/>
          <w:sz w:val="24"/>
          <w:szCs w:val="24"/>
        </w:rPr>
        <w:t xml:space="preserve"> at this site.</w:t>
      </w:r>
      <w:r w:rsidR="00B70051">
        <w:rPr>
          <w:rFonts w:ascii="Times New Roman" w:hAnsi="Times New Roman" w:cs="Times New Roman"/>
          <w:sz w:val="24"/>
          <w:szCs w:val="24"/>
        </w:rPr>
        <w:t xml:space="preserve"> This can be easily explained by the location of the </w:t>
      </w:r>
      <w:r w:rsidR="005D6751" w:rsidRPr="00D70D43">
        <w:rPr>
          <w:rFonts w:ascii="Times New Roman" w:hAnsi="Times New Roman" w:cs="Times New Roman"/>
          <w:sz w:val="24"/>
          <w:szCs w:val="24"/>
        </w:rPr>
        <w:t xml:space="preserve">cave </w:t>
      </w:r>
      <w:r w:rsidR="00B70051">
        <w:rPr>
          <w:rFonts w:ascii="Times New Roman" w:hAnsi="Times New Roman" w:cs="Times New Roman"/>
          <w:sz w:val="24"/>
          <w:szCs w:val="24"/>
        </w:rPr>
        <w:t>which corresponds to</w:t>
      </w:r>
      <w:r w:rsidR="005D6751" w:rsidRPr="00D70D43">
        <w:rPr>
          <w:rFonts w:ascii="Times New Roman" w:hAnsi="Times New Roman" w:cs="Times New Roman"/>
          <w:sz w:val="24"/>
          <w:szCs w:val="24"/>
        </w:rPr>
        <w:t xml:space="preserve"> its favorite habitat</w:t>
      </w:r>
      <w:r w:rsidR="005B441E" w:rsidRPr="00D70D43">
        <w:rPr>
          <w:rFonts w:ascii="Times New Roman" w:hAnsi="Times New Roman" w:cs="Times New Roman"/>
          <w:sz w:val="24"/>
          <w:szCs w:val="24"/>
        </w:rPr>
        <w:t xml:space="preserve"> (</w:t>
      </w:r>
      <w:r w:rsidR="00453597" w:rsidRPr="00453597">
        <w:rPr>
          <w:rFonts w:ascii="Times New Roman" w:hAnsi="Times New Roman" w:cs="Times New Roman"/>
          <w:sz w:val="24"/>
          <w:szCs w:val="24"/>
        </w:rPr>
        <w:t>stony plateaus, steep valley slopes</w:t>
      </w:r>
      <w:r w:rsidR="005B441E" w:rsidRPr="00D70D43">
        <w:rPr>
          <w:rFonts w:ascii="Times New Roman" w:hAnsi="Times New Roman" w:cs="Times New Roman"/>
          <w:sz w:val="24"/>
          <w:szCs w:val="24"/>
        </w:rPr>
        <w:t>)</w:t>
      </w:r>
      <w:r w:rsidR="005D6751" w:rsidRPr="00D70D43">
        <w:rPr>
          <w:rFonts w:ascii="Times New Roman" w:hAnsi="Times New Roman" w:cs="Times New Roman"/>
          <w:sz w:val="24"/>
          <w:szCs w:val="24"/>
        </w:rPr>
        <w:t>.</w:t>
      </w:r>
      <w:r w:rsidR="005B441E" w:rsidRPr="00D70D43">
        <w:rPr>
          <w:rFonts w:ascii="Times New Roman" w:hAnsi="Times New Roman" w:cs="Times New Roman"/>
          <w:sz w:val="24"/>
          <w:szCs w:val="24"/>
        </w:rPr>
        <w:t xml:space="preserve"> The rest of the species are typical of open grassland or steppe.</w:t>
      </w:r>
      <w:r w:rsidR="001E67BB" w:rsidRPr="00D70D43">
        <w:rPr>
          <w:rFonts w:ascii="Times New Roman" w:hAnsi="Times New Roman" w:cs="Times New Roman"/>
          <w:sz w:val="24"/>
          <w:szCs w:val="24"/>
        </w:rPr>
        <w:t xml:space="preserve"> </w:t>
      </w:r>
      <w:r w:rsidR="005D6751" w:rsidRPr="00D70D43">
        <w:rPr>
          <w:rFonts w:ascii="Times New Roman" w:hAnsi="Times New Roman" w:cs="Times New Roman"/>
          <w:sz w:val="24"/>
          <w:szCs w:val="24"/>
        </w:rPr>
        <w:t xml:space="preserve">Butchery </w:t>
      </w:r>
      <w:r w:rsidR="003A36FD" w:rsidRPr="00D70D43">
        <w:rPr>
          <w:rFonts w:ascii="Times New Roman" w:hAnsi="Times New Roman" w:cs="Times New Roman"/>
          <w:sz w:val="24"/>
          <w:szCs w:val="24"/>
        </w:rPr>
        <w:t xml:space="preserve">and burning </w:t>
      </w:r>
      <w:r w:rsidR="005D6751" w:rsidRPr="00D70D43">
        <w:rPr>
          <w:rFonts w:ascii="Times New Roman" w:hAnsi="Times New Roman" w:cs="Times New Roman"/>
          <w:sz w:val="24"/>
          <w:szCs w:val="24"/>
        </w:rPr>
        <w:t xml:space="preserve">marks on </w:t>
      </w:r>
      <w:r w:rsidR="000B77D4" w:rsidRPr="000B77D4">
        <w:rPr>
          <w:rFonts w:ascii="Times New Roman" w:hAnsi="Times New Roman" w:cs="Times New Roman"/>
          <w:sz w:val="24"/>
          <w:szCs w:val="24"/>
        </w:rPr>
        <w:t xml:space="preserve">the remains of Barbary sheep indicate </w:t>
      </w:r>
      <w:proofErr w:type="spellStart"/>
      <w:r w:rsidR="000B77D4" w:rsidRPr="000B77D4">
        <w:rPr>
          <w:rFonts w:ascii="Times New Roman" w:hAnsi="Times New Roman" w:cs="Times New Roman"/>
          <w:sz w:val="24"/>
          <w:szCs w:val="24"/>
        </w:rPr>
        <w:t>it</w:t>
      </w:r>
      <w:r w:rsidR="000C73E4">
        <w:rPr>
          <w:rFonts w:ascii="Times New Roman" w:hAnsi="Times New Roman" w:cs="Times New Roman"/>
          <w:sz w:val="24"/>
          <w:szCs w:val="24"/>
        </w:rPr>
        <w:t>s</w:t>
      </w:r>
      <w:proofErr w:type="spellEnd"/>
      <w:r w:rsidR="000B77D4" w:rsidRPr="000B77D4">
        <w:rPr>
          <w:rFonts w:ascii="Times New Roman" w:hAnsi="Times New Roman" w:cs="Times New Roman"/>
          <w:sz w:val="24"/>
          <w:szCs w:val="24"/>
        </w:rPr>
        <w:t xml:space="preserve"> was</w:t>
      </w:r>
      <w:r w:rsidR="000B77D4">
        <w:t xml:space="preserve"> </w:t>
      </w:r>
      <w:r w:rsidR="00940728" w:rsidRPr="00D70D43">
        <w:rPr>
          <w:rFonts w:ascii="Times New Roman" w:hAnsi="Times New Roman" w:cs="Times New Roman"/>
          <w:sz w:val="24"/>
          <w:szCs w:val="24"/>
        </w:rPr>
        <w:t>primar</w:t>
      </w:r>
      <w:r w:rsidR="000C73E4">
        <w:rPr>
          <w:rFonts w:ascii="Times New Roman" w:hAnsi="Times New Roman" w:cs="Times New Roman"/>
          <w:sz w:val="24"/>
          <w:szCs w:val="24"/>
        </w:rPr>
        <w:t>y</w:t>
      </w:r>
      <w:r w:rsidR="003A36FD" w:rsidRPr="00D70D43">
        <w:rPr>
          <w:rFonts w:ascii="Times New Roman" w:hAnsi="Times New Roman" w:cs="Times New Roman"/>
          <w:sz w:val="24"/>
          <w:szCs w:val="24"/>
        </w:rPr>
        <w:t xml:space="preserve"> </w:t>
      </w:r>
      <w:r w:rsidR="000C73E4">
        <w:rPr>
          <w:rFonts w:ascii="Times New Roman" w:hAnsi="Times New Roman" w:cs="Times New Roman"/>
          <w:sz w:val="24"/>
          <w:szCs w:val="24"/>
        </w:rPr>
        <w:t>consumption</w:t>
      </w:r>
      <w:r w:rsidR="003A36FD" w:rsidRPr="00D70D43">
        <w:rPr>
          <w:rFonts w:ascii="Times New Roman" w:hAnsi="Times New Roman" w:cs="Times New Roman"/>
          <w:sz w:val="24"/>
          <w:szCs w:val="24"/>
        </w:rPr>
        <w:t xml:space="preserve"> by this population. The presence of </w:t>
      </w:r>
      <w:r w:rsidR="00B70051">
        <w:rPr>
          <w:rFonts w:ascii="Times New Roman" w:hAnsi="Times New Roman" w:cs="Times New Roman"/>
          <w:sz w:val="24"/>
          <w:szCs w:val="24"/>
        </w:rPr>
        <w:t>Barbary sheep</w:t>
      </w:r>
      <w:r w:rsidR="003A36FD" w:rsidRPr="00D70D43">
        <w:rPr>
          <w:rFonts w:ascii="Times New Roman" w:hAnsi="Times New Roman" w:cs="Times New Roman"/>
          <w:sz w:val="24"/>
          <w:szCs w:val="24"/>
        </w:rPr>
        <w:t xml:space="preserve"> horn cores accompanying human burials in sector 10 </w:t>
      </w:r>
      <w:r w:rsidR="00B70051">
        <w:rPr>
          <w:rFonts w:ascii="Times New Roman" w:hAnsi="Times New Roman" w:cs="Times New Roman"/>
          <w:sz w:val="24"/>
          <w:szCs w:val="24"/>
        </w:rPr>
        <w:t>suggests their use</w:t>
      </w:r>
      <w:r w:rsidR="003A36FD" w:rsidRPr="00D70D43">
        <w:rPr>
          <w:rFonts w:ascii="Times New Roman" w:hAnsi="Times New Roman" w:cs="Times New Roman"/>
          <w:sz w:val="24"/>
          <w:szCs w:val="24"/>
        </w:rPr>
        <w:t xml:space="preserve"> as funerary object</w:t>
      </w:r>
      <w:r w:rsidR="000B77D4">
        <w:rPr>
          <w:rFonts w:ascii="Times New Roman" w:hAnsi="Times New Roman" w:cs="Times New Roman"/>
          <w:sz w:val="24"/>
          <w:szCs w:val="24"/>
        </w:rPr>
        <w:t>s</w:t>
      </w:r>
      <w:r w:rsidR="003A36FD" w:rsidRPr="00D70D43">
        <w:rPr>
          <w:rFonts w:ascii="Times New Roman" w:hAnsi="Times New Roman" w:cs="Times New Roman"/>
          <w:sz w:val="24"/>
          <w:szCs w:val="24"/>
        </w:rPr>
        <w:t>.</w:t>
      </w:r>
      <w:r w:rsidR="001E67BB" w:rsidRPr="00D70D43">
        <w:rPr>
          <w:rFonts w:ascii="Times New Roman" w:hAnsi="Times New Roman" w:cs="Times New Roman"/>
          <w:sz w:val="24"/>
          <w:szCs w:val="24"/>
        </w:rPr>
        <w:t xml:space="preserve"> </w:t>
      </w:r>
      <w:r w:rsidR="00940728" w:rsidRPr="00D70D43">
        <w:rPr>
          <w:rFonts w:ascii="Times New Roman" w:hAnsi="Times New Roman" w:cs="Times New Roman"/>
          <w:sz w:val="24"/>
          <w:szCs w:val="24"/>
        </w:rPr>
        <w:t>The study of the faunal assemblage from Taforalt indicate</w:t>
      </w:r>
      <w:r w:rsidR="00B70051">
        <w:rPr>
          <w:rFonts w:ascii="Times New Roman" w:hAnsi="Times New Roman" w:cs="Times New Roman"/>
          <w:sz w:val="24"/>
          <w:szCs w:val="24"/>
        </w:rPr>
        <w:t>s</w:t>
      </w:r>
      <w:r w:rsidR="00940728" w:rsidRPr="00D70D43">
        <w:rPr>
          <w:rFonts w:ascii="Times New Roman" w:hAnsi="Times New Roman" w:cs="Times New Roman"/>
          <w:sz w:val="24"/>
          <w:szCs w:val="24"/>
        </w:rPr>
        <w:t xml:space="preserve"> that the </w:t>
      </w:r>
      <w:proofErr w:type="spellStart"/>
      <w:r w:rsidR="00940728" w:rsidRPr="00D70D43">
        <w:rPr>
          <w:rFonts w:ascii="Times New Roman" w:hAnsi="Times New Roman" w:cs="Times New Roman"/>
          <w:sz w:val="24"/>
          <w:szCs w:val="24"/>
        </w:rPr>
        <w:t>Iberomarusians</w:t>
      </w:r>
      <w:proofErr w:type="spellEnd"/>
      <w:r w:rsidR="00940728" w:rsidRPr="00D70D43">
        <w:rPr>
          <w:rFonts w:ascii="Times New Roman" w:hAnsi="Times New Roman" w:cs="Times New Roman"/>
          <w:sz w:val="24"/>
          <w:szCs w:val="24"/>
        </w:rPr>
        <w:t xml:space="preserve"> </w:t>
      </w:r>
      <w:r w:rsidR="001E67BB" w:rsidRPr="00D70D43">
        <w:rPr>
          <w:rFonts w:ascii="Times New Roman" w:hAnsi="Times New Roman" w:cs="Times New Roman"/>
          <w:sz w:val="24"/>
          <w:szCs w:val="24"/>
        </w:rPr>
        <w:t xml:space="preserve">hunted all age-groups </w:t>
      </w:r>
      <w:r w:rsidR="000B77D4">
        <w:rPr>
          <w:rFonts w:ascii="Times New Roman" w:hAnsi="Times New Roman" w:cs="Times New Roman"/>
          <w:sz w:val="24"/>
          <w:szCs w:val="24"/>
        </w:rPr>
        <w:t xml:space="preserve">of </w:t>
      </w:r>
      <w:r w:rsidR="001E67BB" w:rsidRPr="00D70D43">
        <w:rPr>
          <w:rFonts w:ascii="Times New Roman" w:hAnsi="Times New Roman" w:cs="Times New Roman"/>
          <w:sz w:val="24"/>
          <w:szCs w:val="24"/>
        </w:rPr>
        <w:t>herbivores but</w:t>
      </w:r>
      <w:r w:rsidR="00B70051">
        <w:rPr>
          <w:rFonts w:ascii="Times New Roman" w:hAnsi="Times New Roman" w:cs="Times New Roman"/>
          <w:sz w:val="24"/>
          <w:szCs w:val="24"/>
        </w:rPr>
        <w:t xml:space="preserve"> that</w:t>
      </w:r>
      <w:r w:rsidR="001E67BB" w:rsidRPr="00D70D43">
        <w:rPr>
          <w:rFonts w:ascii="Times New Roman" w:hAnsi="Times New Roman" w:cs="Times New Roman"/>
          <w:sz w:val="24"/>
          <w:szCs w:val="24"/>
        </w:rPr>
        <w:t xml:space="preserve"> prime adults were preferentially </w:t>
      </w:r>
      <w:r w:rsidR="00B70051">
        <w:rPr>
          <w:rFonts w:ascii="Times New Roman" w:hAnsi="Times New Roman" w:cs="Times New Roman"/>
          <w:sz w:val="24"/>
          <w:szCs w:val="24"/>
        </w:rPr>
        <w:t>chosen</w:t>
      </w:r>
      <w:r w:rsidR="001E67BB" w:rsidRPr="00D70D43">
        <w:rPr>
          <w:rFonts w:ascii="Times New Roman" w:hAnsi="Times New Roman" w:cs="Times New Roman"/>
          <w:sz w:val="24"/>
          <w:szCs w:val="24"/>
        </w:rPr>
        <w:t xml:space="preserve"> </w:t>
      </w:r>
      <w:r w:rsidR="003860E6">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{"citationID":"NxWs1trp","properties":{"formattedCitation":"\\super 11\\nosupersub{}","plainCitation":"11","noteIndex":0},"citationItems":[{"id":886,"uris":["http://zotero.org/users/7125028/items/7MST7AGM"],"itemData":{"id":886,"type":"chapter","collection-title":"Monographien des Römisch-Germanischen Zentralmuseums","container-title":"Cemeteries and Sedentism in the Later Stone Age of NW Africa: Excavations at Grotte des Pigeons, Taforalt, Morocco","language":"en","note":"publisher: University Library Heidelberg\nversion: 1","page":"239-308","publisher":"Monographien des Römisch-Germanischen Zentralmuseums","source":"Zotero","title":"Large mammalian faunal assemblages","author":[{"family":"Turner","given":"E"}],"issued":{"date-parts":[["2019"]]}}}],"schema":"https://github.com/citation-style-language/schema/raw/master/csl-citation.json"} </w:instrText>
      </w:r>
      <w:r w:rsidR="003860E6">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11</w:t>
      </w:r>
      <w:r w:rsidR="003860E6">
        <w:rPr>
          <w:rFonts w:ascii="Times New Roman" w:hAnsi="Times New Roman" w:cs="Times New Roman"/>
          <w:sz w:val="24"/>
          <w:szCs w:val="24"/>
        </w:rPr>
        <w:fldChar w:fldCharType="end"/>
      </w:r>
    </w:p>
    <w:p w14:paraId="433DCC4E" w14:textId="181AEF8E" w:rsidR="00B63D04" w:rsidRDefault="00B63D04" w:rsidP="00B63D04">
      <w:pPr>
        <w:spacing w:after="0" w:line="240" w:lineRule="auto"/>
        <w:jc w:val="center"/>
        <w:rPr>
          <w:rFonts w:ascii="Times New Roman" w:eastAsia="Times New Roman" w:hAnsi="Times New Roman" w:cs="Times New Roman"/>
          <w:b/>
          <w:noProof/>
          <w:sz w:val="24"/>
          <w:szCs w:val="24"/>
        </w:rPr>
      </w:pPr>
      <w:r w:rsidRPr="00D70D43">
        <w:rPr>
          <w:rFonts w:ascii="Times New Roman" w:eastAsia="Times New Roman" w:hAnsi="Times New Roman" w:cs="Times New Roman"/>
          <w:b/>
          <w:noProof/>
          <w:color w:val="000000"/>
          <w:sz w:val="24"/>
          <w:szCs w:val="24"/>
        </w:rPr>
        <w:lastRenderedPageBreak/>
        <w:drawing>
          <wp:inline distT="0" distB="0" distL="0" distR="0" wp14:anchorId="344AB8A9" wp14:editId="319B09BB">
            <wp:extent cx="3354401" cy="3694176"/>
            <wp:effectExtent l="0" t="0" r="0" b="190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l="13871" t="674" r="16904" b="3929"/>
                    <a:stretch/>
                  </pic:blipFill>
                  <pic:spPr bwMode="auto">
                    <a:xfrm>
                      <a:off x="0" y="0"/>
                      <a:ext cx="3360593" cy="370099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noProof/>
          <w:sz w:val="24"/>
          <w:szCs w:val="24"/>
        </w:rPr>
        <w:t xml:space="preserve"> </w:t>
      </w:r>
    </w:p>
    <w:p w14:paraId="64D6849C" w14:textId="50335E30" w:rsidR="00B63D04" w:rsidRPr="004103FF" w:rsidRDefault="00B63D04" w:rsidP="00B63D04">
      <w:pPr>
        <w:spacing w:line="360" w:lineRule="auto"/>
        <w:rPr>
          <w:rFonts w:ascii="Times New Roman" w:eastAsia="Arial" w:hAnsi="Times New Roman" w:cs="Times New Roman"/>
          <w:sz w:val="24"/>
          <w:szCs w:val="24"/>
        </w:rPr>
      </w:pPr>
      <w:r w:rsidRPr="0064579A">
        <w:rPr>
          <w:rFonts w:ascii="Times New Roman" w:eastAsia="Arial" w:hAnsi="Times New Roman" w:cs="Times New Roman"/>
          <w:b/>
          <w:sz w:val="24"/>
          <w:szCs w:val="24"/>
        </w:rPr>
        <w:t>Figure S</w:t>
      </w:r>
      <w:r w:rsidR="004103FF" w:rsidRPr="0064579A">
        <w:rPr>
          <w:rFonts w:ascii="Times New Roman" w:eastAsia="Arial" w:hAnsi="Times New Roman" w:cs="Times New Roman"/>
          <w:b/>
          <w:sz w:val="24"/>
          <w:szCs w:val="24"/>
        </w:rPr>
        <w:t>1.</w:t>
      </w:r>
      <w:r w:rsidR="00826C74">
        <w:rPr>
          <w:rFonts w:ascii="Times New Roman" w:eastAsia="Arial" w:hAnsi="Times New Roman" w:cs="Times New Roman"/>
          <w:b/>
          <w:sz w:val="24"/>
          <w:szCs w:val="24"/>
        </w:rPr>
        <w:t>3</w:t>
      </w:r>
      <w:r w:rsidRPr="0064579A">
        <w:rPr>
          <w:rFonts w:ascii="Times New Roman" w:eastAsia="Arial" w:hAnsi="Times New Roman" w:cs="Times New Roman"/>
          <w:b/>
          <w:sz w:val="24"/>
          <w:szCs w:val="24"/>
        </w:rPr>
        <w:t>:</w:t>
      </w:r>
      <w:r w:rsidRPr="004103FF">
        <w:rPr>
          <w:rFonts w:ascii="Times New Roman" w:eastAsia="Arial" w:hAnsi="Times New Roman" w:cs="Times New Roman"/>
          <w:sz w:val="24"/>
          <w:szCs w:val="24"/>
        </w:rPr>
        <w:t xml:space="preserve"> The percentage of number </w:t>
      </w:r>
      <w:r w:rsidR="003028AC">
        <w:rPr>
          <w:rFonts w:ascii="Times New Roman" w:eastAsia="Arial" w:hAnsi="Times New Roman" w:cs="Times New Roman"/>
          <w:sz w:val="24"/>
          <w:szCs w:val="24"/>
        </w:rPr>
        <w:t xml:space="preserve">of </w:t>
      </w:r>
      <w:r w:rsidRPr="004103FF">
        <w:rPr>
          <w:rFonts w:ascii="Times New Roman" w:eastAsia="Arial" w:hAnsi="Times New Roman" w:cs="Times New Roman"/>
          <w:sz w:val="24"/>
          <w:szCs w:val="24"/>
        </w:rPr>
        <w:t>identifiable animal species from sector 10 at Taforalt</w:t>
      </w:r>
      <w:r w:rsidR="00B90B1C">
        <w:rPr>
          <w:rFonts w:ascii="Times New Roman" w:eastAsia="Arial" w:hAnsi="Times New Roman" w:cs="Times New Roman"/>
          <w:sz w:val="24"/>
          <w:szCs w:val="24"/>
        </w:rPr>
        <w:fldChar w:fldCharType="begin"/>
      </w:r>
      <w:r w:rsidR="000475E4">
        <w:rPr>
          <w:rFonts w:ascii="Times New Roman" w:eastAsia="Arial" w:hAnsi="Times New Roman" w:cs="Times New Roman"/>
          <w:sz w:val="24"/>
          <w:szCs w:val="24"/>
        </w:rPr>
        <w:instrText xml:space="preserve"> ADDIN ZOTERO_ITEM CSL_CITATION {"citationID":"2sIgRMdE","properties":{"formattedCitation":"\\super 12\\nosupersub{}","plainCitation":"12","noteIndex":0},"citationItems":[{"id":36,"uris":["http://zotero.org/users/7125028/items/RYWFSNQU"],"itemData":{"id":36,"type":"article-journal","abstract":"This study applies peptide mass fingerprinting (also known as ‘ZooMS’) to bone tools from the North African Palaeolithic, as the first stage in a research programme aimed at understanding distinct phases within a bone tool chaîne opératoire. We report on the largest collection of bone tools from the North African Later Stone Age (LSA), from the cave site of Taforalt (Grotte des Pigeons) in eastern Morocco. Their appearance at this site from c. 15,000 cal BP appears to coincide with other changes in human behaviour which led to increased sedentism, cemetery use, and intensive exploitation of certain food resources. As such, bone tools can provide insights into how such broad-scale cultural renegotiations may have been brokered technologically, independent of the lithic record. Here, we explore initial raw material selection and manufacture strategies through use of ZooMS, a technique that permits identification of specific animals from very small bone samples. We found that ZooMS is highly suitable for use on the Taforalt material, and that bone tool morphology and construction tracks closely with the original animal from which a tool was made. Our results indicate that the Iberomaurusian occupants of Taforalt embedded bone tools within culturally-mediated technological strategies, potentially involving other perishable materials.","container-title":"Journal of Archaeological Science","DOI":"10.1016/j.jas.2018.08.012","ISSN":"0305-4403","journalAbbreviation":"Journal of Archaeological Science","language":"en","page":"149-157","source":"ScienceDirect","title":"ZooMS identification of bone tools from the North African Later Stone Age","volume":"98","author":[{"family":"Desmond","given":"Abigail"},{"family":"Barton","given":"Nick"},{"family":"Bouzouggar","given":"Abdeljalil"},{"family":"Douka","given":"Katerina"},{"family":"Fernandez","given":"Philippe"},{"family":"Humphrey","given":"Louise"},{"family":"Morales","given":"Jacob"},{"family":"Turner","given":"Elaine"},{"family":"Buckley","given":"Michael"}],"issued":{"date-parts":[["2018",10,1]]}}}],"schema":"https://github.com/citation-style-language/schema/raw/master/csl-citation.json"} </w:instrText>
      </w:r>
      <w:r w:rsidR="00B90B1C">
        <w:rPr>
          <w:rFonts w:ascii="Times New Roman" w:eastAsia="Arial" w:hAnsi="Times New Roman" w:cs="Times New Roman"/>
          <w:sz w:val="24"/>
          <w:szCs w:val="24"/>
        </w:rPr>
        <w:fldChar w:fldCharType="separate"/>
      </w:r>
      <w:r w:rsidR="000475E4" w:rsidRPr="000475E4">
        <w:rPr>
          <w:rFonts w:ascii="Times New Roman" w:hAnsi="Times New Roman" w:cs="Times New Roman"/>
          <w:sz w:val="24"/>
          <w:szCs w:val="24"/>
          <w:vertAlign w:val="superscript"/>
        </w:rPr>
        <w:t>12</w:t>
      </w:r>
      <w:r w:rsidR="00B90B1C">
        <w:rPr>
          <w:rFonts w:ascii="Times New Roman" w:eastAsia="Arial" w:hAnsi="Times New Roman" w:cs="Times New Roman"/>
          <w:sz w:val="24"/>
          <w:szCs w:val="24"/>
        </w:rPr>
        <w:fldChar w:fldCharType="end"/>
      </w:r>
      <w:r w:rsidRPr="004103FF">
        <w:rPr>
          <w:rFonts w:ascii="Times New Roman" w:eastAsia="Arial" w:hAnsi="Times New Roman" w:cs="Times New Roman"/>
          <w:sz w:val="24"/>
          <w:szCs w:val="24"/>
        </w:rPr>
        <w:t xml:space="preserve"> </w:t>
      </w:r>
    </w:p>
    <w:p w14:paraId="0CED64CA" w14:textId="77777777" w:rsidR="00826C74" w:rsidRDefault="00826C74" w:rsidP="00B63D04">
      <w:pPr>
        <w:spacing w:line="360" w:lineRule="auto"/>
        <w:jc w:val="center"/>
        <w:rPr>
          <w:rFonts w:ascii="Times New Roman" w:hAnsi="Times New Roman" w:cs="Times New Roman"/>
          <w:sz w:val="24"/>
          <w:szCs w:val="24"/>
        </w:rPr>
      </w:pPr>
    </w:p>
    <w:p w14:paraId="28713725" w14:textId="7C940B1E" w:rsidR="00B72D91" w:rsidRDefault="00826C74" w:rsidP="00B63D04">
      <w:pPr>
        <w:spacing w:line="360" w:lineRule="auto"/>
        <w:jc w:val="center"/>
        <w:rPr>
          <w:b/>
          <w:bCs/>
          <w:noProof/>
          <w:color w:val="000000"/>
          <w:bdr w:val="none" w:sz="0" w:space="0" w:color="auto" w:frame="1"/>
        </w:rPr>
      </w:pPr>
      <w:r w:rsidRPr="0064579A">
        <w:rPr>
          <w:rFonts w:ascii="Times New Roman" w:hAnsi="Times New Roman" w:cs="Times New Roman"/>
          <w:b/>
          <w:sz w:val="24"/>
          <w:szCs w:val="24"/>
        </w:rPr>
        <w:t>Table S1.1:</w:t>
      </w:r>
      <w:r>
        <w:rPr>
          <w:rFonts w:ascii="Times New Roman" w:hAnsi="Times New Roman" w:cs="Times New Roman"/>
          <w:sz w:val="24"/>
          <w:szCs w:val="24"/>
        </w:rPr>
        <w:t xml:space="preserve"> List of the identifiable faunal species from sector 10 Taforalt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{"citationID":"IX17iZRt","properties":{"formattedCitation":"\\super 11,12\\nosupersub{}","plainCitation":"11,12","noteIndex":0},"citationItems":[{"id":886,"uris":["http://zotero.org/users/7125028/items/7MST7AGM"],"itemData":{"id":886,"type":"chapter","collection-title":"Monographien des Römisch-Germanischen Zentralmuseums","container-title":"Cemeteries and Sedentism in the Later Stone Age of NW Africa: Excavations at Grotte des Pigeons, Taforalt, Morocco","language":"en","note":"publisher: University Library Heidelberg\nversion: 1","page":"239-308","publisher":"Monographien des Römisch-Germanischen Zentralmuseums","source":"Zotero","title":"Large mammalian faunal assemblages","author":[{"family":"Turner","given":"E"}],"issued":{"date-parts":[["2019"]]}}},{"id":36,"uris":["http://zotero.org/users/7125028/items/RYWFSNQU"],"itemData":{"id":36,"type":"article-journal","abstract":"This study applies peptide mass fingerprinting (also known as ‘ZooMS’) to bone tools from the North African Palaeolithic, as the first stage in a research programme aimed at understanding distinct phases within a bone tool chaîne opératoire. We report on the largest collection of bone tools from the North African Later Stone Age (LSA), from the cave site of Taforalt (Grotte des Pigeons) in eastern Morocco. Their appearance at this site from c. 15,000 cal BP appears to coincide with other changes in human behaviour which led to increased sedentism, cemetery use, and intensive exploitation of certain food resources. As such, bone tools can provide insights into how such broad-scale cultural renegotiations may have been brokered technologically, independent of the lithic record. Here, we explore initial raw material selection and manufacture strategies through use of ZooMS, a technique that permits identification of specific animals from very small bone samples. We found that ZooMS is highly suitable for use on the Taforalt material, and that bone tool morphology and construction tracks closely with the original animal from which a tool was made. Our results indicate that the Iberomaurusian occupants of Taforalt embedded bone tools within culturally-mediated technological strategies, potentially involving other perishable materials.","container-title":"Journal of Archaeological Science","DOI":"10.1016/j.jas.2018.08.012","ISSN":"0305-4403","journalAbbreviation":"Journal of Archaeological Science","language":"en","page":"149-157","source":"ScienceDirect","title":"ZooMS identification of bone tools from the North African Later Stone Age","volume":"98","author":[{"family":"Desmond","given":"Abigail"},{"family":"Barton","given":"Nick"},{"family":"Bouzouggar","given":"Abdeljalil"},{"family":"Douka","given":"Katerina"},{"family":"Fernandez","given":"Philippe"},{"family":"Humphrey","given":"Louise"},{"family":"Morales","given":"Jacob"},{"family":"Turner","given":"Elaine"},{"family":"Buckley","given":"Michael"}],"issued":{"date-parts":[["2018",10,1]]}}}],"schema":"https://github.com/citation-style-language/schema/raw/master/csl-citation.json"} </w:instrText>
      </w:r>
      <w:r>
        <w:rPr>
          <w:rFonts w:ascii="Times New Roman" w:hAnsi="Times New Roman" w:cs="Times New Roman"/>
          <w:sz w:val="24"/>
          <w:szCs w:val="24"/>
        </w:rPr>
        <w:fldChar w:fldCharType="separate"/>
      </w:r>
      <w:r w:rsidRPr="000475E4">
        <w:rPr>
          <w:rFonts w:ascii="Times New Roman" w:hAnsi="Times New Roman" w:cs="Times New Roman"/>
          <w:sz w:val="24"/>
          <w:szCs w:val="24"/>
          <w:vertAlign w:val="superscript"/>
        </w:rPr>
        <w:t>11,12</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00B63D04">
        <w:rPr>
          <w:rFonts w:ascii="Times New Roman" w:hAnsi="Times New Roman" w:cs="Times New Roman"/>
          <w:sz w:val="24"/>
          <w:szCs w:val="24"/>
        </w:rPr>
        <w:t xml:space="preserve"> </w:t>
      </w:r>
    </w:p>
    <w:tbl>
      <w:tblPr>
        <w:tblW w:w="6232" w:type="dxa"/>
        <w:jc w:val="center"/>
        <w:tblLook w:val="04A0" w:firstRow="1" w:lastRow="0" w:firstColumn="1" w:lastColumn="0" w:noHBand="0" w:noVBand="1"/>
      </w:tblPr>
      <w:tblGrid>
        <w:gridCol w:w="3880"/>
        <w:gridCol w:w="641"/>
        <w:gridCol w:w="1711"/>
      </w:tblGrid>
      <w:tr w:rsidR="00B72D91" w:rsidRPr="00B72D91" w14:paraId="0B20FD62" w14:textId="77777777" w:rsidTr="007474C9">
        <w:trPr>
          <w:trHeight w:val="300"/>
          <w:jc w:val="center"/>
        </w:trPr>
        <w:tc>
          <w:tcPr>
            <w:tcW w:w="6232"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A5D5F62" w14:textId="77777777" w:rsidR="00B72D91" w:rsidRPr="00B72D91" w:rsidRDefault="00B72D91" w:rsidP="00B72D91">
            <w:pPr>
              <w:spacing w:after="0" w:line="240" w:lineRule="auto"/>
              <w:jc w:val="center"/>
              <w:rPr>
                <w:rFonts w:eastAsia="Times New Roman"/>
                <w:b/>
                <w:bCs/>
                <w:color w:val="000000"/>
                <w:lang w:eastAsia="en-US"/>
              </w:rPr>
            </w:pPr>
            <w:r w:rsidRPr="00B72D91">
              <w:rPr>
                <w:rFonts w:eastAsia="Times New Roman"/>
                <w:b/>
                <w:bCs/>
                <w:color w:val="000000"/>
                <w:lang w:eastAsia="en-US"/>
              </w:rPr>
              <w:t>Faunal remains sector 10</w:t>
            </w:r>
          </w:p>
        </w:tc>
      </w:tr>
      <w:tr w:rsidR="00B72D91" w:rsidRPr="00B72D91" w14:paraId="2CA7D4C9" w14:textId="77777777" w:rsidTr="007474C9">
        <w:trPr>
          <w:trHeight w:val="300"/>
          <w:jc w:val="center"/>
        </w:trPr>
        <w:tc>
          <w:tcPr>
            <w:tcW w:w="3880" w:type="dxa"/>
            <w:tcBorders>
              <w:top w:val="single" w:sz="4" w:space="0" w:color="auto"/>
              <w:left w:val="single" w:sz="4" w:space="0" w:color="auto"/>
              <w:bottom w:val="single" w:sz="4" w:space="0" w:color="auto"/>
              <w:right w:val="nil"/>
            </w:tcBorders>
            <w:shd w:val="clear" w:color="auto" w:fill="auto"/>
            <w:noWrap/>
            <w:vAlign w:val="bottom"/>
            <w:hideMark/>
          </w:tcPr>
          <w:p w14:paraId="0BA556B8" w14:textId="77777777" w:rsidR="00B72D91" w:rsidRPr="00B72D91" w:rsidRDefault="00B72D91" w:rsidP="00B72D91">
            <w:pPr>
              <w:spacing w:after="0" w:line="240" w:lineRule="auto"/>
              <w:jc w:val="center"/>
              <w:rPr>
                <w:rFonts w:eastAsia="Times New Roman"/>
                <w:b/>
                <w:bCs/>
                <w:color w:val="000000"/>
                <w:lang w:eastAsia="en-US"/>
              </w:rPr>
            </w:pPr>
            <w:r w:rsidRPr="00B72D91">
              <w:rPr>
                <w:rFonts w:eastAsia="Times New Roman"/>
                <w:b/>
                <w:bCs/>
                <w:color w:val="000000"/>
                <w:lang w:eastAsia="en-US"/>
              </w:rPr>
              <w:t>Taxa</w:t>
            </w:r>
          </w:p>
        </w:tc>
        <w:tc>
          <w:tcPr>
            <w:tcW w:w="641" w:type="dxa"/>
            <w:tcBorders>
              <w:top w:val="single" w:sz="4" w:space="0" w:color="auto"/>
              <w:left w:val="nil"/>
              <w:bottom w:val="single" w:sz="4" w:space="0" w:color="auto"/>
              <w:right w:val="nil"/>
            </w:tcBorders>
            <w:shd w:val="clear" w:color="auto" w:fill="auto"/>
            <w:noWrap/>
            <w:vAlign w:val="bottom"/>
            <w:hideMark/>
          </w:tcPr>
          <w:p w14:paraId="60FC9A92" w14:textId="77777777" w:rsidR="00B72D91" w:rsidRPr="00B72D91" w:rsidRDefault="00B72D91" w:rsidP="00B72D91">
            <w:pPr>
              <w:spacing w:after="0" w:line="240" w:lineRule="auto"/>
              <w:jc w:val="center"/>
              <w:rPr>
                <w:rFonts w:eastAsia="Times New Roman"/>
                <w:b/>
                <w:bCs/>
                <w:color w:val="000000"/>
                <w:lang w:eastAsia="en-US"/>
              </w:rPr>
            </w:pPr>
            <w:r w:rsidRPr="00B72D91">
              <w:rPr>
                <w:rFonts w:eastAsia="Times New Roman"/>
                <w:b/>
                <w:bCs/>
                <w:color w:val="000000"/>
                <w:lang w:eastAsia="en-US"/>
              </w:rPr>
              <w:t>NISP</w:t>
            </w:r>
          </w:p>
        </w:tc>
        <w:tc>
          <w:tcPr>
            <w:tcW w:w="1711" w:type="dxa"/>
            <w:tcBorders>
              <w:top w:val="single" w:sz="4" w:space="0" w:color="auto"/>
              <w:left w:val="nil"/>
              <w:bottom w:val="single" w:sz="4" w:space="0" w:color="auto"/>
              <w:right w:val="single" w:sz="4" w:space="0" w:color="auto"/>
            </w:tcBorders>
            <w:shd w:val="clear" w:color="auto" w:fill="auto"/>
            <w:noWrap/>
            <w:vAlign w:val="bottom"/>
            <w:hideMark/>
          </w:tcPr>
          <w:p w14:paraId="55C2C90D" w14:textId="429D1E4E" w:rsidR="00B72D91" w:rsidRPr="00B72D91" w:rsidRDefault="00B72D91" w:rsidP="00B72D91">
            <w:pPr>
              <w:spacing w:after="0" w:line="240" w:lineRule="auto"/>
              <w:jc w:val="center"/>
              <w:rPr>
                <w:rFonts w:eastAsia="Times New Roman"/>
                <w:b/>
                <w:bCs/>
                <w:color w:val="000000"/>
                <w:lang w:eastAsia="en-US"/>
              </w:rPr>
            </w:pPr>
            <w:r w:rsidRPr="00B72D91">
              <w:rPr>
                <w:rFonts w:eastAsia="Times New Roman"/>
                <w:b/>
                <w:bCs/>
                <w:color w:val="000000"/>
                <w:lang w:eastAsia="en-US"/>
              </w:rPr>
              <w:t>NISP</w:t>
            </w:r>
            <w:r w:rsidR="006202D1">
              <w:rPr>
                <w:rFonts w:eastAsia="Times New Roman"/>
                <w:b/>
                <w:bCs/>
                <w:color w:val="000000"/>
                <w:lang w:eastAsia="en-US"/>
              </w:rPr>
              <w:t xml:space="preserve"> %</w:t>
            </w:r>
          </w:p>
        </w:tc>
      </w:tr>
      <w:tr w:rsidR="00B72D91" w:rsidRPr="00B72D91" w14:paraId="31AB8234" w14:textId="77777777" w:rsidTr="007474C9">
        <w:trPr>
          <w:trHeight w:val="300"/>
          <w:jc w:val="center"/>
        </w:trPr>
        <w:tc>
          <w:tcPr>
            <w:tcW w:w="3880" w:type="dxa"/>
            <w:tcBorders>
              <w:top w:val="single" w:sz="4" w:space="0" w:color="auto"/>
              <w:left w:val="single" w:sz="4" w:space="0" w:color="auto"/>
              <w:bottom w:val="nil"/>
              <w:right w:val="nil"/>
            </w:tcBorders>
            <w:shd w:val="clear" w:color="auto" w:fill="auto"/>
            <w:noWrap/>
            <w:vAlign w:val="bottom"/>
            <w:hideMark/>
          </w:tcPr>
          <w:p w14:paraId="3D9AED6C" w14:textId="3F614877"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Gazelle</w:t>
            </w:r>
            <w:r w:rsidR="00CC5BD2">
              <w:rPr>
                <w:rFonts w:eastAsia="Times New Roman"/>
                <w:color w:val="000000"/>
                <w:lang w:eastAsia="en-US"/>
              </w:rPr>
              <w:t xml:space="preserve"> (</w:t>
            </w:r>
            <w:proofErr w:type="spellStart"/>
            <w:r w:rsidR="00CC5BD2" w:rsidRPr="00CC5BD2">
              <w:rPr>
                <w:rFonts w:eastAsia="Times New Roman"/>
                <w:i/>
                <w:iCs/>
                <w:color w:val="000000"/>
                <w:lang w:eastAsia="en-US"/>
              </w:rPr>
              <w:t>Gazella</w:t>
            </w:r>
            <w:proofErr w:type="spellEnd"/>
            <w:r w:rsidR="00CC5BD2" w:rsidRPr="00CC5BD2">
              <w:rPr>
                <w:rFonts w:eastAsia="Times New Roman"/>
                <w:i/>
                <w:iCs/>
                <w:color w:val="000000"/>
                <w:lang w:eastAsia="en-US"/>
              </w:rPr>
              <w:t xml:space="preserve"> sp.</w:t>
            </w:r>
            <w:r w:rsidR="00CC5BD2">
              <w:rPr>
                <w:rFonts w:eastAsia="Times New Roman"/>
                <w:color w:val="000000"/>
                <w:lang w:eastAsia="en-US"/>
              </w:rPr>
              <w:t>)</w:t>
            </w:r>
          </w:p>
        </w:tc>
        <w:tc>
          <w:tcPr>
            <w:tcW w:w="641" w:type="dxa"/>
            <w:tcBorders>
              <w:top w:val="single" w:sz="4" w:space="0" w:color="auto"/>
              <w:left w:val="nil"/>
              <w:bottom w:val="nil"/>
              <w:right w:val="nil"/>
            </w:tcBorders>
            <w:shd w:val="clear" w:color="auto" w:fill="auto"/>
            <w:noWrap/>
            <w:vAlign w:val="bottom"/>
            <w:hideMark/>
          </w:tcPr>
          <w:p w14:paraId="7B93303B"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78</w:t>
            </w:r>
          </w:p>
        </w:tc>
        <w:tc>
          <w:tcPr>
            <w:tcW w:w="1711" w:type="dxa"/>
            <w:tcBorders>
              <w:top w:val="single" w:sz="4" w:space="0" w:color="auto"/>
              <w:left w:val="nil"/>
              <w:bottom w:val="nil"/>
              <w:right w:val="single" w:sz="4" w:space="0" w:color="auto"/>
            </w:tcBorders>
            <w:shd w:val="clear" w:color="auto" w:fill="auto"/>
            <w:noWrap/>
            <w:vAlign w:val="bottom"/>
            <w:hideMark/>
          </w:tcPr>
          <w:p w14:paraId="58AE4C21"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10.88</w:t>
            </w:r>
          </w:p>
        </w:tc>
      </w:tr>
      <w:tr w:rsidR="00B72D91" w:rsidRPr="00B72D91" w14:paraId="05B280AB"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1BAED42B" w14:textId="2AEC9944"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Hartebeest</w:t>
            </w:r>
            <w:r w:rsidR="00CC5BD2">
              <w:rPr>
                <w:rFonts w:eastAsia="Times New Roman"/>
                <w:color w:val="000000"/>
                <w:lang w:eastAsia="en-US"/>
              </w:rPr>
              <w:t xml:space="preserve"> (</w:t>
            </w:r>
            <w:proofErr w:type="spellStart"/>
            <w:r w:rsidR="00CC5BD2" w:rsidRPr="00CC5BD2">
              <w:rPr>
                <w:rFonts w:eastAsia="Times New Roman"/>
                <w:i/>
                <w:iCs/>
                <w:color w:val="000000"/>
                <w:lang w:eastAsia="en-US"/>
              </w:rPr>
              <w:t>Alcelaphus</w:t>
            </w:r>
            <w:proofErr w:type="spellEnd"/>
            <w:r w:rsidR="00CC5BD2" w:rsidRPr="00CC5BD2">
              <w:rPr>
                <w:rFonts w:eastAsia="Times New Roman"/>
                <w:i/>
                <w:iCs/>
                <w:color w:val="000000"/>
                <w:lang w:eastAsia="en-US"/>
              </w:rPr>
              <w:t xml:space="preserve"> </w:t>
            </w:r>
            <w:proofErr w:type="spellStart"/>
            <w:r w:rsidR="00CC5BD2" w:rsidRPr="00CC5BD2">
              <w:rPr>
                <w:rFonts w:eastAsia="Times New Roman"/>
                <w:i/>
                <w:iCs/>
                <w:color w:val="000000"/>
                <w:lang w:eastAsia="en-US"/>
              </w:rPr>
              <w:t>buselaphus</w:t>
            </w:r>
            <w:proofErr w:type="spellEnd"/>
            <w:r w:rsidR="00CC5BD2">
              <w:rPr>
                <w:rFonts w:eastAsia="Times New Roman"/>
                <w:color w:val="000000"/>
                <w:lang w:eastAsia="en-US"/>
              </w:rPr>
              <w:t>)</w:t>
            </w:r>
          </w:p>
        </w:tc>
        <w:tc>
          <w:tcPr>
            <w:tcW w:w="641" w:type="dxa"/>
            <w:tcBorders>
              <w:top w:val="nil"/>
              <w:left w:val="nil"/>
              <w:bottom w:val="nil"/>
              <w:right w:val="nil"/>
            </w:tcBorders>
            <w:shd w:val="clear" w:color="auto" w:fill="auto"/>
            <w:noWrap/>
            <w:vAlign w:val="bottom"/>
            <w:hideMark/>
          </w:tcPr>
          <w:p w14:paraId="1D0E2FD8"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18</w:t>
            </w:r>
          </w:p>
        </w:tc>
        <w:tc>
          <w:tcPr>
            <w:tcW w:w="1711" w:type="dxa"/>
            <w:tcBorders>
              <w:top w:val="nil"/>
              <w:left w:val="nil"/>
              <w:bottom w:val="nil"/>
              <w:right w:val="single" w:sz="4" w:space="0" w:color="auto"/>
            </w:tcBorders>
            <w:shd w:val="clear" w:color="auto" w:fill="auto"/>
            <w:noWrap/>
            <w:vAlign w:val="bottom"/>
            <w:hideMark/>
          </w:tcPr>
          <w:p w14:paraId="444E2A1D"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2.51</w:t>
            </w:r>
          </w:p>
        </w:tc>
      </w:tr>
      <w:tr w:rsidR="00B72D91" w:rsidRPr="00B72D91" w14:paraId="0EE1E997"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2BFEC357" w14:textId="612EB1E4"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 xml:space="preserve">Barbary sheep </w:t>
            </w:r>
            <w:r w:rsidR="00CC5BD2">
              <w:rPr>
                <w:rFonts w:eastAsia="Times New Roman"/>
                <w:color w:val="000000"/>
                <w:lang w:eastAsia="en-US"/>
              </w:rPr>
              <w:t>(</w:t>
            </w:r>
            <w:proofErr w:type="spellStart"/>
            <w:r w:rsidR="00CC5BD2" w:rsidRPr="00253FDA">
              <w:rPr>
                <w:rFonts w:eastAsia="Times New Roman"/>
                <w:i/>
                <w:iCs/>
                <w:color w:val="000000"/>
                <w:lang w:eastAsia="en-US"/>
              </w:rPr>
              <w:t>Ammotragus</w:t>
            </w:r>
            <w:proofErr w:type="spellEnd"/>
            <w:r w:rsidR="00CC5BD2" w:rsidRPr="00253FDA">
              <w:rPr>
                <w:rFonts w:eastAsia="Times New Roman"/>
                <w:i/>
                <w:iCs/>
                <w:color w:val="000000"/>
                <w:lang w:eastAsia="en-US"/>
              </w:rPr>
              <w:t xml:space="preserve"> </w:t>
            </w:r>
            <w:proofErr w:type="spellStart"/>
            <w:r w:rsidR="00CC5BD2" w:rsidRPr="00253FDA">
              <w:rPr>
                <w:rFonts w:eastAsia="Times New Roman"/>
                <w:i/>
                <w:iCs/>
                <w:color w:val="000000"/>
                <w:lang w:eastAsia="en-US"/>
              </w:rPr>
              <w:t>lervia</w:t>
            </w:r>
            <w:proofErr w:type="spellEnd"/>
            <w:r w:rsidR="00CC5BD2">
              <w:rPr>
                <w:rFonts w:eastAsia="Times New Roman"/>
                <w:color w:val="000000"/>
                <w:lang w:eastAsia="en-US"/>
              </w:rPr>
              <w:t>)</w:t>
            </w:r>
          </w:p>
        </w:tc>
        <w:tc>
          <w:tcPr>
            <w:tcW w:w="641" w:type="dxa"/>
            <w:tcBorders>
              <w:top w:val="nil"/>
              <w:left w:val="nil"/>
              <w:bottom w:val="nil"/>
              <w:right w:val="nil"/>
            </w:tcBorders>
            <w:shd w:val="clear" w:color="auto" w:fill="auto"/>
            <w:noWrap/>
            <w:vAlign w:val="bottom"/>
            <w:hideMark/>
          </w:tcPr>
          <w:p w14:paraId="6798A251"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433</w:t>
            </w:r>
          </w:p>
        </w:tc>
        <w:tc>
          <w:tcPr>
            <w:tcW w:w="1711" w:type="dxa"/>
            <w:tcBorders>
              <w:top w:val="nil"/>
              <w:left w:val="nil"/>
              <w:bottom w:val="nil"/>
              <w:right w:val="single" w:sz="4" w:space="0" w:color="auto"/>
            </w:tcBorders>
            <w:shd w:val="clear" w:color="auto" w:fill="auto"/>
            <w:noWrap/>
            <w:vAlign w:val="bottom"/>
            <w:hideMark/>
          </w:tcPr>
          <w:p w14:paraId="6597E2BA"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60.39</w:t>
            </w:r>
          </w:p>
        </w:tc>
      </w:tr>
      <w:tr w:rsidR="00B72D91" w:rsidRPr="00B72D91" w14:paraId="465A2BA5"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0BCB0E8A" w14:textId="0835056A"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 xml:space="preserve">Equid </w:t>
            </w:r>
            <w:r w:rsidR="00CC5BD2">
              <w:rPr>
                <w:rFonts w:eastAsia="Times New Roman"/>
                <w:color w:val="000000"/>
                <w:lang w:eastAsia="en-US"/>
              </w:rPr>
              <w:t>(Equidae)</w:t>
            </w:r>
          </w:p>
        </w:tc>
        <w:tc>
          <w:tcPr>
            <w:tcW w:w="641" w:type="dxa"/>
            <w:tcBorders>
              <w:top w:val="nil"/>
              <w:left w:val="nil"/>
              <w:bottom w:val="nil"/>
              <w:right w:val="nil"/>
            </w:tcBorders>
            <w:shd w:val="clear" w:color="auto" w:fill="auto"/>
            <w:noWrap/>
            <w:vAlign w:val="bottom"/>
            <w:hideMark/>
          </w:tcPr>
          <w:p w14:paraId="07F97EF5"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91</w:t>
            </w:r>
          </w:p>
        </w:tc>
        <w:tc>
          <w:tcPr>
            <w:tcW w:w="1711" w:type="dxa"/>
            <w:tcBorders>
              <w:top w:val="nil"/>
              <w:left w:val="nil"/>
              <w:bottom w:val="nil"/>
              <w:right w:val="single" w:sz="4" w:space="0" w:color="auto"/>
            </w:tcBorders>
            <w:shd w:val="clear" w:color="auto" w:fill="auto"/>
            <w:noWrap/>
            <w:vAlign w:val="bottom"/>
            <w:hideMark/>
          </w:tcPr>
          <w:p w14:paraId="098820AC"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12.69</w:t>
            </w:r>
          </w:p>
        </w:tc>
      </w:tr>
      <w:tr w:rsidR="00B72D91" w:rsidRPr="00B72D91" w14:paraId="365C059E"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0C492586" w14:textId="77777777"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 xml:space="preserve">Large bovines </w:t>
            </w:r>
          </w:p>
        </w:tc>
        <w:tc>
          <w:tcPr>
            <w:tcW w:w="641" w:type="dxa"/>
            <w:tcBorders>
              <w:top w:val="nil"/>
              <w:left w:val="nil"/>
              <w:bottom w:val="nil"/>
              <w:right w:val="nil"/>
            </w:tcBorders>
            <w:shd w:val="clear" w:color="auto" w:fill="auto"/>
            <w:noWrap/>
            <w:vAlign w:val="bottom"/>
            <w:hideMark/>
          </w:tcPr>
          <w:p w14:paraId="6D312B37"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48</w:t>
            </w:r>
          </w:p>
        </w:tc>
        <w:tc>
          <w:tcPr>
            <w:tcW w:w="1711" w:type="dxa"/>
            <w:tcBorders>
              <w:top w:val="nil"/>
              <w:left w:val="nil"/>
              <w:bottom w:val="nil"/>
              <w:right w:val="single" w:sz="4" w:space="0" w:color="auto"/>
            </w:tcBorders>
            <w:shd w:val="clear" w:color="auto" w:fill="auto"/>
            <w:noWrap/>
            <w:vAlign w:val="bottom"/>
            <w:hideMark/>
          </w:tcPr>
          <w:p w14:paraId="1253DD43"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6.69</w:t>
            </w:r>
          </w:p>
        </w:tc>
      </w:tr>
      <w:tr w:rsidR="00B72D91" w:rsidRPr="00B72D91" w14:paraId="78C6976C"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035053AC" w14:textId="51034DF2"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Fox</w:t>
            </w:r>
            <w:r w:rsidR="00CC5BD2">
              <w:rPr>
                <w:rFonts w:eastAsia="Times New Roman"/>
                <w:color w:val="000000"/>
                <w:lang w:eastAsia="en-US"/>
              </w:rPr>
              <w:t xml:space="preserve"> (</w:t>
            </w:r>
            <w:r w:rsidR="00CC5BD2" w:rsidRPr="00253FDA">
              <w:rPr>
                <w:rFonts w:eastAsia="Times New Roman"/>
                <w:i/>
                <w:iCs/>
                <w:color w:val="000000"/>
                <w:lang w:eastAsia="en-US"/>
              </w:rPr>
              <w:t>Vulpes</w:t>
            </w:r>
            <w:r w:rsidR="00CC2BEE">
              <w:rPr>
                <w:rFonts w:eastAsia="Times New Roman"/>
                <w:color w:val="000000"/>
                <w:lang w:eastAsia="en-US"/>
              </w:rPr>
              <w:t xml:space="preserve"> </w:t>
            </w:r>
            <w:r w:rsidR="00CC2BEE" w:rsidRPr="00A05E4F">
              <w:rPr>
                <w:rFonts w:eastAsia="Times New Roman"/>
                <w:i/>
                <w:iCs/>
                <w:color w:val="000000"/>
                <w:lang w:eastAsia="en-US"/>
              </w:rPr>
              <w:t>Vulpes</w:t>
            </w:r>
            <w:r w:rsidR="00CC5BD2">
              <w:rPr>
                <w:rFonts w:eastAsia="Times New Roman"/>
                <w:color w:val="000000"/>
                <w:lang w:eastAsia="en-US"/>
              </w:rPr>
              <w:t>)</w:t>
            </w:r>
          </w:p>
        </w:tc>
        <w:tc>
          <w:tcPr>
            <w:tcW w:w="641" w:type="dxa"/>
            <w:tcBorders>
              <w:top w:val="nil"/>
              <w:left w:val="nil"/>
              <w:bottom w:val="nil"/>
              <w:right w:val="nil"/>
            </w:tcBorders>
            <w:shd w:val="clear" w:color="auto" w:fill="auto"/>
            <w:noWrap/>
            <w:vAlign w:val="bottom"/>
            <w:hideMark/>
          </w:tcPr>
          <w:p w14:paraId="3BA695B9"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4</w:t>
            </w:r>
          </w:p>
        </w:tc>
        <w:tc>
          <w:tcPr>
            <w:tcW w:w="1711" w:type="dxa"/>
            <w:tcBorders>
              <w:top w:val="nil"/>
              <w:left w:val="nil"/>
              <w:bottom w:val="nil"/>
              <w:right w:val="single" w:sz="4" w:space="0" w:color="auto"/>
            </w:tcBorders>
            <w:shd w:val="clear" w:color="auto" w:fill="auto"/>
            <w:noWrap/>
            <w:vAlign w:val="bottom"/>
            <w:hideMark/>
          </w:tcPr>
          <w:p w14:paraId="00CAA272"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0.56</w:t>
            </w:r>
          </w:p>
        </w:tc>
      </w:tr>
      <w:tr w:rsidR="00B72D91" w:rsidRPr="00B72D91" w14:paraId="230D4C4F"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75AC0A49" w14:textId="736941BC"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Canid</w:t>
            </w:r>
            <w:r w:rsidR="00CC5BD2">
              <w:rPr>
                <w:rFonts w:eastAsia="Times New Roman"/>
                <w:color w:val="000000"/>
                <w:lang w:eastAsia="en-US"/>
              </w:rPr>
              <w:t xml:space="preserve"> (Canidae)</w:t>
            </w:r>
          </w:p>
        </w:tc>
        <w:tc>
          <w:tcPr>
            <w:tcW w:w="641" w:type="dxa"/>
            <w:tcBorders>
              <w:top w:val="nil"/>
              <w:left w:val="nil"/>
              <w:bottom w:val="nil"/>
              <w:right w:val="nil"/>
            </w:tcBorders>
            <w:shd w:val="clear" w:color="auto" w:fill="auto"/>
            <w:noWrap/>
            <w:vAlign w:val="bottom"/>
            <w:hideMark/>
          </w:tcPr>
          <w:p w14:paraId="6413883B"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3</w:t>
            </w:r>
          </w:p>
        </w:tc>
        <w:tc>
          <w:tcPr>
            <w:tcW w:w="1711" w:type="dxa"/>
            <w:tcBorders>
              <w:top w:val="nil"/>
              <w:left w:val="nil"/>
              <w:bottom w:val="nil"/>
              <w:right w:val="single" w:sz="4" w:space="0" w:color="auto"/>
            </w:tcBorders>
            <w:shd w:val="clear" w:color="auto" w:fill="auto"/>
            <w:noWrap/>
            <w:vAlign w:val="bottom"/>
            <w:hideMark/>
          </w:tcPr>
          <w:p w14:paraId="5C5E270F"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0.42</w:t>
            </w:r>
          </w:p>
        </w:tc>
      </w:tr>
      <w:tr w:rsidR="00B72D91" w:rsidRPr="00B72D91" w14:paraId="781CD997"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50352EB7" w14:textId="04607721"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 xml:space="preserve">Jackal </w:t>
            </w:r>
            <w:r w:rsidR="00CC5BD2">
              <w:rPr>
                <w:rFonts w:eastAsia="Times New Roman"/>
                <w:color w:val="000000"/>
                <w:lang w:eastAsia="en-US"/>
              </w:rPr>
              <w:t>(</w:t>
            </w:r>
            <w:proofErr w:type="spellStart"/>
            <w:r w:rsidR="00CC5BD2" w:rsidRPr="00253FDA">
              <w:rPr>
                <w:rFonts w:eastAsia="Times New Roman"/>
                <w:i/>
                <w:iCs/>
                <w:color w:val="000000"/>
                <w:lang w:eastAsia="en-US"/>
              </w:rPr>
              <w:t>Canis</w:t>
            </w:r>
            <w:proofErr w:type="spellEnd"/>
            <w:r w:rsidR="00CC5BD2" w:rsidRPr="00253FDA">
              <w:rPr>
                <w:rFonts w:eastAsia="Times New Roman"/>
                <w:i/>
                <w:iCs/>
                <w:color w:val="000000"/>
                <w:lang w:eastAsia="en-US"/>
              </w:rPr>
              <w:t xml:space="preserve"> aureus</w:t>
            </w:r>
            <w:r w:rsidR="00CC5BD2">
              <w:rPr>
                <w:rFonts w:eastAsia="Times New Roman"/>
                <w:color w:val="000000"/>
                <w:lang w:eastAsia="en-US"/>
              </w:rPr>
              <w:t>)</w:t>
            </w:r>
          </w:p>
        </w:tc>
        <w:tc>
          <w:tcPr>
            <w:tcW w:w="641" w:type="dxa"/>
            <w:tcBorders>
              <w:top w:val="nil"/>
              <w:left w:val="nil"/>
              <w:bottom w:val="nil"/>
              <w:right w:val="nil"/>
            </w:tcBorders>
            <w:shd w:val="clear" w:color="auto" w:fill="auto"/>
            <w:noWrap/>
            <w:vAlign w:val="bottom"/>
            <w:hideMark/>
          </w:tcPr>
          <w:p w14:paraId="234E0F47"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w:t>
            </w:r>
          </w:p>
        </w:tc>
        <w:tc>
          <w:tcPr>
            <w:tcW w:w="1711" w:type="dxa"/>
            <w:tcBorders>
              <w:top w:val="nil"/>
              <w:left w:val="nil"/>
              <w:bottom w:val="nil"/>
              <w:right w:val="single" w:sz="4" w:space="0" w:color="auto"/>
            </w:tcBorders>
            <w:shd w:val="clear" w:color="auto" w:fill="auto"/>
            <w:noWrap/>
            <w:vAlign w:val="bottom"/>
            <w:hideMark/>
          </w:tcPr>
          <w:p w14:paraId="04ACE6BF"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0.14</w:t>
            </w:r>
          </w:p>
        </w:tc>
      </w:tr>
      <w:tr w:rsidR="00B72D91" w:rsidRPr="00B72D91" w14:paraId="7BD59D38"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05D47C81" w14:textId="730A582E"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Bear</w:t>
            </w:r>
            <w:r w:rsidR="00CC5BD2">
              <w:rPr>
                <w:rFonts w:eastAsia="Times New Roman"/>
                <w:color w:val="000000"/>
                <w:lang w:eastAsia="en-US"/>
              </w:rPr>
              <w:t xml:space="preserve"> (Ursidae)</w:t>
            </w:r>
          </w:p>
        </w:tc>
        <w:tc>
          <w:tcPr>
            <w:tcW w:w="641" w:type="dxa"/>
            <w:tcBorders>
              <w:top w:val="nil"/>
              <w:left w:val="nil"/>
              <w:bottom w:val="nil"/>
              <w:right w:val="nil"/>
            </w:tcBorders>
            <w:shd w:val="clear" w:color="auto" w:fill="auto"/>
            <w:noWrap/>
            <w:vAlign w:val="bottom"/>
            <w:hideMark/>
          </w:tcPr>
          <w:p w14:paraId="43B92413"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w:t>
            </w:r>
          </w:p>
        </w:tc>
        <w:tc>
          <w:tcPr>
            <w:tcW w:w="1711" w:type="dxa"/>
            <w:tcBorders>
              <w:top w:val="nil"/>
              <w:left w:val="nil"/>
              <w:bottom w:val="nil"/>
              <w:right w:val="single" w:sz="4" w:space="0" w:color="auto"/>
            </w:tcBorders>
            <w:shd w:val="clear" w:color="auto" w:fill="auto"/>
            <w:noWrap/>
            <w:vAlign w:val="bottom"/>
            <w:hideMark/>
          </w:tcPr>
          <w:p w14:paraId="30A9C41F"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0.14</w:t>
            </w:r>
          </w:p>
        </w:tc>
      </w:tr>
      <w:tr w:rsidR="00B72D91" w:rsidRPr="00B72D91" w14:paraId="623228F5"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4CFD63E1" w14:textId="268F6CC6"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Rhinoceros</w:t>
            </w:r>
            <w:r w:rsidR="00CC5BD2">
              <w:rPr>
                <w:rFonts w:eastAsia="Times New Roman"/>
                <w:color w:val="000000"/>
                <w:lang w:eastAsia="en-US"/>
              </w:rPr>
              <w:t xml:space="preserve"> (</w:t>
            </w:r>
            <w:proofErr w:type="spellStart"/>
            <w:r w:rsidR="00CC5BD2">
              <w:rPr>
                <w:rFonts w:eastAsia="Times New Roman"/>
                <w:color w:val="000000"/>
                <w:lang w:eastAsia="en-US"/>
              </w:rPr>
              <w:t>Rhinocerotidae</w:t>
            </w:r>
            <w:proofErr w:type="spellEnd"/>
            <w:r w:rsidR="00CC5BD2">
              <w:rPr>
                <w:rFonts w:eastAsia="Times New Roman"/>
                <w:color w:val="000000"/>
                <w:lang w:eastAsia="en-US"/>
              </w:rPr>
              <w:t>)</w:t>
            </w:r>
          </w:p>
        </w:tc>
        <w:tc>
          <w:tcPr>
            <w:tcW w:w="641" w:type="dxa"/>
            <w:tcBorders>
              <w:top w:val="nil"/>
              <w:left w:val="nil"/>
              <w:bottom w:val="nil"/>
              <w:right w:val="nil"/>
            </w:tcBorders>
            <w:shd w:val="clear" w:color="auto" w:fill="auto"/>
            <w:noWrap/>
            <w:vAlign w:val="bottom"/>
            <w:hideMark/>
          </w:tcPr>
          <w:p w14:paraId="2FED965E"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w:t>
            </w:r>
          </w:p>
        </w:tc>
        <w:tc>
          <w:tcPr>
            <w:tcW w:w="1711" w:type="dxa"/>
            <w:tcBorders>
              <w:top w:val="nil"/>
              <w:left w:val="nil"/>
              <w:bottom w:val="nil"/>
              <w:right w:val="single" w:sz="4" w:space="0" w:color="auto"/>
            </w:tcBorders>
            <w:shd w:val="clear" w:color="auto" w:fill="auto"/>
            <w:noWrap/>
            <w:vAlign w:val="bottom"/>
            <w:hideMark/>
          </w:tcPr>
          <w:p w14:paraId="48AE4FA4"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0.14</w:t>
            </w:r>
          </w:p>
        </w:tc>
      </w:tr>
      <w:tr w:rsidR="00B72D91" w:rsidRPr="00B72D91" w14:paraId="34CBBB1F" w14:textId="77777777" w:rsidTr="007474C9">
        <w:trPr>
          <w:trHeight w:val="300"/>
          <w:jc w:val="center"/>
        </w:trPr>
        <w:tc>
          <w:tcPr>
            <w:tcW w:w="3880" w:type="dxa"/>
            <w:tcBorders>
              <w:top w:val="nil"/>
              <w:left w:val="single" w:sz="4" w:space="0" w:color="auto"/>
              <w:bottom w:val="nil"/>
              <w:right w:val="nil"/>
            </w:tcBorders>
            <w:shd w:val="clear" w:color="auto" w:fill="auto"/>
            <w:noWrap/>
            <w:vAlign w:val="bottom"/>
            <w:hideMark/>
          </w:tcPr>
          <w:p w14:paraId="395A2BCD" w14:textId="0728E0E7"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 xml:space="preserve">Wild pig </w:t>
            </w:r>
            <w:r w:rsidR="00CC5BD2">
              <w:rPr>
                <w:rFonts w:eastAsia="Times New Roman"/>
                <w:color w:val="000000"/>
                <w:lang w:eastAsia="en-US"/>
              </w:rPr>
              <w:t>(</w:t>
            </w:r>
            <w:r w:rsidR="00CC5BD2" w:rsidRPr="00253FDA">
              <w:rPr>
                <w:rFonts w:eastAsia="Times New Roman"/>
                <w:i/>
                <w:iCs/>
                <w:color w:val="000000"/>
                <w:lang w:eastAsia="en-US"/>
              </w:rPr>
              <w:t xml:space="preserve">Sus </w:t>
            </w:r>
            <w:proofErr w:type="spellStart"/>
            <w:r w:rsidR="00CC5BD2" w:rsidRPr="00253FDA">
              <w:rPr>
                <w:rFonts w:eastAsia="Times New Roman"/>
                <w:i/>
                <w:iCs/>
                <w:color w:val="000000"/>
                <w:lang w:eastAsia="en-US"/>
              </w:rPr>
              <w:t>scrofa</w:t>
            </w:r>
            <w:proofErr w:type="spellEnd"/>
            <w:r w:rsidR="00CC5BD2">
              <w:rPr>
                <w:rFonts w:eastAsia="Times New Roman"/>
                <w:color w:val="000000"/>
                <w:lang w:eastAsia="en-US"/>
              </w:rPr>
              <w:t>)</w:t>
            </w:r>
          </w:p>
        </w:tc>
        <w:tc>
          <w:tcPr>
            <w:tcW w:w="641" w:type="dxa"/>
            <w:tcBorders>
              <w:top w:val="nil"/>
              <w:left w:val="nil"/>
              <w:bottom w:val="nil"/>
              <w:right w:val="nil"/>
            </w:tcBorders>
            <w:shd w:val="clear" w:color="auto" w:fill="auto"/>
            <w:noWrap/>
            <w:vAlign w:val="bottom"/>
            <w:hideMark/>
          </w:tcPr>
          <w:p w14:paraId="534F276C"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w:t>
            </w:r>
          </w:p>
        </w:tc>
        <w:tc>
          <w:tcPr>
            <w:tcW w:w="1711" w:type="dxa"/>
            <w:tcBorders>
              <w:top w:val="nil"/>
              <w:left w:val="nil"/>
              <w:bottom w:val="nil"/>
              <w:right w:val="single" w:sz="4" w:space="0" w:color="auto"/>
            </w:tcBorders>
            <w:shd w:val="clear" w:color="auto" w:fill="auto"/>
            <w:noWrap/>
            <w:vAlign w:val="bottom"/>
            <w:hideMark/>
          </w:tcPr>
          <w:p w14:paraId="1EA82CCF"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0.14</w:t>
            </w:r>
          </w:p>
        </w:tc>
      </w:tr>
      <w:tr w:rsidR="00B72D91" w:rsidRPr="00B72D91" w14:paraId="0E7CC4AC" w14:textId="77777777" w:rsidTr="007474C9">
        <w:trPr>
          <w:trHeight w:val="300"/>
          <w:jc w:val="center"/>
        </w:trPr>
        <w:tc>
          <w:tcPr>
            <w:tcW w:w="3880" w:type="dxa"/>
            <w:tcBorders>
              <w:top w:val="nil"/>
              <w:left w:val="single" w:sz="4" w:space="0" w:color="auto"/>
              <w:bottom w:val="single" w:sz="4" w:space="0" w:color="auto"/>
              <w:right w:val="nil"/>
            </w:tcBorders>
            <w:shd w:val="clear" w:color="auto" w:fill="auto"/>
            <w:noWrap/>
            <w:vAlign w:val="bottom"/>
            <w:hideMark/>
          </w:tcPr>
          <w:p w14:paraId="06D65767" w14:textId="67813AC1" w:rsidR="00B72D91" w:rsidRPr="00B72D91" w:rsidRDefault="00B72D91" w:rsidP="000854E9">
            <w:pPr>
              <w:spacing w:after="0" w:line="240" w:lineRule="auto"/>
              <w:rPr>
                <w:rFonts w:eastAsia="Times New Roman"/>
                <w:color w:val="000000"/>
                <w:lang w:eastAsia="en-US"/>
              </w:rPr>
            </w:pPr>
            <w:r w:rsidRPr="00B72D91">
              <w:rPr>
                <w:rFonts w:eastAsia="Times New Roman"/>
                <w:color w:val="000000"/>
                <w:lang w:eastAsia="en-US"/>
              </w:rPr>
              <w:t xml:space="preserve">Felid </w:t>
            </w:r>
            <w:r w:rsidR="00CC5BD2">
              <w:rPr>
                <w:rFonts w:eastAsia="Times New Roman"/>
                <w:color w:val="000000"/>
                <w:lang w:eastAsia="en-US"/>
              </w:rPr>
              <w:t>(Felidae)</w:t>
            </w:r>
          </w:p>
        </w:tc>
        <w:tc>
          <w:tcPr>
            <w:tcW w:w="641" w:type="dxa"/>
            <w:tcBorders>
              <w:top w:val="nil"/>
              <w:left w:val="nil"/>
              <w:bottom w:val="single" w:sz="4" w:space="0" w:color="auto"/>
              <w:right w:val="nil"/>
            </w:tcBorders>
            <w:shd w:val="clear" w:color="auto" w:fill="auto"/>
            <w:noWrap/>
            <w:vAlign w:val="bottom"/>
            <w:hideMark/>
          </w:tcPr>
          <w:p w14:paraId="67E3B44D"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1</w:t>
            </w:r>
          </w:p>
        </w:tc>
        <w:tc>
          <w:tcPr>
            <w:tcW w:w="1711" w:type="dxa"/>
            <w:tcBorders>
              <w:top w:val="nil"/>
              <w:left w:val="nil"/>
              <w:bottom w:val="single" w:sz="4" w:space="0" w:color="auto"/>
              <w:right w:val="single" w:sz="4" w:space="0" w:color="auto"/>
            </w:tcBorders>
            <w:shd w:val="clear" w:color="auto" w:fill="auto"/>
            <w:noWrap/>
            <w:vAlign w:val="bottom"/>
            <w:hideMark/>
          </w:tcPr>
          <w:p w14:paraId="2588DC6B"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0.14</w:t>
            </w:r>
          </w:p>
        </w:tc>
      </w:tr>
      <w:tr w:rsidR="00B72D91" w:rsidRPr="00B72D91" w14:paraId="74F38FD6" w14:textId="77777777" w:rsidTr="007474C9">
        <w:trPr>
          <w:trHeight w:val="300"/>
          <w:jc w:val="center"/>
        </w:trPr>
        <w:tc>
          <w:tcPr>
            <w:tcW w:w="3880" w:type="dxa"/>
            <w:tcBorders>
              <w:top w:val="single" w:sz="4" w:space="0" w:color="auto"/>
              <w:left w:val="single" w:sz="4" w:space="0" w:color="auto"/>
              <w:bottom w:val="single" w:sz="4" w:space="0" w:color="auto"/>
              <w:right w:val="nil"/>
            </w:tcBorders>
            <w:shd w:val="clear" w:color="auto" w:fill="auto"/>
            <w:noWrap/>
            <w:vAlign w:val="bottom"/>
            <w:hideMark/>
          </w:tcPr>
          <w:p w14:paraId="6391BF1E"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Total</w:t>
            </w:r>
          </w:p>
        </w:tc>
        <w:tc>
          <w:tcPr>
            <w:tcW w:w="641" w:type="dxa"/>
            <w:tcBorders>
              <w:top w:val="single" w:sz="4" w:space="0" w:color="auto"/>
              <w:left w:val="nil"/>
              <w:bottom w:val="single" w:sz="4" w:space="0" w:color="auto"/>
              <w:right w:val="nil"/>
            </w:tcBorders>
            <w:shd w:val="clear" w:color="auto" w:fill="auto"/>
            <w:noWrap/>
            <w:vAlign w:val="bottom"/>
            <w:hideMark/>
          </w:tcPr>
          <w:p w14:paraId="695DCA6C"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681</w:t>
            </w:r>
          </w:p>
        </w:tc>
        <w:tc>
          <w:tcPr>
            <w:tcW w:w="1711" w:type="dxa"/>
            <w:tcBorders>
              <w:top w:val="single" w:sz="4" w:space="0" w:color="auto"/>
              <w:left w:val="nil"/>
              <w:bottom w:val="single" w:sz="4" w:space="0" w:color="auto"/>
              <w:right w:val="single" w:sz="4" w:space="0" w:color="auto"/>
            </w:tcBorders>
            <w:shd w:val="clear" w:color="auto" w:fill="auto"/>
            <w:noWrap/>
            <w:vAlign w:val="bottom"/>
            <w:hideMark/>
          </w:tcPr>
          <w:p w14:paraId="4E2B79FC" w14:textId="77777777" w:rsidR="00B72D91" w:rsidRPr="00B72D91" w:rsidRDefault="00B72D91" w:rsidP="00B72D91">
            <w:pPr>
              <w:spacing w:after="0" w:line="240" w:lineRule="auto"/>
              <w:jc w:val="center"/>
              <w:rPr>
                <w:rFonts w:eastAsia="Times New Roman"/>
                <w:color w:val="000000"/>
                <w:lang w:eastAsia="en-US"/>
              </w:rPr>
            </w:pPr>
            <w:r w:rsidRPr="00B72D91">
              <w:rPr>
                <w:rFonts w:eastAsia="Times New Roman"/>
                <w:color w:val="000000"/>
                <w:lang w:eastAsia="en-US"/>
              </w:rPr>
              <w:t>95</w:t>
            </w:r>
          </w:p>
        </w:tc>
      </w:tr>
    </w:tbl>
    <w:p w14:paraId="00000023" w14:textId="4D005117" w:rsidR="00784AF4" w:rsidRPr="0095742F" w:rsidRDefault="0003068C" w:rsidP="0072489E">
      <w:pPr>
        <w:spacing w:line="360" w:lineRule="auto"/>
        <w:rPr>
          <w:rFonts w:ascii="Times New Roman" w:hAnsi="Times New Roman" w:cs="Times New Roman"/>
          <w:sz w:val="24"/>
          <w:szCs w:val="24"/>
        </w:rPr>
      </w:pPr>
      <w:r w:rsidRPr="00D70D43">
        <w:rPr>
          <w:rFonts w:ascii="Times New Roman" w:hAnsi="Times New Roman" w:cs="Times New Roman"/>
          <w:sz w:val="24"/>
          <w:szCs w:val="24"/>
        </w:rPr>
        <w:br w:type="page"/>
      </w:r>
    </w:p>
    <w:p w14:paraId="00000024" w14:textId="77777777" w:rsidR="00784AF4" w:rsidRPr="00D70D43" w:rsidRDefault="0003068C">
      <w:pPr>
        <w:rPr>
          <w:rFonts w:ascii="Times New Roman" w:eastAsia="Times New Roman" w:hAnsi="Times New Roman" w:cs="Times New Roman"/>
          <w:b/>
          <w:color w:val="000000"/>
          <w:sz w:val="24"/>
          <w:szCs w:val="24"/>
        </w:rPr>
      </w:pPr>
      <w:bookmarkStart w:id="2" w:name="_Hlk121128293"/>
      <w:r w:rsidRPr="00D70D43">
        <w:rPr>
          <w:rFonts w:ascii="Times New Roman" w:eastAsia="Times New Roman" w:hAnsi="Times New Roman" w:cs="Times New Roman"/>
          <w:b/>
          <w:color w:val="000000"/>
          <w:sz w:val="24"/>
          <w:szCs w:val="24"/>
        </w:rPr>
        <w:lastRenderedPageBreak/>
        <w:t>Supplementary Information 2: Details on isotope proxies used in the study</w:t>
      </w:r>
    </w:p>
    <w:bookmarkEnd w:id="2"/>
    <w:p w14:paraId="00000028" w14:textId="77777777" w:rsidR="00784AF4" w:rsidRPr="00D70D43" w:rsidRDefault="00784AF4">
      <w:pPr>
        <w:spacing w:after="0"/>
        <w:rPr>
          <w:rFonts w:ascii="Times New Roman" w:eastAsia="Times New Roman" w:hAnsi="Times New Roman" w:cs="Times New Roman"/>
          <w:sz w:val="24"/>
          <w:szCs w:val="24"/>
        </w:rPr>
      </w:pPr>
    </w:p>
    <w:p w14:paraId="4D1C4770" w14:textId="192B748E" w:rsidR="00906F28" w:rsidRPr="0064579A" w:rsidRDefault="002678F9">
      <w:pPr>
        <w:spacing w:after="0"/>
        <w:rPr>
          <w:rFonts w:ascii="Times New Roman" w:eastAsia="Times New Roman" w:hAnsi="Times New Roman" w:cs="Times New Roman"/>
          <w:b/>
          <w:i/>
          <w:sz w:val="24"/>
          <w:szCs w:val="24"/>
        </w:rPr>
      </w:pPr>
      <w:bookmarkStart w:id="3" w:name="_Hlk121128309"/>
      <w:r w:rsidRPr="0064579A">
        <w:rPr>
          <w:rFonts w:ascii="Times New Roman" w:eastAsia="Times New Roman" w:hAnsi="Times New Roman" w:cs="Times New Roman"/>
          <w:b/>
          <w:i/>
          <w:sz w:val="24"/>
          <w:szCs w:val="24"/>
        </w:rPr>
        <w:t>2.</w:t>
      </w:r>
      <w:r w:rsidR="00B70051" w:rsidRPr="0064579A">
        <w:rPr>
          <w:rFonts w:ascii="Times New Roman" w:eastAsia="Times New Roman" w:hAnsi="Times New Roman" w:cs="Times New Roman"/>
          <w:b/>
          <w:i/>
          <w:sz w:val="24"/>
          <w:szCs w:val="24"/>
        </w:rPr>
        <w:t>1 Carbon and nitrogen isotope ratios of bulk collagen and single amino acids</w:t>
      </w:r>
    </w:p>
    <w:bookmarkEnd w:id="3"/>
    <w:p w14:paraId="583CBF4A" w14:textId="77777777" w:rsidR="00C54DFA" w:rsidRPr="00D70D43" w:rsidRDefault="00C54DFA">
      <w:pPr>
        <w:spacing w:after="0"/>
        <w:rPr>
          <w:rFonts w:ascii="Times New Roman" w:eastAsia="Times New Roman" w:hAnsi="Times New Roman" w:cs="Times New Roman"/>
          <w:b/>
          <w:sz w:val="24"/>
          <w:szCs w:val="24"/>
        </w:rPr>
      </w:pPr>
    </w:p>
    <w:p w14:paraId="339D2311" w14:textId="6DFFFDA7" w:rsidR="00B70051" w:rsidRDefault="00B70051" w:rsidP="00B70051">
      <w:pPr>
        <w:spacing w:after="0" w:line="360" w:lineRule="auto"/>
        <w:jc w:val="both"/>
        <w:rPr>
          <w:rFonts w:ascii="Times New Roman" w:hAnsi="Times New Roman" w:cs="Times New Roman"/>
          <w:sz w:val="24"/>
          <w:szCs w:val="24"/>
        </w:rPr>
      </w:pPr>
      <w:r w:rsidRPr="00D70D43">
        <w:rPr>
          <w:rFonts w:ascii="Times New Roman" w:eastAsia="Times New Roman" w:hAnsi="Times New Roman" w:cs="Times New Roman"/>
          <w:sz w:val="24"/>
          <w:szCs w:val="24"/>
        </w:rPr>
        <w:t>Nitrogen isotope ratios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 reflect the trophic position of an individual in the food web, as there</w:t>
      </w:r>
      <w:r>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is 3-5‰ enrichment in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 xml:space="preserve">N between diet and consumer </w:t>
      </w:r>
      <w:r w:rsidRPr="00D70D43">
        <w:rPr>
          <w:rFonts w:ascii="Times New Roman" w:eastAsia="Times New Roman" w:hAnsi="Times New Roman" w:cs="Times New Roman"/>
          <w:sz w:val="24"/>
          <w:szCs w:val="24"/>
          <w:vertAlign w:val="superscript"/>
        </w:rPr>
        <w:t>12,13</w:t>
      </w:r>
      <w:r w:rsidRPr="00D70D4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Carbon isotope ratios (δ</w:t>
      </w:r>
      <w:r w:rsidRPr="00D70D43">
        <w:rPr>
          <w:rFonts w:ascii="Times New Roman" w:eastAsia="Times New Roman" w:hAnsi="Times New Roman" w:cs="Times New Roman"/>
          <w:sz w:val="24"/>
          <w:szCs w:val="24"/>
          <w:vertAlign w:val="superscript"/>
        </w:rPr>
        <w:t>13</w:t>
      </w:r>
      <w:r w:rsidRPr="00D70D43">
        <w:rPr>
          <w:rFonts w:ascii="Times New Roman" w:eastAsia="Times New Roman" w:hAnsi="Times New Roman" w:cs="Times New Roman"/>
          <w:sz w:val="24"/>
          <w:szCs w:val="24"/>
        </w:rPr>
        <w:t xml:space="preserve">C), on the other hand, provides an indication on the source of primary production at the base of the food web in addition to the possible involvement of marine resources in diet </w:t>
      </w:r>
      <w:r w:rsidRPr="00D70D43">
        <w:rPr>
          <w:rFonts w:ascii="Times New Roman" w:eastAsia="Times New Roman" w:hAnsi="Times New Roman" w:cs="Times New Roman"/>
          <w:sz w:val="24"/>
          <w:szCs w:val="24"/>
          <w:vertAlign w:val="superscript"/>
        </w:rPr>
        <w:t>14</w:t>
      </w:r>
      <w:r w:rsidRPr="00D70D43">
        <w:rPr>
          <w:rFonts w:ascii="Times New Roman" w:eastAsia="Times New Roman" w:hAnsi="Times New Roman" w:cs="Times New Roman"/>
          <w:sz w:val="24"/>
          <w:szCs w:val="24"/>
        </w:rPr>
        <w:t>.</w:t>
      </w:r>
      <w:r w:rsidR="008B4920">
        <w:rPr>
          <w:rFonts w:ascii="Times New Roman" w:eastAsia="Times New Roman" w:hAnsi="Times New Roman" w:cs="Times New Roman"/>
          <w:sz w:val="24"/>
          <w:szCs w:val="24"/>
        </w:rPr>
        <w:t xml:space="preserve"> </w:t>
      </w:r>
      <w:r w:rsidR="00C54DFA" w:rsidRPr="00D70D43">
        <w:rPr>
          <w:rFonts w:ascii="Times New Roman" w:hAnsi="Times New Roman" w:cs="Times New Roman"/>
          <w:sz w:val="24"/>
          <w:szCs w:val="24"/>
        </w:rPr>
        <w:t xml:space="preserve">Carbon and nitrogen isotope analyses from </w:t>
      </w:r>
      <w:r w:rsidR="00224F58">
        <w:rPr>
          <w:rFonts w:ascii="Times New Roman" w:hAnsi="Times New Roman" w:cs="Times New Roman"/>
          <w:sz w:val="24"/>
          <w:szCs w:val="24"/>
        </w:rPr>
        <w:t>bone proteins</w:t>
      </w:r>
      <w:r>
        <w:rPr>
          <w:rFonts w:ascii="Times New Roman" w:hAnsi="Times New Roman" w:cs="Times New Roman"/>
          <w:sz w:val="24"/>
          <w:szCs w:val="24"/>
        </w:rPr>
        <w:t xml:space="preserve"> therefore</w:t>
      </w:r>
      <w:r w:rsidR="00224F58" w:rsidRPr="00D70D43">
        <w:rPr>
          <w:rFonts w:ascii="Times New Roman" w:hAnsi="Times New Roman" w:cs="Times New Roman"/>
          <w:sz w:val="24"/>
          <w:szCs w:val="24"/>
        </w:rPr>
        <w:t xml:space="preserve"> </w:t>
      </w:r>
      <w:r w:rsidR="00C54DFA" w:rsidRPr="00D70D43">
        <w:rPr>
          <w:rFonts w:ascii="Times New Roman" w:hAnsi="Times New Roman" w:cs="Times New Roman"/>
          <w:sz w:val="24"/>
          <w:szCs w:val="24"/>
        </w:rPr>
        <w:t>provide valuable information on the diet of past human</w:t>
      </w:r>
      <w:r w:rsidR="00EC7861">
        <w:rPr>
          <w:rFonts w:ascii="Times New Roman" w:hAnsi="Times New Roman" w:cs="Times New Roman"/>
          <w:sz w:val="24"/>
          <w:szCs w:val="24"/>
        </w:rPr>
        <w:t>s</w:t>
      </w:r>
      <w:r w:rsidR="00C54DFA" w:rsidRPr="00D70D43">
        <w:rPr>
          <w:rFonts w:ascii="Times New Roman" w:hAnsi="Times New Roman" w:cs="Times New Roman"/>
          <w:sz w:val="24"/>
          <w:szCs w:val="24"/>
        </w:rPr>
        <w:t xml:space="preserve">. However, reconstructing the paleodiet using the bulk collagen has three major limits. </w:t>
      </w:r>
    </w:p>
    <w:p w14:paraId="621315B3" w14:textId="08A70B44" w:rsidR="00B70051" w:rsidRPr="00B70051" w:rsidRDefault="00C54DFA" w:rsidP="00B70051">
      <w:pPr>
        <w:pStyle w:val="Paragraphedeliste"/>
        <w:numPr>
          <w:ilvl w:val="0"/>
          <w:numId w:val="4"/>
        </w:numPr>
        <w:spacing w:after="0" w:line="360" w:lineRule="auto"/>
        <w:jc w:val="both"/>
        <w:rPr>
          <w:rFonts w:ascii="Times New Roman" w:eastAsia="Times New Roman" w:hAnsi="Times New Roman" w:cs="Times New Roman"/>
          <w:sz w:val="24"/>
          <w:szCs w:val="24"/>
        </w:rPr>
      </w:pPr>
      <w:r w:rsidRPr="00B70051">
        <w:rPr>
          <w:rFonts w:ascii="Times New Roman" w:hAnsi="Times New Roman" w:cs="Times New Roman"/>
          <w:sz w:val="24"/>
          <w:szCs w:val="24"/>
        </w:rPr>
        <w:t>The utilization of bulk collagen δ</w:t>
      </w:r>
      <w:r w:rsidRPr="00B70051">
        <w:rPr>
          <w:rFonts w:ascii="Times New Roman" w:hAnsi="Times New Roman" w:cs="Times New Roman"/>
          <w:sz w:val="24"/>
          <w:szCs w:val="24"/>
          <w:vertAlign w:val="superscript"/>
        </w:rPr>
        <w:t>13</w:t>
      </w:r>
      <w:r w:rsidRPr="00B70051">
        <w:rPr>
          <w:rFonts w:ascii="Times New Roman" w:hAnsi="Times New Roman" w:cs="Times New Roman"/>
          <w:sz w:val="24"/>
          <w:szCs w:val="24"/>
        </w:rPr>
        <w:t>C to reconstruct diet is often limited in regions with mixed C3 and C4 environments. This is because of the overlap in δ</w:t>
      </w:r>
      <w:r w:rsidRPr="00B70051">
        <w:rPr>
          <w:rFonts w:ascii="Times New Roman" w:hAnsi="Times New Roman" w:cs="Times New Roman"/>
          <w:sz w:val="24"/>
          <w:szCs w:val="24"/>
          <w:vertAlign w:val="superscript"/>
        </w:rPr>
        <w:t>13</w:t>
      </w:r>
      <w:r w:rsidRPr="00B70051">
        <w:rPr>
          <w:rFonts w:ascii="Times New Roman" w:hAnsi="Times New Roman" w:cs="Times New Roman"/>
          <w:sz w:val="24"/>
          <w:szCs w:val="24"/>
        </w:rPr>
        <w:t>C values of C4 plants and high marine proteins consumers, both having relatively more positive values. Freshwater fish and terrestrial meat can also exhibit similar δ</w:t>
      </w:r>
      <w:r w:rsidRPr="00B70051">
        <w:rPr>
          <w:rFonts w:ascii="Times New Roman" w:hAnsi="Times New Roman" w:cs="Times New Roman"/>
          <w:sz w:val="24"/>
          <w:szCs w:val="24"/>
          <w:vertAlign w:val="superscript"/>
        </w:rPr>
        <w:t>13</w:t>
      </w:r>
      <w:r w:rsidRPr="00B70051">
        <w:rPr>
          <w:rFonts w:ascii="Times New Roman" w:hAnsi="Times New Roman" w:cs="Times New Roman"/>
          <w:sz w:val="24"/>
          <w:szCs w:val="24"/>
        </w:rPr>
        <w:t>C values. Previous studies showed the limitation of estimating the marine food contribution in the diet of humans living in regions with mixed C3/C4 terrestrial environments</w:t>
      </w:r>
      <w:r w:rsidRPr="00B70051">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{"citationID":"gdMawOCa","properties":{"formattedCitation":"\\super 13,14\\nosupersub{}","plainCitation":"13,14","noteIndex":0},"citationItems":[{"id":192,"uris":["http://zotero.org/users/7125028/items/FC5GRF2U"],"itemData":{"id":192,"type":"article-journal","abstract":"The application of bone collagen stable carbon and nitrogen isotope analysis to human palaeodietary reconstruction in tropical or arid regions is limited by two factors: (i) the overlap in C4 and high marine protein (HMP) consumer bulk collagen δ13C values, and (ii) the unpredictability of bulk collagen δ15N values in regions of extreme aridity (&lt;400 mm of rain per annum). Hence, the identification of HMP consumption among archaeological human populations can be problematic. In an endeavour to identify a more precise marine palaeodietary indicator, a range of collagen samples from archaeological faunal and human bone (n=14 and 26, respectively), representing a spectrum of C3, C4 and HMP diets, were selected from coastal and near-coastal sites in the Western Cape, South Africa. Samples were subjected to compound-specific stable carbon isotope analysis of their constituent amino acids as trifluoroacetyl-isopropyl (TFA-IP) esters via gas chromatography-combustion-isotope ratio mass spectrometry (GC-C-IRMS). While human C4 and HMP consumers were indistinguishable with respect to bulk collagen δ13C values (−10.9±3.7‰ and −11.7±1.5‰, respectively) they were shown to be readily distinguished based on Δ13CGlycine-Phenylalanine values (+4.0±1.6‰ and +12.0±1.9‰, respectively). The relationship between HMP consumption and elevated Δ13CGlycine-Phenylalanine values was verified by: (i) the similarly elevated values exhibited by marine species when compared to terrestrial faunal species (+12.5±0.9‰ and +3.2±4.2‰, respectively), and (ii) the strong correlation observed between human Δ13CGlycine-Phenylalanine and bulk collagen δ15N values (R2=0.83, p&lt;0.001; n=26), the latter being a well-documented marine dietary indicator. It was concluded that Δ13CGlycine-Phenylalanine values offer considerable potential as indicators of HMP consumption and a valuable substitute for bone collagen δ15N values in arid regions where bulk δ15N values are unpredictable.","container-title":"Journal of Archaeological Science","DOI":"10.1016/j.jas.2004.10.002","ISSN":"0305-4403","issue":"3","journalAbbreviation":"Journal of Archaeological Science","language":"en","page":"321-330","source":"ScienceDirect","title":"A novel marine dietary indicator utilising compound-specific bone collagen amino acid δ13C values of ancient humans","volume":"32","author":[{"family":"Corr","given":"Lorna T."},{"family":"Sealy","given":"Judith C."},{"family":"Horton","given":"Mark C."},{"family":"Evershed","given":"Richard P."}],"issued":{"date-parts":[["2005",3,1]]}}},{"id":138,"uris":["http://zotero.org/users/7125028/items/26H3EAQN"],"itemData":{"id":138,"type":"article-journal","abstract":"//static.cambridge.org/content/id/urn%3Acambridge.org%3Aid%3Aarticle%3AS0003598X00092905/resource/name/firstPage-S0003598X00092905a.jpg","container-title":"Antiquity","DOI":"10.1017/S0003598X00092905","ISSN":"0003-598X, 1745-1744","issue":"299","language":"en","note":"publisher: Cambridge University Press","page":"34-37","source":"Cambridge University Press","title":"Isotopes and red herrings: comments on Milner et al. and Lidén et al.","title-short":"Isotopes and red herrings","volume":"78","author":[{"family":"Hedges","given":"R. E. M."}],"issued":{"date-parts":[["2004",3]]}}}],"schema":"https://github.com/citation-style-language/schema/raw/master/csl-citation.json"} </w:instrText>
      </w:r>
      <w:r w:rsidRPr="00B70051">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13,14</w:t>
      </w:r>
      <w:r w:rsidRPr="00B70051">
        <w:rPr>
          <w:rFonts w:ascii="Times New Roman" w:hAnsi="Times New Roman" w:cs="Times New Roman"/>
          <w:sz w:val="24"/>
          <w:szCs w:val="24"/>
        </w:rPr>
        <w:fldChar w:fldCharType="end"/>
      </w:r>
      <w:r w:rsidRPr="00B70051">
        <w:rPr>
          <w:rFonts w:ascii="Times New Roman" w:hAnsi="Times New Roman" w:cs="Times New Roman"/>
          <w:sz w:val="24"/>
          <w:szCs w:val="24"/>
        </w:rPr>
        <w:t>.</w:t>
      </w:r>
    </w:p>
    <w:p w14:paraId="7E3D5741" w14:textId="1D50FA47" w:rsidR="00B70051" w:rsidRPr="00B70051" w:rsidRDefault="00854C33" w:rsidP="00B70051">
      <w:pPr>
        <w:pStyle w:val="Paragraphedeliste"/>
        <w:numPr>
          <w:ilvl w:val="0"/>
          <w:numId w:val="4"/>
        </w:numPr>
        <w:spacing w:after="0" w:line="360" w:lineRule="auto"/>
        <w:jc w:val="both"/>
        <w:rPr>
          <w:rFonts w:ascii="Times New Roman" w:eastAsia="Times New Roman" w:hAnsi="Times New Roman" w:cs="Times New Roman"/>
          <w:sz w:val="24"/>
          <w:szCs w:val="24"/>
        </w:rPr>
      </w:pPr>
      <w:r w:rsidRPr="00B70051">
        <w:rPr>
          <w:rFonts w:ascii="Times New Roman" w:hAnsi="Times New Roman" w:cs="Times New Roman"/>
          <w:sz w:val="24"/>
          <w:szCs w:val="24"/>
        </w:rPr>
        <w:t>Bulk collagen δ</w:t>
      </w:r>
      <w:r w:rsidRPr="00B70051">
        <w:rPr>
          <w:rFonts w:ascii="Times New Roman" w:hAnsi="Times New Roman" w:cs="Times New Roman"/>
          <w:sz w:val="24"/>
          <w:szCs w:val="24"/>
          <w:vertAlign w:val="superscript"/>
        </w:rPr>
        <w:t>15</w:t>
      </w:r>
      <w:r w:rsidRPr="00B70051">
        <w:rPr>
          <w:rFonts w:ascii="Times New Roman" w:hAnsi="Times New Roman" w:cs="Times New Roman"/>
          <w:sz w:val="24"/>
          <w:szCs w:val="24"/>
        </w:rPr>
        <w:t xml:space="preserve">N </w:t>
      </w:r>
      <w:r w:rsidR="00C54DFA" w:rsidRPr="00B70051">
        <w:rPr>
          <w:rFonts w:ascii="Times New Roman" w:hAnsi="Times New Roman" w:cs="Times New Roman"/>
          <w:sz w:val="24"/>
          <w:szCs w:val="24"/>
        </w:rPr>
        <w:t>isotope ratios are affected by several environmental and physiological factors in addition to the trophic level effect. For instance, elevated δ</w:t>
      </w:r>
      <w:r w:rsidR="00C54DFA" w:rsidRPr="00B70051">
        <w:rPr>
          <w:rFonts w:ascii="Times New Roman" w:hAnsi="Times New Roman" w:cs="Times New Roman"/>
          <w:sz w:val="24"/>
          <w:szCs w:val="24"/>
          <w:vertAlign w:val="superscript"/>
        </w:rPr>
        <w:t>15</w:t>
      </w:r>
      <w:r w:rsidR="00C54DFA" w:rsidRPr="00B70051">
        <w:rPr>
          <w:rFonts w:ascii="Times New Roman" w:hAnsi="Times New Roman" w:cs="Times New Roman"/>
          <w:sz w:val="24"/>
          <w:szCs w:val="24"/>
        </w:rPr>
        <w:t>N values of herbivore tissues are documented in arid regions, and consequently lead to</w:t>
      </w:r>
      <w:r w:rsidR="00A73189">
        <w:rPr>
          <w:rFonts w:ascii="Times New Roman" w:hAnsi="Times New Roman" w:cs="Times New Roman"/>
          <w:sz w:val="24"/>
          <w:szCs w:val="24"/>
        </w:rPr>
        <w:t xml:space="preserve"> </w:t>
      </w:r>
      <w:r w:rsidR="00A73189" w:rsidRPr="00471931">
        <w:rPr>
          <w:rFonts w:ascii="Times New Roman" w:hAnsi="Times New Roman" w:cs="Times New Roman"/>
          <w:sz w:val="24"/>
          <w:szCs w:val="24"/>
        </w:rPr>
        <w:t>a misinterpretation of the trophic levels of humans</w:t>
      </w:r>
      <w:r w:rsidR="00C54DFA" w:rsidRPr="00B70051">
        <w:rPr>
          <w:rFonts w:ascii="Times New Roman" w:hAnsi="Times New Roman" w:cs="Times New Roman"/>
          <w:sz w:val="24"/>
          <w:szCs w:val="24"/>
        </w:rPr>
        <w:t xml:space="preserve"> </w:t>
      </w:r>
      <w:r w:rsidR="00C54DFA" w:rsidRPr="00B70051">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{"citationID":"UEZ8GWab","properties":{"formattedCitation":"\\super 15,16\\nosupersub{}","plainCitation":"15,16","noteIndex":0},"citationItems":[{"id":137,"uris":["http://zotero.org/users/7125028/items/AGEVHSGH"],"itemData":{"id":137,"type":"article-journal","abstract":"The 13C/12C isotope ratios in animal1 and human2 bone can be used as indicators of diet, more recently it was shown that the 15N/14N ratios of animals and humans are similarly determined by the food they eat3–5. Specifically, the stable carbon isotope composition reflects the proportion of C3 and C4 plants at the base of the food chain1,2, while both 15N and 13C reveal the difference between a marine and terrestrial diet in modern as well as archaeological contexts5–7. Here we present data for human and animal bones from southern Africa which only partly conform to previously recognized patterns for 15N/14N ratios. Prehistoric human bones from a particular coastal region of South Africa show 15N/14N ratios consistent with the marine and terrestrial diets indicated by the 13C/12C ratios, but bones of both prehistoric humans and modern wild animals from a larger part of the subcontinent show variations in 15N/14N ratios which cannot be ascribed to known variations in diet. It appears that, in some environments, nitrogen isotope studies must also take into account the possible influence of the climate.","container-title":"Nature","DOI":"10.1038/322822a0","ISSN":"1476-4687","issue":"6082","language":"en","license":"1986 Nature Publishing Group","note":"Bandiera_abtest: a\nCg_type: Nature Research Journals\nnumber: 6082\nPrimary_atype: Research\npublisher: Nature Publishing Group","page":"822-823","source":"www.nature.com","title":"Climatic influence on the isotopic composition of bone nitrogen","volume":"322","author":[{"family":"Heaton","given":"Tim H. E."},{"family":"Vogel","given":"John C."},{"family":"Chevallerie","given":"Gertrud","non-dropping-particle":"von la"},{"family":"Collett","given":"Gill"}],"issued":{"date-parts":[["1986",8]]}}},{"id":136,"uris":["http://zotero.org/users/7125028/items/TFJ7TRPL"],"itemData":{"id":136,"type":"chapter","abstract":"The isotopic compositions of the tissues of animals and humans are determined by the proportions of the various nutrients which they consume. This allows us to determine how much of each of their available foods were actually consumed over various parts of their lifetime. We apply this to ancient humans by analysis of bones, teeth and, rarely desiccated softer tissues (hair, skin). We review variations in δ13C and δ15N of known classes of nutrients (plants and animals), and discuss the chemical species whose isotopic composition can be analysed: collagen, bone-mineral, and lipids (cholesterol, etc.). Some variation in δ15N also arises from variations in δ15N of soil, particulate matter in the sea, and effect of aridity on N balance in terrestrial animals. Examples are presented of variation in δ13C due to consumption of maize (a C4 plant) and in δ15N due to trophic level effects in prehistoric hunter-gatherers.","collection-title":"Advances in Isotope Geochemistry","container-title":"Handbook of Environmental Isotope Geochemistry: Vol I","event-place":"Berlin, Heidelberg","ISBN":"978-3-642-10637-8","language":"en","note":"DOI: 10.1007/978-3-642-10637-8_34","page":"725-742","publisher":"Springer","publisher-place":"Berlin, Heidelberg","source":"Springer Link","title":"Stable Isotopes of Carbon and Nitrogen as Tracers for Paleo-Diet Reconstruction","URL":"https://doi.org/10.1007/978-3-642-10637-8_34","author":[{"family":"Schwarcz","given":"H. P."},{"family":"Schoeninger","given":"M. J."}],"editor":[{"family":"Baskaran","given":"Mark"}],"accessed":{"date-parts":[["2021",7,11]]},"issued":{"date-parts":[["2012"]]}}}],"schema":"https://github.com/citation-style-language/schema/raw/master/csl-citation.json"} </w:instrText>
      </w:r>
      <w:r w:rsidR="00C54DFA" w:rsidRPr="00B70051">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15,16</w:t>
      </w:r>
      <w:r w:rsidR="00C54DFA" w:rsidRPr="00B70051">
        <w:rPr>
          <w:rFonts w:ascii="Times New Roman" w:hAnsi="Times New Roman" w:cs="Times New Roman"/>
          <w:sz w:val="24"/>
          <w:szCs w:val="24"/>
        </w:rPr>
        <w:fldChar w:fldCharType="end"/>
      </w:r>
      <w:r w:rsidR="00C54DFA" w:rsidRPr="00B70051">
        <w:rPr>
          <w:rFonts w:ascii="Times New Roman" w:hAnsi="Times New Roman" w:cs="Times New Roman"/>
          <w:sz w:val="24"/>
          <w:szCs w:val="24"/>
        </w:rPr>
        <w:t>. In addition, there is a strong baseline effect impacting the δ</w:t>
      </w:r>
      <w:r w:rsidR="00C54DFA" w:rsidRPr="00B70051">
        <w:rPr>
          <w:rFonts w:ascii="Times New Roman" w:hAnsi="Times New Roman" w:cs="Times New Roman"/>
          <w:sz w:val="24"/>
          <w:szCs w:val="24"/>
          <w:vertAlign w:val="superscript"/>
        </w:rPr>
        <w:t>15</w:t>
      </w:r>
      <w:r w:rsidR="00C54DFA" w:rsidRPr="00B70051">
        <w:rPr>
          <w:rFonts w:ascii="Times New Roman" w:hAnsi="Times New Roman" w:cs="Times New Roman"/>
          <w:sz w:val="24"/>
          <w:szCs w:val="24"/>
        </w:rPr>
        <w:t>N and δ</w:t>
      </w:r>
      <w:r w:rsidR="00C54DFA" w:rsidRPr="00B70051">
        <w:rPr>
          <w:rFonts w:ascii="Times New Roman" w:hAnsi="Times New Roman" w:cs="Times New Roman"/>
          <w:sz w:val="24"/>
          <w:szCs w:val="24"/>
          <w:vertAlign w:val="superscript"/>
        </w:rPr>
        <w:t>13</w:t>
      </w:r>
      <w:r w:rsidR="00C54DFA" w:rsidRPr="00B70051">
        <w:rPr>
          <w:rFonts w:ascii="Times New Roman" w:hAnsi="Times New Roman" w:cs="Times New Roman"/>
          <w:sz w:val="24"/>
          <w:szCs w:val="24"/>
        </w:rPr>
        <w:t>C of animals with similar diets, but coming from different regions. This is due to environmental factors, such as the aridity, influencing the isotope composition of plants. Usually there is a 3.4</w:t>
      </w:r>
      <w:r w:rsidR="002E5AF8" w:rsidRPr="00D70D43">
        <w:rPr>
          <w:rFonts w:ascii="Times New Roman" w:eastAsia="Times New Roman" w:hAnsi="Times New Roman" w:cs="Times New Roman"/>
          <w:sz w:val="24"/>
          <w:szCs w:val="24"/>
        </w:rPr>
        <w:t>‰</w:t>
      </w:r>
      <w:r w:rsidR="00C54DFA" w:rsidRPr="00B70051">
        <w:rPr>
          <w:rFonts w:ascii="Times New Roman" w:hAnsi="Times New Roman" w:cs="Times New Roman"/>
          <w:sz w:val="24"/>
          <w:szCs w:val="24"/>
        </w:rPr>
        <w:t xml:space="preserve"> increase in each trophic level</w:t>
      </w:r>
      <w:r w:rsidR="00C54DFA" w:rsidRPr="00B70051">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{"citationID":"0GzooUTy","properties":{"formattedCitation":"\\super 17\\nosupersub{}","plainCitation":"17","noteIndex":0},"citationItems":[{"id":88,"uris":["http://zotero.org/users/7125028/items/IZI5QPZW"],"itemData":{"id":88,"type":"article-journal","abstract":"The influence of diet on the distribution of nitrogen isotopes in animals was investigated by analyzing animals grown in the laboratory on diets of constant nitrogen isotopic composition. The isotopic composition of the nitrogen in an animal reflects the nitrogen isotopic composition of its diet. The δ15N values of the whole bodies of animals are usually more positive than those of their diets. Different individuals of a species raised on the same diet can have significantly different δ15N values. The variability of the relationship between the δ15N values of animals and their diets is greater for different species raised on the same diet than for the same species raised on different diets. Different tissues of mice are also enriched in 15N relative to the diet, with the difference between the δ15N values of a tissue and the diet depending on both the kind of tissue and the diet involved. The δ15N values ofcollagen and chitin. biochemical components that are often preserved in fossil animal remains, are also related to the δ15N value of the diet. The dependence of the δ15N values of whole animals and their tissues and biochemical components on the δ15N value of diet indicates that the isotopic composition of animal nitrogen can be used to obtain information about an animal's diet if its potential food sources had different δ15N values. The nitrogen isotopic method of dietary analysis probably can be used to estimate the relative use of legumes vs non-legumes or of aquatic vs terrestrial organisms as food sources for extant and fossil animals. However, the method probably will not be applicable in those modern ecosystems in which the use of chemical fertilizers has influenced the distribution of nitrogen isotopes in food sources. The isotopic method of dietary analysis was used to reconstruct changes in the diet of the human population that occupied the Tehuacan Valley of Mexico over a 7000 yr span. Variations in the δ15C and δ15N values of bone collagen suggest that C4 and/or CAM plants (presumably mostly corn) and legumes (presumably mostly beans) were introduced into the diet much earlier than suggested by conventional archaeological analysis.","container-title":"Geochimica et Cosmochimica Acta","DOI":"10.1016/0016-7037(81)90244-1","ISSN":"0016-7037","issue":"3","journalAbbreviation":"Geochimica et Cosmochimica Acta","language":"en","page":"341-351","source":"ScienceDirect","title":"Influence of diet on the distribution of nitrogen isotopes in animals","volume":"45","author":[{"family":"Deniro","given":"Michael J"},{"family":"Epstein","given":"Samuel"}],"issued":{"date-parts":[["1981",3,1]]}}}],"schema":"https://github.com/citation-style-language/schema/raw/master/csl-citation.json"} </w:instrText>
      </w:r>
      <w:r w:rsidR="00C54DFA" w:rsidRPr="00B70051">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17</w:t>
      </w:r>
      <w:r w:rsidR="00C54DFA" w:rsidRPr="00B70051">
        <w:rPr>
          <w:rFonts w:ascii="Times New Roman" w:hAnsi="Times New Roman" w:cs="Times New Roman"/>
          <w:sz w:val="24"/>
          <w:szCs w:val="24"/>
        </w:rPr>
        <w:fldChar w:fldCharType="end"/>
      </w:r>
      <w:r w:rsidR="00C54DFA" w:rsidRPr="00B70051">
        <w:rPr>
          <w:rFonts w:ascii="Times New Roman" w:hAnsi="Times New Roman" w:cs="Times New Roman"/>
          <w:sz w:val="24"/>
          <w:szCs w:val="24"/>
        </w:rPr>
        <w:t xml:space="preserve">. </w:t>
      </w:r>
      <w:proofErr w:type="spellStart"/>
      <w:r w:rsidR="00C54DFA" w:rsidRPr="00B70051">
        <w:rPr>
          <w:rFonts w:ascii="Times New Roman" w:hAnsi="Times New Roman" w:cs="Times New Roman"/>
          <w:sz w:val="24"/>
          <w:szCs w:val="24"/>
        </w:rPr>
        <w:t>Deniro</w:t>
      </w:r>
      <w:proofErr w:type="spellEnd"/>
      <w:r w:rsidR="00C54DFA" w:rsidRPr="00B70051">
        <w:rPr>
          <w:rFonts w:ascii="Times New Roman" w:hAnsi="Times New Roman" w:cs="Times New Roman"/>
          <w:sz w:val="24"/>
          <w:szCs w:val="24"/>
        </w:rPr>
        <w:t xml:space="preserve"> and Epstein et al. observed the δ</w:t>
      </w:r>
      <w:r w:rsidR="00C54DFA" w:rsidRPr="00B70051">
        <w:rPr>
          <w:rFonts w:ascii="Times New Roman" w:hAnsi="Times New Roman" w:cs="Times New Roman"/>
          <w:sz w:val="24"/>
          <w:szCs w:val="24"/>
          <w:vertAlign w:val="superscript"/>
        </w:rPr>
        <w:t>15</w:t>
      </w:r>
      <w:r w:rsidR="00C54DFA" w:rsidRPr="00B70051">
        <w:rPr>
          <w:rFonts w:ascii="Times New Roman" w:hAnsi="Times New Roman" w:cs="Times New Roman"/>
          <w:sz w:val="24"/>
          <w:szCs w:val="24"/>
        </w:rPr>
        <w:t>N change in each trophic level can display a wide variation for different samples (-0.5 to +9.2).</w:t>
      </w:r>
      <w:r w:rsidR="008B4920">
        <w:rPr>
          <w:rFonts w:ascii="Times New Roman" w:hAnsi="Times New Roman" w:cs="Times New Roman"/>
          <w:sz w:val="24"/>
          <w:szCs w:val="24"/>
        </w:rPr>
        <w:t xml:space="preserve"> </w:t>
      </w:r>
    </w:p>
    <w:p w14:paraId="4104E06C" w14:textId="6C9ED392" w:rsidR="00854C33" w:rsidRPr="00B70051" w:rsidRDefault="00C54DFA" w:rsidP="00B70051">
      <w:pPr>
        <w:pStyle w:val="Paragraphedeliste"/>
        <w:numPr>
          <w:ilvl w:val="0"/>
          <w:numId w:val="4"/>
        </w:numPr>
        <w:spacing w:after="0" w:line="360" w:lineRule="auto"/>
        <w:jc w:val="both"/>
        <w:rPr>
          <w:rFonts w:ascii="Times New Roman" w:eastAsia="Times New Roman" w:hAnsi="Times New Roman" w:cs="Times New Roman"/>
          <w:sz w:val="24"/>
          <w:szCs w:val="24"/>
        </w:rPr>
      </w:pPr>
      <w:r w:rsidRPr="00B70051">
        <w:rPr>
          <w:rFonts w:ascii="Times New Roman" w:hAnsi="Times New Roman" w:cs="Times New Roman"/>
          <w:sz w:val="24"/>
          <w:szCs w:val="24"/>
        </w:rPr>
        <w:t>Another problem is related to the characterization of δ</w:t>
      </w:r>
      <w:r w:rsidRPr="00B70051">
        <w:rPr>
          <w:rFonts w:ascii="Times New Roman" w:hAnsi="Times New Roman" w:cs="Times New Roman"/>
          <w:sz w:val="24"/>
          <w:szCs w:val="24"/>
          <w:vertAlign w:val="superscript"/>
        </w:rPr>
        <w:t>15</w:t>
      </w:r>
      <w:r w:rsidRPr="00B70051">
        <w:rPr>
          <w:rFonts w:ascii="Times New Roman" w:hAnsi="Times New Roman" w:cs="Times New Roman"/>
          <w:sz w:val="24"/>
          <w:szCs w:val="24"/>
        </w:rPr>
        <w:t>N in the primary producers which can display an important temporal and geographical variation, possibly because of the assimilation of nitrogen from different sources</w:t>
      </w:r>
      <w:r w:rsidR="00B164D0" w:rsidRPr="00B70051">
        <w:rPr>
          <w:rFonts w:ascii="Times New Roman" w:hAnsi="Times New Roman" w:cs="Times New Roman"/>
          <w:sz w:val="24"/>
          <w:szCs w:val="24"/>
        </w:rPr>
        <w:t xml:space="preserve"> </w:t>
      </w:r>
      <w:r w:rsidR="00EB25E7">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{"citationID":"LgtH4f67","properties":{"formattedCitation":"\\super 18\\nosupersub{}","plainCitation":"18","noteIndex":0},"citationItems":[{"id":121,"uris":["http://zotero.org/users/7125028/items/W392YI4I"],"itemData":{"id":121,"type":"article-journal","abstract":"Human and domesticate animal bone collagen δ15N values in prehistory differ generally by 3‰ or more from Neolithic to post- Roman times in Northwest Europe, leading to an assumed dietary animal protein fraction of 60–80% using a standard interpretation of δ15N values. We examine the assumptions on which this model rests and the limitations of our knowledge in the analysis of δ15N values in archaeology. We have developed a set of models which, with small changes made in assumptions (on the order of 1‰), can produce substantially lower estimates of the dietary animal protein fraction for given δ15N values. We consider the implications of various dietary animal protein fractions on agricultural carrying capacities and human population densities in prehistory.","container-title":"Journal of Archaeological Science","DOI":"10.1016/j.jas.2006.10.015","ISSN":"0305-4403","issue":"8","journalAbbreviation":"Journal of Archaeological Science","language":"en","page":"1240-1251","source":"ScienceDirect","title":"Nitrogen isotopes and the trophic level of humans in archaeology","volume":"34","author":[{"family":"Hedges","given":"Robert E. M."},{"family":"Reynard","given":"Linda M."}],"issued":{"date-parts":[["2007",8,1]]}}}],"schema":"https://github.com/citation-style-language/schema/raw/master/csl-citation.json"} </w:instrText>
      </w:r>
      <w:r w:rsidR="00EB25E7">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18</w:t>
      </w:r>
      <w:r w:rsidR="00EB25E7">
        <w:rPr>
          <w:rFonts w:ascii="Times New Roman" w:hAnsi="Times New Roman" w:cs="Times New Roman"/>
          <w:sz w:val="24"/>
          <w:szCs w:val="24"/>
        </w:rPr>
        <w:fldChar w:fldCharType="end"/>
      </w:r>
      <w:r w:rsidR="00EB25E7">
        <w:rPr>
          <w:rFonts w:ascii="Times New Roman" w:hAnsi="Times New Roman" w:cs="Times New Roman"/>
          <w:sz w:val="24"/>
          <w:szCs w:val="24"/>
        </w:rPr>
        <w:t>.</w:t>
      </w:r>
    </w:p>
    <w:p w14:paraId="4AAD521D" w14:textId="2848C044" w:rsidR="004E6C7F" w:rsidRPr="00D70D43" w:rsidRDefault="00854C33" w:rsidP="00B70051">
      <w:pPr>
        <w:spacing w:line="360" w:lineRule="auto"/>
        <w:jc w:val="both"/>
        <w:rPr>
          <w:rFonts w:ascii="Times New Roman" w:hAnsi="Times New Roman" w:cs="Times New Roman"/>
          <w:sz w:val="24"/>
          <w:szCs w:val="24"/>
        </w:rPr>
      </w:pPr>
      <w:r w:rsidRPr="00D70D43">
        <w:rPr>
          <w:rFonts w:ascii="Times New Roman" w:hAnsi="Times New Roman" w:cs="Times New Roman"/>
          <w:sz w:val="24"/>
          <w:szCs w:val="24"/>
        </w:rPr>
        <w:t xml:space="preserve">Compound Specific Isotope Analysis of Amino Acids (CSIA-AA) </w:t>
      </w:r>
      <w:r w:rsidR="00471931">
        <w:rPr>
          <w:rFonts w:ascii="Times New Roman" w:hAnsi="Times New Roman" w:cs="Times New Roman"/>
          <w:sz w:val="24"/>
          <w:szCs w:val="24"/>
        </w:rPr>
        <w:t>has</w:t>
      </w:r>
      <w:r w:rsidRPr="00D70D43">
        <w:rPr>
          <w:rFonts w:ascii="Times New Roman" w:hAnsi="Times New Roman" w:cs="Times New Roman"/>
          <w:sz w:val="24"/>
          <w:szCs w:val="24"/>
        </w:rPr>
        <w:t xml:space="preserve"> recently been used to overcome the methodological problems of bulk isotope analyses. The use of this powerful new technique allows estimating more precisely the trophic position of organisms and eliminating the influence of environmental factors.</w:t>
      </w:r>
      <w:r w:rsidR="004E6C7F" w:rsidRPr="00D70D43">
        <w:rPr>
          <w:rFonts w:ascii="Times New Roman" w:hAnsi="Times New Roman" w:cs="Times New Roman"/>
          <w:sz w:val="24"/>
          <w:szCs w:val="24"/>
        </w:rPr>
        <w:t xml:space="preserve"> The analyses of δ</w:t>
      </w:r>
      <w:r w:rsidR="004E6C7F" w:rsidRPr="00D70D43">
        <w:rPr>
          <w:rFonts w:ascii="Times New Roman" w:hAnsi="Times New Roman" w:cs="Times New Roman"/>
          <w:sz w:val="24"/>
          <w:szCs w:val="24"/>
          <w:vertAlign w:val="superscript"/>
        </w:rPr>
        <w:t>13</w:t>
      </w:r>
      <w:r w:rsidR="004E6C7F" w:rsidRPr="00D70D43">
        <w:rPr>
          <w:rFonts w:ascii="Times New Roman" w:hAnsi="Times New Roman" w:cs="Times New Roman"/>
          <w:sz w:val="24"/>
          <w:szCs w:val="24"/>
        </w:rPr>
        <w:t xml:space="preserve">C isotope value of Single Amino Acid </w:t>
      </w:r>
      <w:r w:rsidR="004E6C7F" w:rsidRPr="00D70D43">
        <w:rPr>
          <w:rFonts w:ascii="Times New Roman" w:hAnsi="Times New Roman" w:cs="Times New Roman"/>
          <w:sz w:val="24"/>
          <w:szCs w:val="24"/>
        </w:rPr>
        <w:lastRenderedPageBreak/>
        <w:t>(SAA) (</w:t>
      </w:r>
      <w:proofErr w:type="spellStart"/>
      <w:r w:rsidR="004E6C7F" w:rsidRPr="00D70D43">
        <w:rPr>
          <w:rFonts w:ascii="Times New Roman" w:hAnsi="Times New Roman" w:cs="Times New Roman"/>
          <w:sz w:val="24"/>
          <w:szCs w:val="24"/>
        </w:rPr>
        <w:t>Phe</w:t>
      </w:r>
      <w:proofErr w:type="spellEnd"/>
      <w:r w:rsidR="004E6C7F" w:rsidRPr="00D70D43">
        <w:rPr>
          <w:rFonts w:ascii="Times New Roman" w:hAnsi="Times New Roman" w:cs="Times New Roman"/>
          <w:sz w:val="24"/>
          <w:szCs w:val="24"/>
        </w:rPr>
        <w:t xml:space="preserve">: </w:t>
      </w:r>
      <w:proofErr w:type="spellStart"/>
      <w:r w:rsidR="004E6C7F" w:rsidRPr="00D70D43">
        <w:rPr>
          <w:rFonts w:ascii="Times New Roman" w:hAnsi="Times New Roman" w:cs="Times New Roman"/>
          <w:sz w:val="24"/>
          <w:szCs w:val="24"/>
        </w:rPr>
        <w:t>Phenylalaline</w:t>
      </w:r>
      <w:proofErr w:type="spellEnd"/>
      <w:r w:rsidR="004E6C7F" w:rsidRPr="00D70D43">
        <w:rPr>
          <w:rFonts w:ascii="Times New Roman" w:hAnsi="Times New Roman" w:cs="Times New Roman"/>
          <w:sz w:val="24"/>
          <w:szCs w:val="24"/>
        </w:rPr>
        <w:t>, Val: Valine</w:t>
      </w:r>
      <w:r w:rsidR="004E6C7F" w:rsidRPr="00D70D43">
        <w:rPr>
          <w:rFonts w:ascii="Times New Roman" w:hAnsi="Times New Roman" w:cs="Times New Roman"/>
          <w:i/>
          <w:iCs/>
          <w:sz w:val="24"/>
          <w:szCs w:val="24"/>
        </w:rPr>
        <w:t>)</w:t>
      </w:r>
      <w:r w:rsidR="004E6C7F" w:rsidRPr="00D70D43">
        <w:rPr>
          <w:rFonts w:ascii="Times New Roman" w:hAnsi="Times New Roman" w:cs="Times New Roman"/>
          <w:sz w:val="24"/>
          <w:szCs w:val="24"/>
        </w:rPr>
        <w:t xml:space="preserve"> can clearly differentiate terrestrial from freshwater food resources while N isotope on SAA (</w:t>
      </w:r>
      <w:proofErr w:type="spellStart"/>
      <w:r w:rsidR="004E6C7F" w:rsidRPr="00D70D43">
        <w:rPr>
          <w:rFonts w:ascii="Times New Roman" w:hAnsi="Times New Roman" w:cs="Times New Roman"/>
          <w:sz w:val="24"/>
          <w:szCs w:val="24"/>
        </w:rPr>
        <w:t>Phe</w:t>
      </w:r>
      <w:proofErr w:type="spellEnd"/>
      <w:r w:rsidR="004E6C7F" w:rsidRPr="00D70D43">
        <w:rPr>
          <w:rFonts w:ascii="Times New Roman" w:hAnsi="Times New Roman" w:cs="Times New Roman"/>
          <w:sz w:val="24"/>
          <w:szCs w:val="24"/>
        </w:rPr>
        <w:t xml:space="preserve">: </w:t>
      </w:r>
      <w:proofErr w:type="spellStart"/>
      <w:r w:rsidR="004E6C7F" w:rsidRPr="00D70D43">
        <w:rPr>
          <w:rFonts w:ascii="Times New Roman" w:hAnsi="Times New Roman" w:cs="Times New Roman"/>
          <w:sz w:val="24"/>
          <w:szCs w:val="24"/>
        </w:rPr>
        <w:t>Phenylalaline</w:t>
      </w:r>
      <w:proofErr w:type="spellEnd"/>
      <w:r w:rsidR="004E6C7F" w:rsidRPr="00D70D43">
        <w:rPr>
          <w:rFonts w:ascii="Times New Roman" w:hAnsi="Times New Roman" w:cs="Times New Roman"/>
          <w:sz w:val="24"/>
          <w:szCs w:val="24"/>
        </w:rPr>
        <w:t xml:space="preserve">, Glu: </w:t>
      </w:r>
      <w:r w:rsidR="00224F58">
        <w:rPr>
          <w:rFonts w:ascii="Times New Roman" w:hAnsi="Times New Roman" w:cs="Times New Roman"/>
          <w:sz w:val="24"/>
          <w:szCs w:val="24"/>
        </w:rPr>
        <w:t>G</w:t>
      </w:r>
      <w:r w:rsidR="004E6C7F" w:rsidRPr="00D70D43">
        <w:rPr>
          <w:rFonts w:ascii="Times New Roman" w:hAnsi="Times New Roman" w:cs="Times New Roman"/>
          <w:sz w:val="24"/>
          <w:szCs w:val="24"/>
        </w:rPr>
        <w:t>lutamic acid) elucidate the trophic position with more precision than with the bulk isotope analyses (Figure 2</w:t>
      </w:r>
      <w:r w:rsidR="00EE3045">
        <w:rPr>
          <w:rFonts w:ascii="Times New Roman" w:hAnsi="Times New Roman" w:cs="Times New Roman"/>
          <w:sz w:val="24"/>
          <w:szCs w:val="24"/>
        </w:rPr>
        <w:t>.1</w:t>
      </w:r>
      <w:r w:rsidR="004E6C7F" w:rsidRPr="00D70D43">
        <w:rPr>
          <w:rFonts w:ascii="Times New Roman" w:hAnsi="Times New Roman" w:cs="Times New Roman"/>
          <w:sz w:val="24"/>
          <w:szCs w:val="24"/>
        </w:rPr>
        <w:t xml:space="preserve">) </w:t>
      </w:r>
      <w:r w:rsidR="004E6C7F" w:rsidRPr="00D70D43">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{"citationID":"zHLDsy7c","properties":{"formattedCitation":"\\super 19,20\\nosupersub{}","plainCitation":"19,20","noteIndex":0},"citationItems":[{"id":133,"uris":["http://zotero.org/users/7125028/items/8ZH69USL"],"itemData":{"id":133,"type":"article-journal","container-title":"Earth, Life, and Isotopes","journalAbbreviation":"Earth, Life, and Isotopes","page":"37-51","source":"ResearchGate","title":"Further evaluation of the trophic level estimation based on nitrogen isotopic composition of amino acids","author":[{"family":"Chikaraishi","given":"Y."},{"family":"Ogawa","given":"Nanako"},{"family":"Ohkouchi","given":"Naohiko"}],"issued":{"date-parts":[["2010",1,1]]}}},{"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M."}],"issued":{"date-parts":[["2012"]]}}}],"schema":"https://github.com/citation-style-language/schema/raw/master/csl-citation.json"} </w:instrText>
      </w:r>
      <w:r w:rsidR="004E6C7F" w:rsidRPr="00D70D43">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19,20</w:t>
      </w:r>
      <w:r w:rsidR="004E6C7F" w:rsidRPr="00D70D43">
        <w:rPr>
          <w:rFonts w:ascii="Times New Roman" w:hAnsi="Times New Roman" w:cs="Times New Roman"/>
          <w:sz w:val="24"/>
          <w:szCs w:val="24"/>
        </w:rPr>
        <w:fldChar w:fldCharType="end"/>
      </w:r>
      <w:r w:rsidR="004E6C7F" w:rsidRPr="00D70D43">
        <w:rPr>
          <w:rFonts w:ascii="Times New Roman" w:hAnsi="Times New Roman" w:cs="Times New Roman"/>
          <w:sz w:val="24"/>
          <w:szCs w:val="24"/>
        </w:rPr>
        <w:t>.</w:t>
      </w:r>
      <w:r w:rsidR="008B4920">
        <w:rPr>
          <w:rFonts w:ascii="Times New Roman" w:hAnsi="Times New Roman" w:cs="Times New Roman"/>
          <w:sz w:val="24"/>
          <w:szCs w:val="24"/>
        </w:rPr>
        <w:t xml:space="preserve"> </w:t>
      </w:r>
    </w:p>
    <w:p w14:paraId="58A07F8B" w14:textId="77777777" w:rsidR="00906F28" w:rsidRPr="00D70D43" w:rsidRDefault="00906F28">
      <w:pPr>
        <w:spacing w:after="0"/>
        <w:rPr>
          <w:rFonts w:ascii="Times New Roman" w:eastAsia="Times New Roman" w:hAnsi="Times New Roman" w:cs="Times New Roman"/>
          <w:b/>
          <w:sz w:val="24"/>
          <w:szCs w:val="24"/>
        </w:rPr>
      </w:pPr>
    </w:p>
    <w:p w14:paraId="00000029" w14:textId="050B1890" w:rsidR="00784AF4" w:rsidRPr="00D70D43" w:rsidRDefault="00906F28">
      <w:pPr>
        <w:spacing w:after="0"/>
        <w:rPr>
          <w:rFonts w:ascii="Times New Roman" w:eastAsia="Times New Roman" w:hAnsi="Times New Roman" w:cs="Times New Roman"/>
          <w:b/>
          <w:i/>
          <w:sz w:val="24"/>
          <w:szCs w:val="24"/>
        </w:rPr>
      </w:pPr>
      <w:bookmarkStart w:id="4" w:name="_Hlk121128315"/>
      <w:r w:rsidRPr="00D70D43">
        <w:rPr>
          <w:rFonts w:ascii="Times New Roman" w:eastAsia="Times New Roman" w:hAnsi="Times New Roman" w:cs="Times New Roman"/>
          <w:b/>
          <w:i/>
          <w:sz w:val="24"/>
          <w:szCs w:val="24"/>
        </w:rPr>
        <w:t xml:space="preserve">a. </w:t>
      </w:r>
      <w:r w:rsidR="0003068C" w:rsidRPr="00D70D43">
        <w:rPr>
          <w:rFonts w:ascii="Times New Roman" w:eastAsia="Times New Roman" w:hAnsi="Times New Roman" w:cs="Times New Roman"/>
          <w:b/>
          <w:i/>
          <w:sz w:val="24"/>
          <w:szCs w:val="24"/>
        </w:rPr>
        <w:t xml:space="preserve">Trophic </w:t>
      </w:r>
      <w:r w:rsidR="00B50019">
        <w:rPr>
          <w:rFonts w:ascii="Times New Roman" w:eastAsia="Times New Roman" w:hAnsi="Times New Roman" w:cs="Times New Roman"/>
          <w:b/>
          <w:i/>
          <w:sz w:val="24"/>
          <w:szCs w:val="24"/>
        </w:rPr>
        <w:t>position</w:t>
      </w:r>
      <w:r w:rsidR="0003068C" w:rsidRPr="00D70D43">
        <w:rPr>
          <w:rFonts w:ascii="Times New Roman" w:eastAsia="Times New Roman" w:hAnsi="Times New Roman" w:cs="Times New Roman"/>
          <w:b/>
          <w:i/>
          <w:sz w:val="24"/>
          <w:szCs w:val="24"/>
        </w:rPr>
        <w:t xml:space="preserve"> estimation using </w:t>
      </w:r>
      <w:r w:rsidR="00995217" w:rsidRPr="00D70D43">
        <w:rPr>
          <w:rFonts w:ascii="Times New Roman" w:eastAsia="Times New Roman" w:hAnsi="Times New Roman" w:cs="Times New Roman"/>
          <w:sz w:val="24"/>
          <w:szCs w:val="24"/>
        </w:rPr>
        <w:t>δ</w:t>
      </w:r>
      <w:r w:rsidR="00995217" w:rsidRPr="00D70D43">
        <w:rPr>
          <w:rFonts w:ascii="Times New Roman" w:eastAsia="Times New Roman" w:hAnsi="Times New Roman" w:cs="Times New Roman"/>
          <w:sz w:val="24"/>
          <w:szCs w:val="24"/>
          <w:vertAlign w:val="superscript"/>
        </w:rPr>
        <w:t>15</w:t>
      </w:r>
      <w:r w:rsidR="00995217" w:rsidRPr="00D70D43">
        <w:rPr>
          <w:rFonts w:ascii="Times New Roman" w:eastAsia="Times New Roman" w:hAnsi="Times New Roman" w:cs="Times New Roman"/>
          <w:sz w:val="24"/>
          <w:szCs w:val="24"/>
        </w:rPr>
        <w:t xml:space="preserve">N </w:t>
      </w:r>
      <w:r w:rsidR="0003068C" w:rsidRPr="00D70D43">
        <w:rPr>
          <w:rFonts w:ascii="Times New Roman" w:eastAsia="Times New Roman" w:hAnsi="Times New Roman" w:cs="Times New Roman"/>
          <w:b/>
          <w:i/>
          <w:sz w:val="24"/>
          <w:szCs w:val="24"/>
        </w:rPr>
        <w:t>of amino acids</w:t>
      </w:r>
    </w:p>
    <w:bookmarkEnd w:id="4"/>
    <w:p w14:paraId="0000002A" w14:textId="77777777" w:rsidR="00784AF4" w:rsidRPr="00D70D43" w:rsidRDefault="00784AF4">
      <w:pPr>
        <w:spacing w:after="0"/>
        <w:rPr>
          <w:rFonts w:ascii="Times New Roman" w:eastAsia="Times New Roman" w:hAnsi="Times New Roman" w:cs="Times New Roman"/>
          <w:sz w:val="24"/>
          <w:szCs w:val="24"/>
        </w:rPr>
      </w:pPr>
    </w:p>
    <w:p w14:paraId="71DF508E" w14:textId="33CCBE68" w:rsidR="00782A40" w:rsidRPr="00D70D43" w:rsidRDefault="0003068C" w:rsidP="00782A40">
      <w:pPr>
        <w:spacing w:line="360" w:lineRule="auto"/>
        <w:jc w:val="both"/>
        <w:rPr>
          <w:rFonts w:ascii="Times New Roman" w:hAnsi="Times New Roman" w:cs="Times New Roman"/>
          <w:color w:val="202020"/>
          <w:sz w:val="24"/>
          <w:szCs w:val="24"/>
          <w:shd w:val="clear" w:color="auto" w:fill="FFFFFF"/>
        </w:rPr>
      </w:pPr>
      <w:r w:rsidRPr="00D70D43">
        <w:rPr>
          <w:rFonts w:ascii="Times New Roman" w:eastAsia="Times New Roman" w:hAnsi="Times New Roman" w:cs="Times New Roman"/>
          <w:sz w:val="24"/>
          <w:szCs w:val="24"/>
        </w:rPr>
        <w:t xml:space="preserve">One could estimate the </w:t>
      </w:r>
      <w:r w:rsidR="002E5AF8">
        <w:rPr>
          <w:rFonts w:ascii="Times New Roman" w:eastAsia="Times New Roman" w:hAnsi="Times New Roman" w:cs="Times New Roman"/>
          <w:sz w:val="24"/>
          <w:szCs w:val="24"/>
        </w:rPr>
        <w:t xml:space="preserve">Trophic </w:t>
      </w:r>
      <w:r w:rsidR="00B50019">
        <w:rPr>
          <w:rFonts w:ascii="Times New Roman" w:eastAsia="Times New Roman" w:hAnsi="Times New Roman" w:cs="Times New Roman"/>
          <w:sz w:val="24"/>
          <w:szCs w:val="24"/>
        </w:rPr>
        <w:t>Position</w:t>
      </w:r>
      <w:r w:rsidR="002E5AF8">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T</w:t>
      </w:r>
      <w:r w:rsidR="00B50019">
        <w:rPr>
          <w:rFonts w:ascii="Times New Roman" w:eastAsia="Times New Roman" w:hAnsi="Times New Roman" w:cs="Times New Roman"/>
          <w:sz w:val="24"/>
          <w:szCs w:val="24"/>
        </w:rPr>
        <w:t>P</w:t>
      </w:r>
      <w:r w:rsidR="002E5AF8">
        <w:rPr>
          <w:rFonts w:ascii="Times New Roman" w:eastAsia="Times New Roman" w:hAnsi="Times New Roman" w:cs="Times New Roman"/>
          <w:sz w:val="24"/>
          <w:szCs w:val="24"/>
        </w:rPr>
        <w:t>)</w:t>
      </w:r>
      <w:r w:rsidRPr="00D70D43">
        <w:rPr>
          <w:rFonts w:ascii="Times New Roman" w:eastAsia="Times New Roman" w:hAnsi="Times New Roman" w:cs="Times New Roman"/>
          <w:sz w:val="24"/>
          <w:szCs w:val="24"/>
        </w:rPr>
        <w:t xml:space="preserve"> of humans without need to characterize the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 values of the associated fauna</w:t>
      </w:r>
      <w:r w:rsidR="008B4920">
        <w:rPr>
          <w:rFonts w:ascii="Times New Roman" w:eastAsia="Times New Roman" w:hAnsi="Times New Roman" w:cs="Times New Roman"/>
          <w:sz w:val="24"/>
          <w:szCs w:val="24"/>
        </w:rPr>
        <w:t xml:space="preserve"> </w:t>
      </w:r>
      <w:r w:rsidR="002055FE" w:rsidRPr="00D42A76">
        <w:rPr>
          <w:rFonts w:asciiTheme="majorBidi" w:hAnsiTheme="majorBidi" w:cstheme="majorBidi"/>
          <w:sz w:val="24"/>
          <w:szCs w:val="24"/>
        </w:rPr>
        <w:t xml:space="preserve">by analyzing nitrogen </w:t>
      </w:r>
      <w:r w:rsidR="002055FE">
        <w:rPr>
          <w:rFonts w:asciiTheme="majorBidi" w:hAnsiTheme="majorBidi" w:cstheme="majorBidi"/>
          <w:sz w:val="24"/>
          <w:szCs w:val="24"/>
        </w:rPr>
        <w:t xml:space="preserve">in </w:t>
      </w:r>
      <w:r w:rsidR="00782A40" w:rsidRPr="00D70D43">
        <w:rPr>
          <w:rFonts w:ascii="Times New Roman" w:hAnsi="Times New Roman" w:cs="Times New Roman"/>
          <w:sz w:val="24"/>
          <w:szCs w:val="24"/>
        </w:rPr>
        <w:t xml:space="preserve">amino acids, </w:t>
      </w:r>
      <w:r w:rsidR="002055FE" w:rsidRPr="00D42A76">
        <w:rPr>
          <w:rFonts w:asciiTheme="majorBidi" w:hAnsiTheme="majorBidi" w:cstheme="majorBidi"/>
          <w:sz w:val="24"/>
          <w:szCs w:val="24"/>
        </w:rPr>
        <w:t xml:space="preserve">particularly </w:t>
      </w:r>
      <w:r w:rsidR="00782A40" w:rsidRPr="00D70D43">
        <w:rPr>
          <w:rFonts w:ascii="Times New Roman" w:hAnsi="Times New Roman" w:cs="Times New Roman"/>
          <w:sz w:val="24"/>
          <w:szCs w:val="24"/>
        </w:rPr>
        <w:t>on the Phenylalanine (</w:t>
      </w:r>
      <w:proofErr w:type="spellStart"/>
      <w:r w:rsidR="00782A40" w:rsidRPr="00D70D43">
        <w:rPr>
          <w:rFonts w:ascii="Times New Roman" w:hAnsi="Times New Roman" w:cs="Times New Roman"/>
          <w:sz w:val="24"/>
          <w:szCs w:val="24"/>
        </w:rPr>
        <w:t>Phe</w:t>
      </w:r>
      <w:proofErr w:type="spellEnd"/>
      <w:r w:rsidR="00782A40" w:rsidRPr="00D70D43">
        <w:rPr>
          <w:rFonts w:ascii="Times New Roman" w:hAnsi="Times New Roman" w:cs="Times New Roman"/>
          <w:sz w:val="24"/>
          <w:szCs w:val="24"/>
        </w:rPr>
        <w:t>) and Glutamic acids (Glu)</w:t>
      </w:r>
      <w:r w:rsidR="002055FE">
        <w:rPr>
          <w:rFonts w:ascii="Times New Roman" w:hAnsi="Times New Roman" w:cs="Times New Roman"/>
          <w:sz w:val="24"/>
          <w:szCs w:val="24"/>
        </w:rPr>
        <w:t xml:space="preserve">. </w:t>
      </w:r>
      <w:r w:rsidR="002055FE" w:rsidRPr="00D42A76">
        <w:rPr>
          <w:rFonts w:asciiTheme="majorBidi" w:hAnsiTheme="majorBidi" w:cstheme="majorBidi"/>
          <w:sz w:val="24"/>
          <w:szCs w:val="24"/>
        </w:rPr>
        <w:t>These amino acids serve as excellent tracers of the trophic level</w:t>
      </w:r>
      <w:r w:rsidR="00782A40" w:rsidRPr="00D70D43">
        <w:rPr>
          <w:rFonts w:ascii="Times New Roman" w:hAnsi="Times New Roman" w:cs="Times New Roman"/>
          <w:sz w:val="24"/>
          <w:szCs w:val="24"/>
        </w:rPr>
        <w:t>.</w:t>
      </w:r>
      <w:r w:rsidR="008B4920">
        <w:rPr>
          <w:rFonts w:ascii="Times New Roman" w:hAnsi="Times New Roman" w:cs="Times New Roman"/>
          <w:sz w:val="24"/>
          <w:szCs w:val="24"/>
        </w:rPr>
        <w:t xml:space="preserve"> </w:t>
      </w:r>
      <w:r w:rsidR="00782A40" w:rsidRPr="00D70D43">
        <w:rPr>
          <w:rFonts w:ascii="Times New Roman" w:hAnsi="Times New Roman" w:cs="Times New Roman"/>
          <w:color w:val="202020"/>
          <w:sz w:val="24"/>
          <w:szCs w:val="24"/>
          <w:shd w:val="clear" w:color="auto" w:fill="FFFFFF"/>
        </w:rPr>
        <w:t xml:space="preserve">The </w:t>
      </w:r>
      <w:r w:rsidR="00782A40" w:rsidRPr="00D70D43">
        <w:rPr>
          <w:rFonts w:ascii="Times New Roman" w:hAnsi="Times New Roman" w:cs="Times New Roman"/>
          <w:sz w:val="24"/>
          <w:szCs w:val="24"/>
        </w:rPr>
        <w:t>δ</w:t>
      </w:r>
      <w:r w:rsidR="00782A40" w:rsidRPr="00D70D43">
        <w:rPr>
          <w:rFonts w:ascii="Times New Roman" w:hAnsi="Times New Roman" w:cs="Times New Roman"/>
          <w:sz w:val="24"/>
          <w:szCs w:val="24"/>
          <w:vertAlign w:val="superscript"/>
        </w:rPr>
        <w:t>15</w:t>
      </w:r>
      <w:r w:rsidR="00782A40" w:rsidRPr="00D70D43">
        <w:rPr>
          <w:rFonts w:ascii="Times New Roman" w:hAnsi="Times New Roman" w:cs="Times New Roman"/>
          <w:sz w:val="24"/>
          <w:szCs w:val="24"/>
        </w:rPr>
        <w:t>N</w:t>
      </w:r>
      <w:r w:rsidR="00782A40" w:rsidRPr="00D70D43">
        <w:rPr>
          <w:rFonts w:ascii="Times New Roman" w:hAnsi="Times New Roman" w:cs="Times New Roman"/>
          <w:sz w:val="24"/>
          <w:szCs w:val="24"/>
          <w:vertAlign w:val="subscript"/>
        </w:rPr>
        <w:t xml:space="preserve">Glu </w:t>
      </w:r>
      <w:r w:rsidR="00782A40" w:rsidRPr="00D70D43">
        <w:rPr>
          <w:rFonts w:ascii="Times New Roman" w:hAnsi="Times New Roman" w:cs="Times New Roman"/>
          <w:sz w:val="24"/>
          <w:szCs w:val="24"/>
        </w:rPr>
        <w:t xml:space="preserve">is significantly enriched for each trophic </w:t>
      </w:r>
      <w:r w:rsidR="00E5540E">
        <w:rPr>
          <w:rFonts w:ascii="Times New Roman" w:hAnsi="Times New Roman" w:cs="Times New Roman"/>
          <w:sz w:val="24"/>
          <w:szCs w:val="24"/>
        </w:rPr>
        <w:t>position</w:t>
      </w:r>
      <w:r w:rsidR="00782A40" w:rsidRPr="00D70D43">
        <w:rPr>
          <w:rFonts w:ascii="Times New Roman" w:hAnsi="Times New Roman" w:cs="Times New Roman"/>
          <w:sz w:val="24"/>
          <w:szCs w:val="24"/>
        </w:rPr>
        <w:t xml:space="preserve"> (+8.00 ‰) because of the important isotopic fractionation </w:t>
      </w:r>
      <w:r w:rsidR="002055FE" w:rsidRPr="00D42A76">
        <w:rPr>
          <w:rFonts w:asciiTheme="majorBidi" w:hAnsiTheme="majorBidi" w:cstheme="majorBidi"/>
          <w:sz w:val="24"/>
          <w:szCs w:val="24"/>
        </w:rPr>
        <w:t xml:space="preserve">occurring </w:t>
      </w:r>
      <w:r w:rsidR="00782A40" w:rsidRPr="00D70D43">
        <w:rPr>
          <w:rFonts w:ascii="Times New Roman" w:hAnsi="Times New Roman" w:cs="Times New Roman"/>
          <w:sz w:val="24"/>
          <w:szCs w:val="24"/>
        </w:rPr>
        <w:t>during the transamination. The δ</w:t>
      </w:r>
      <w:r w:rsidR="00782A40" w:rsidRPr="00D70D43">
        <w:rPr>
          <w:rFonts w:ascii="Times New Roman" w:hAnsi="Times New Roman" w:cs="Times New Roman"/>
          <w:sz w:val="24"/>
          <w:szCs w:val="24"/>
          <w:vertAlign w:val="superscript"/>
        </w:rPr>
        <w:t>15</w:t>
      </w:r>
      <w:r w:rsidR="00782A40" w:rsidRPr="00D70D43">
        <w:rPr>
          <w:rFonts w:ascii="Times New Roman" w:hAnsi="Times New Roman" w:cs="Times New Roman"/>
          <w:sz w:val="24"/>
          <w:szCs w:val="24"/>
        </w:rPr>
        <w:t>N</w:t>
      </w:r>
      <w:r w:rsidR="00782A40" w:rsidRPr="00D70D43">
        <w:rPr>
          <w:rFonts w:ascii="Times New Roman" w:hAnsi="Times New Roman" w:cs="Times New Roman"/>
          <w:sz w:val="24"/>
          <w:szCs w:val="24"/>
          <w:vertAlign w:val="subscript"/>
        </w:rPr>
        <w:t xml:space="preserve">Phe </w:t>
      </w:r>
      <w:r w:rsidR="00782A40" w:rsidRPr="00D70D43">
        <w:rPr>
          <w:rFonts w:ascii="Times New Roman" w:hAnsi="Times New Roman" w:cs="Times New Roman"/>
          <w:sz w:val="24"/>
          <w:szCs w:val="24"/>
        </w:rPr>
        <w:t xml:space="preserve">shows only a slight change with each trophic </w:t>
      </w:r>
      <w:r w:rsidR="00E5540E">
        <w:rPr>
          <w:rFonts w:ascii="Times New Roman" w:hAnsi="Times New Roman" w:cs="Times New Roman"/>
          <w:sz w:val="24"/>
          <w:szCs w:val="24"/>
        </w:rPr>
        <w:t>position</w:t>
      </w:r>
      <w:r w:rsidR="00782A40" w:rsidRPr="00D70D43">
        <w:rPr>
          <w:rFonts w:ascii="Times New Roman" w:hAnsi="Times New Roman" w:cs="Times New Roman"/>
          <w:sz w:val="24"/>
          <w:szCs w:val="24"/>
        </w:rPr>
        <w:t xml:space="preserve"> (+0.4‰) and mainly reflects the local base line, which </w:t>
      </w:r>
      <w:r w:rsidR="002055FE">
        <w:rPr>
          <w:rFonts w:ascii="Times New Roman" w:hAnsi="Times New Roman" w:cs="Times New Roman"/>
          <w:sz w:val="24"/>
          <w:szCs w:val="24"/>
        </w:rPr>
        <w:t xml:space="preserve">in turn </w:t>
      </w:r>
      <w:r w:rsidR="00782A40" w:rsidRPr="00D70D43">
        <w:rPr>
          <w:rFonts w:ascii="Times New Roman" w:hAnsi="Times New Roman" w:cs="Times New Roman"/>
          <w:sz w:val="24"/>
          <w:szCs w:val="24"/>
        </w:rPr>
        <w:t>influences the δ</w:t>
      </w:r>
      <w:r w:rsidR="00782A40" w:rsidRPr="00D70D43">
        <w:rPr>
          <w:rFonts w:ascii="Times New Roman" w:hAnsi="Times New Roman" w:cs="Times New Roman"/>
          <w:sz w:val="24"/>
          <w:szCs w:val="24"/>
          <w:vertAlign w:val="superscript"/>
        </w:rPr>
        <w:t>15</w:t>
      </w:r>
      <w:r w:rsidR="00782A40" w:rsidRPr="00D70D43">
        <w:rPr>
          <w:rFonts w:ascii="Times New Roman" w:hAnsi="Times New Roman" w:cs="Times New Roman"/>
          <w:sz w:val="24"/>
          <w:szCs w:val="24"/>
        </w:rPr>
        <w:t>N</w:t>
      </w:r>
      <w:r w:rsidR="00782A40" w:rsidRPr="00D70D43">
        <w:rPr>
          <w:rFonts w:ascii="Times New Roman" w:hAnsi="Times New Roman" w:cs="Times New Roman"/>
          <w:sz w:val="24"/>
          <w:szCs w:val="24"/>
          <w:vertAlign w:val="subscript"/>
        </w:rPr>
        <w:t xml:space="preserve">Glu </w:t>
      </w:r>
      <w:r w:rsidR="00782A40" w:rsidRPr="00D70D43">
        <w:rPr>
          <w:rFonts w:ascii="Times New Roman" w:hAnsi="Times New Roman" w:cs="Times New Roman"/>
          <w:sz w:val="24"/>
          <w:szCs w:val="24"/>
        </w:rPr>
        <w:t xml:space="preserve">with the same amplitude (Figure </w:t>
      </w:r>
      <w:r w:rsidR="008B4920">
        <w:rPr>
          <w:rFonts w:ascii="Times New Roman" w:hAnsi="Times New Roman" w:cs="Times New Roman"/>
          <w:sz w:val="24"/>
          <w:szCs w:val="24"/>
        </w:rPr>
        <w:t>S2.</w:t>
      </w:r>
      <w:r w:rsidR="00207DD4">
        <w:rPr>
          <w:rFonts w:ascii="Times New Roman" w:hAnsi="Times New Roman" w:cs="Times New Roman"/>
          <w:sz w:val="24"/>
          <w:szCs w:val="24"/>
        </w:rPr>
        <w:t>2</w:t>
      </w:r>
      <w:r w:rsidR="00782A40" w:rsidRPr="00D70D43">
        <w:rPr>
          <w:rFonts w:ascii="Times New Roman" w:hAnsi="Times New Roman" w:cs="Times New Roman"/>
          <w:sz w:val="24"/>
          <w:szCs w:val="24"/>
        </w:rPr>
        <w:t xml:space="preserve">). </w:t>
      </w:r>
      <w:r w:rsidR="002055FE" w:rsidRPr="00D42A76">
        <w:rPr>
          <w:rFonts w:asciiTheme="majorBidi" w:hAnsiTheme="majorBidi" w:cstheme="majorBidi"/>
          <w:sz w:val="24"/>
          <w:szCs w:val="24"/>
        </w:rPr>
        <w:t>By combining the analysis of these two amino acids, it becomes possible to determine the trophic position of an organism while effectively eliminating interference from the baseline effect</w:t>
      </w:r>
      <w:r w:rsidR="00782A40" w:rsidRPr="00D70D43">
        <w:rPr>
          <w:rFonts w:ascii="Times New Roman" w:hAnsi="Times New Roman" w:cs="Times New Roman"/>
          <w:sz w:val="24"/>
          <w:szCs w:val="24"/>
        </w:rPr>
        <w:t xml:space="preserve"> </w:t>
      </w:r>
      <w:r w:rsidR="00782A40" w:rsidRPr="00D70D43">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{"citationID":"MRPySSHb","properties":{"formattedCitation":"\\super 19\\nosupersub{}","plainCitation":"19","noteIndex":0},"citationItems":[{"id":133,"uris":["http://zotero.org/users/7125028/items/8ZH69USL"],"itemData":{"id":133,"type":"article-journal","container-title":"Earth, Life, and Isotopes","journalAbbreviation":"Earth, Life, and Isotopes","page":"37-51","source":"ResearchGate","title":"Further evaluation of the trophic level estimation based on nitrogen isotopic composition of amino acids","author":[{"family":"Chikaraishi","given":"Y."},{"family":"Ogawa","given":"Nanako"},{"family":"Ohkouchi","given":"Naohiko"}],"issued":{"date-parts":[["2010",1,1]]}}}],"schema":"https://github.com/citation-style-language/schema/raw/master/csl-citation.json"} </w:instrText>
      </w:r>
      <w:r w:rsidR="00782A40" w:rsidRPr="00D70D43">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19</w:t>
      </w:r>
      <w:r w:rsidR="00782A40" w:rsidRPr="00D70D43">
        <w:rPr>
          <w:rFonts w:ascii="Times New Roman" w:hAnsi="Times New Roman" w:cs="Times New Roman"/>
          <w:sz w:val="24"/>
          <w:szCs w:val="24"/>
        </w:rPr>
        <w:fldChar w:fldCharType="end"/>
      </w:r>
      <w:r w:rsidR="00782A40" w:rsidRPr="00D70D43">
        <w:rPr>
          <w:rFonts w:ascii="Times New Roman" w:hAnsi="Times New Roman" w:cs="Times New Roman"/>
          <w:sz w:val="24"/>
          <w:szCs w:val="24"/>
        </w:rPr>
        <w:t xml:space="preserve">. </w:t>
      </w:r>
    </w:p>
    <w:p w14:paraId="043E0A2B" w14:textId="51033F2C" w:rsidR="00782A40" w:rsidRPr="00D70D43" w:rsidRDefault="0003068C" w:rsidP="004E6C7F">
      <w:pPr>
        <w:spacing w:after="0" w:line="360" w:lineRule="auto"/>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The analysis of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 xml:space="preserve">N on these two amino acids provides an internal trophic position </w:t>
      </w:r>
      <w:r w:rsidR="00782A40" w:rsidRPr="00D70D43">
        <w:rPr>
          <w:rFonts w:ascii="Times New Roman" w:eastAsia="Times New Roman" w:hAnsi="Times New Roman" w:cs="Times New Roman"/>
          <w:sz w:val="24"/>
          <w:szCs w:val="24"/>
        </w:rPr>
        <w:t xml:space="preserve">(TP) </w:t>
      </w:r>
      <w:r w:rsidRPr="00D70D43">
        <w:rPr>
          <w:rFonts w:ascii="Times New Roman" w:eastAsia="Times New Roman" w:hAnsi="Times New Roman" w:cs="Times New Roman"/>
          <w:sz w:val="24"/>
          <w:szCs w:val="24"/>
        </w:rPr>
        <w:t xml:space="preserve">indicator which can be calculated by employing the following equation: </w:t>
      </w:r>
    </w:p>
    <w:p w14:paraId="0000002B" w14:textId="5B18D7CE" w:rsidR="00784AF4" w:rsidRPr="00D70D43" w:rsidRDefault="0003068C" w:rsidP="00782A40">
      <w:pPr>
        <w:spacing w:after="0" w:line="36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TP(C3) =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w:t>
      </w:r>
      <w:r w:rsidRPr="00D70D43">
        <w:rPr>
          <w:rFonts w:ascii="Times New Roman" w:eastAsia="Times New Roman" w:hAnsi="Times New Roman" w:cs="Times New Roman"/>
          <w:sz w:val="24"/>
          <w:szCs w:val="24"/>
          <w:vertAlign w:val="subscript"/>
        </w:rPr>
        <w:t>Glu</w:t>
      </w:r>
      <w:r w:rsidRPr="00D70D43">
        <w:rPr>
          <w:rFonts w:ascii="Times New Roman" w:eastAsia="Times New Roman" w:hAnsi="Times New Roman" w:cs="Times New Roman"/>
          <w:sz w:val="24"/>
          <w:szCs w:val="24"/>
        </w:rPr>
        <w:t>-</w:t>
      </w:r>
      <w:r w:rsidRPr="00D70D43">
        <w:rPr>
          <w:rFonts w:ascii="Times New Roman" w:eastAsia="Times New Roman" w:hAnsi="Times New Roman" w:cs="Times New Roman"/>
          <w:sz w:val="24"/>
          <w:szCs w:val="24"/>
          <w:vertAlign w:val="subscript"/>
        </w:rPr>
        <w:t>Phe</w:t>
      </w:r>
      <w:r w:rsidRPr="00D70D43">
        <w:rPr>
          <w:rFonts w:ascii="Times New Roman" w:eastAsia="Times New Roman" w:hAnsi="Times New Roman" w:cs="Times New Roman"/>
          <w:sz w:val="24"/>
          <w:szCs w:val="24"/>
        </w:rPr>
        <w:t xml:space="preserve"> + 8.4)/7.6] + 1.</w:t>
      </w:r>
    </w:p>
    <w:p w14:paraId="0000002C" w14:textId="77777777" w:rsidR="00784AF4" w:rsidRPr="00D70D43" w:rsidRDefault="00784AF4" w:rsidP="004E6C7F">
      <w:pPr>
        <w:spacing w:after="0" w:line="360" w:lineRule="auto"/>
        <w:rPr>
          <w:rFonts w:ascii="Times New Roman" w:eastAsia="Times New Roman" w:hAnsi="Times New Roman" w:cs="Times New Roman"/>
          <w:i/>
          <w:sz w:val="24"/>
          <w:szCs w:val="24"/>
        </w:rPr>
      </w:pPr>
    </w:p>
    <w:p w14:paraId="0000002D" w14:textId="4DA2119B" w:rsidR="00784AF4" w:rsidRPr="00D70D43" w:rsidRDefault="00906F28" w:rsidP="004E6C7F">
      <w:pPr>
        <w:spacing w:after="0" w:line="360" w:lineRule="auto"/>
        <w:rPr>
          <w:rFonts w:ascii="Times New Roman" w:eastAsia="Times New Roman" w:hAnsi="Times New Roman" w:cs="Times New Roman"/>
          <w:b/>
          <w:i/>
          <w:sz w:val="24"/>
          <w:szCs w:val="24"/>
        </w:rPr>
      </w:pPr>
      <w:bookmarkStart w:id="5" w:name="_Hlk121128320"/>
      <w:r w:rsidRPr="00D70D43">
        <w:rPr>
          <w:rFonts w:ascii="Times New Roman" w:eastAsia="Times New Roman" w:hAnsi="Times New Roman" w:cs="Times New Roman"/>
          <w:b/>
          <w:i/>
          <w:sz w:val="24"/>
          <w:szCs w:val="24"/>
        </w:rPr>
        <w:t>b.</w:t>
      </w:r>
      <w:r w:rsidR="008B4920">
        <w:rPr>
          <w:rFonts w:ascii="Times New Roman" w:eastAsia="Times New Roman" w:hAnsi="Times New Roman" w:cs="Times New Roman"/>
          <w:b/>
          <w:i/>
          <w:sz w:val="24"/>
          <w:szCs w:val="24"/>
        </w:rPr>
        <w:t xml:space="preserve"> </w:t>
      </w:r>
      <w:r w:rsidR="0003068C" w:rsidRPr="00D70D43">
        <w:rPr>
          <w:rFonts w:ascii="Times New Roman" w:eastAsia="Times New Roman" w:hAnsi="Times New Roman" w:cs="Times New Roman"/>
          <w:b/>
          <w:i/>
          <w:sz w:val="24"/>
          <w:szCs w:val="24"/>
        </w:rPr>
        <w:t>Carbon isotope ratios of amino acids</w:t>
      </w:r>
      <w:r w:rsidR="00995217" w:rsidRPr="00D70D43">
        <w:rPr>
          <w:rFonts w:ascii="Times New Roman" w:eastAsia="Times New Roman" w:hAnsi="Times New Roman" w:cs="Times New Roman"/>
          <w:b/>
          <w:i/>
          <w:sz w:val="24"/>
          <w:szCs w:val="24"/>
        </w:rPr>
        <w:t xml:space="preserve"> and exploited environment</w:t>
      </w:r>
    </w:p>
    <w:bookmarkEnd w:id="5"/>
    <w:p w14:paraId="76C798D5" w14:textId="77777777" w:rsidR="00854C33" w:rsidRPr="00D70D43" w:rsidRDefault="00854C33" w:rsidP="008B4920">
      <w:pPr>
        <w:spacing w:after="0" w:line="360" w:lineRule="auto"/>
        <w:jc w:val="both"/>
        <w:rPr>
          <w:rFonts w:ascii="Times New Roman" w:eastAsia="Times New Roman" w:hAnsi="Times New Roman" w:cs="Times New Roman"/>
          <w:b/>
          <w:sz w:val="24"/>
          <w:szCs w:val="24"/>
        </w:rPr>
      </w:pPr>
    </w:p>
    <w:p w14:paraId="0000002E" w14:textId="7042CBBD" w:rsidR="00784AF4" w:rsidRPr="00D70D43" w:rsidRDefault="004E6C7F" w:rsidP="008B4920">
      <w:pPr>
        <w:spacing w:after="0" w:line="360" w:lineRule="auto"/>
        <w:jc w:val="both"/>
        <w:rPr>
          <w:rFonts w:ascii="Times New Roman" w:hAnsi="Times New Roman" w:cs="Times New Roman"/>
          <w:sz w:val="24"/>
          <w:szCs w:val="24"/>
        </w:rPr>
      </w:pPr>
      <w:r w:rsidRPr="00D70D43">
        <w:rPr>
          <w:rFonts w:ascii="Times New Roman" w:hAnsi="Times New Roman" w:cs="Times New Roman"/>
          <w:sz w:val="24"/>
          <w:szCs w:val="24"/>
        </w:rPr>
        <w:t xml:space="preserve">Previous studies </w:t>
      </w:r>
      <w:r w:rsidR="00EB25E7">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{"citationID":"FiCCjyQo","properties":{"formattedCitation":"\\super 20,21\\nosupersub{}","plainCitation":"20,21","noteIndex":0},"citationItems":[{"id":90,"uris":["http://zotero.org/users/7125028/items/8RDEAI3V"],"itemData":{"id":90,"type":"article-journal","abstract":"Isotopic and molecular analysis on human, fauna and pottery remains can provide valuable new insights into the diets and subsistence practices of prehistoric populations. These are crucial to elucidate the resilience of social-ecological systems to cultural and environmental change. Bulk collagen carbon and nitrogen isotopic analysis of 82 human individuals from mid to late Holocene Brazilian archaeological sites (</w:instrText>
      </w:r>
      <w:r w:rsidR="000475E4">
        <w:rPr>
          <w:rFonts w:ascii="Cambria Math" w:hAnsi="Cambria Math" w:cs="Cambria Math"/>
          <w:sz w:val="24"/>
          <w:szCs w:val="24"/>
        </w:rPr>
        <w:instrText>∼</w:instrText>
      </w:r>
      <w:r w:rsidR="000475E4">
        <w:rPr>
          <w:rFonts w:ascii="Times New Roman" w:hAnsi="Times New Roman" w:cs="Times New Roman"/>
          <w:sz w:val="24"/>
          <w:szCs w:val="24"/>
        </w:rPr>
        <w:instrText xml:space="preserve">6,700 to </w:instrText>
      </w:r>
      <w:r w:rsidR="000475E4">
        <w:rPr>
          <w:rFonts w:ascii="Cambria Math" w:hAnsi="Cambria Math" w:cs="Cambria Math"/>
          <w:sz w:val="24"/>
          <w:szCs w:val="24"/>
        </w:rPr>
        <w:instrText>∼</w:instrText>
      </w:r>
      <w:r w:rsidR="000475E4">
        <w:rPr>
          <w:rFonts w:ascii="Times New Roman" w:hAnsi="Times New Roman" w:cs="Times New Roman"/>
          <w:sz w:val="24"/>
          <w:szCs w:val="24"/>
        </w:rPr>
        <w:instrText xml:space="preserve">1,000 cal BP) reveal an adequate protein incorporation and, on the coast, the continuation in subsistence strategies based on the exploitation of aquatic resources despite the introduction of pottery and domesticated plant foods. These results are supported by carbon isotope analysis of single amino acid extracted from bone collagen. Chemical and isotopic analysis also shows that pottery technology was used to process marine foods and therefore assimilated into the existing subsistence strategy. Our multidisciplinary results demonstrate the resilient character of the coastal economy to cultural change during the late Holocene in southern Brazil.","container-title":"PLOS ONE","DOI":"10.1371/journal.pone.0093854","ISSN":"1932-6203","issue":"4","journalAbbreviation":"PLOS ONE","language":"en","note":"publisher: Public Library of Science","page":"e93854","source":"PLoS Journals","title":"Long-Term Resilience of Late Holocene Coastal Subsistence System in Southeastern South America","volume":"9","author":[{"family":"Colonese","given":"André Carlo"},{"family":"Collins","given":"Matthew"},{"family":"Lucquin","given":"Alexandre"},{"family":"Eustace","given":"Michael"},{"family":"Hancock","given":"Y."},{"family":"Ponzoni","given":"Raquel de Almeida Rocha"},{"family":"Mora","given":"Alice"},{"family":"Smith","given":"Colin"},{"family":"DeBlasis","given":"Paulo"},{"family":"Figuti","given":"Levy"},{"family":"Wesolowski","given":"Veronica"},{"family":"Plens","given":"Claudia Regina"},{"family":"Eggers","given":"Sabine"},{"family":"Farias","given":"Deisi Scunderlick Eloy","dropping-particle":"de"},{"family":"Gledhill","given":"Andy"},{"family":"Craig","given":"Oliver Edward"}],"issued":{"date-parts":[["2014",4,9]]}}},{"id":134,"uris":["http://zotero.org/users/7125028/items/AJVBLTT4"],"itemData":{"id":134,"type":"article-journal","abstract":"We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M."}],"issued":{"date-parts":[["2012"]]}}}],"schema":"https://github.com/citation-style-language/schema/raw/master/csl-citation.json"} </w:instrText>
      </w:r>
      <w:r w:rsidR="00EB25E7">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20,21</w:t>
      </w:r>
      <w:r w:rsidR="00EB25E7">
        <w:rPr>
          <w:rFonts w:ascii="Times New Roman" w:hAnsi="Times New Roman" w:cs="Times New Roman"/>
          <w:sz w:val="24"/>
          <w:szCs w:val="24"/>
        </w:rPr>
        <w:fldChar w:fldCharType="end"/>
      </w:r>
      <w:r w:rsidR="00EB25E7">
        <w:rPr>
          <w:rFonts w:ascii="Times New Roman" w:hAnsi="Times New Roman" w:cs="Times New Roman"/>
          <w:sz w:val="24"/>
          <w:szCs w:val="24"/>
        </w:rPr>
        <w:t xml:space="preserve"> </w:t>
      </w:r>
      <w:r w:rsidRPr="00D70D43">
        <w:rPr>
          <w:rFonts w:ascii="Times New Roman" w:hAnsi="Times New Roman" w:cs="Times New Roman"/>
          <w:sz w:val="24"/>
          <w:szCs w:val="24"/>
        </w:rPr>
        <w:t>demonstrated the potential of carbon analyses on the phenylalanine (</w:t>
      </w:r>
      <w:proofErr w:type="spellStart"/>
      <w:r w:rsidRPr="00D70D43">
        <w:rPr>
          <w:rFonts w:ascii="Times New Roman" w:hAnsi="Times New Roman" w:cs="Times New Roman"/>
          <w:sz w:val="24"/>
          <w:szCs w:val="24"/>
        </w:rPr>
        <w:t>Phe</w:t>
      </w:r>
      <w:proofErr w:type="spellEnd"/>
      <w:r w:rsidRPr="00D70D43">
        <w:rPr>
          <w:rFonts w:ascii="Times New Roman" w:hAnsi="Times New Roman" w:cs="Times New Roman"/>
          <w:sz w:val="24"/>
          <w:szCs w:val="24"/>
        </w:rPr>
        <w:t>) and the Valine (Val) to distinguish between 4 main dietary</w:t>
      </w:r>
      <w:r w:rsidRPr="00D70D43">
        <w:rPr>
          <w:rFonts w:ascii="Times New Roman" w:hAnsi="Times New Roman" w:cs="Times New Roman"/>
          <w:color w:val="202020"/>
          <w:sz w:val="24"/>
          <w:szCs w:val="24"/>
          <w:shd w:val="clear" w:color="auto" w:fill="FFFFFF"/>
        </w:rPr>
        <w:t xml:space="preserve"> groups (Marine fish consumers; freshwater fish consumers, terrestrial C3 consumers, C4 terrestrial consumers). </w:t>
      </w:r>
      <w:r w:rsidRPr="00D70D43">
        <w:rPr>
          <w:rFonts w:ascii="Times New Roman" w:hAnsi="Times New Roman" w:cs="Times New Roman"/>
          <w:sz w:val="24"/>
          <w:szCs w:val="24"/>
        </w:rPr>
        <w:t>Generally, animals eating terrestrial plants have similar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 xml:space="preserve">Phe </w:t>
      </w:r>
      <w:r w:rsidRPr="00D70D43">
        <w:rPr>
          <w:rFonts w:ascii="Times New Roman" w:hAnsi="Times New Roman" w:cs="Times New Roman"/>
          <w:sz w:val="24"/>
          <w:szCs w:val="24"/>
        </w:rPr>
        <w:t>and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 xml:space="preserve">Val </w:t>
      </w:r>
      <w:r w:rsidRPr="00D70D43">
        <w:rPr>
          <w:rFonts w:ascii="Times New Roman" w:hAnsi="Times New Roman" w:cs="Times New Roman"/>
          <w:sz w:val="24"/>
          <w:szCs w:val="24"/>
        </w:rPr>
        <w:t>in collagen. The animals in a C4 plant-based environment would also exhibit similar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 xml:space="preserve">Phe </w:t>
      </w:r>
      <w:r w:rsidRPr="00D70D43">
        <w:rPr>
          <w:rFonts w:ascii="Times New Roman" w:hAnsi="Times New Roman" w:cs="Times New Roman"/>
          <w:sz w:val="24"/>
          <w:szCs w:val="24"/>
        </w:rPr>
        <w:t>and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 xml:space="preserve">Val </w:t>
      </w:r>
      <w:r w:rsidRPr="00D70D43">
        <w:rPr>
          <w:rFonts w:ascii="Times New Roman" w:hAnsi="Times New Roman" w:cs="Times New Roman"/>
          <w:sz w:val="24"/>
          <w:szCs w:val="24"/>
        </w:rPr>
        <w:t>but relatively higher. The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 xml:space="preserve">Val </w:t>
      </w:r>
      <w:r w:rsidRPr="00D70D43">
        <w:rPr>
          <w:rFonts w:ascii="Times New Roman" w:hAnsi="Times New Roman" w:cs="Times New Roman"/>
          <w:sz w:val="24"/>
          <w:szCs w:val="24"/>
        </w:rPr>
        <w:t>values of freshwater fish consumers overlap with animals from a C3 plant environment but have a lower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Phe</w:t>
      </w:r>
      <w:r w:rsidRPr="00D70D43">
        <w:rPr>
          <w:rFonts w:ascii="Times New Roman" w:hAnsi="Times New Roman" w:cs="Times New Roman"/>
          <w:sz w:val="24"/>
          <w:szCs w:val="24"/>
        </w:rPr>
        <w:t>. The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 xml:space="preserve">Val </w:t>
      </w:r>
      <w:r w:rsidRPr="00D70D43">
        <w:rPr>
          <w:rFonts w:ascii="Times New Roman" w:hAnsi="Times New Roman" w:cs="Times New Roman"/>
          <w:sz w:val="24"/>
          <w:szCs w:val="24"/>
        </w:rPr>
        <w:t>of marine proteins consumers overlap with animals from C4 environments but have lower δ</w:t>
      </w:r>
      <w:r w:rsidRPr="00D70D43">
        <w:rPr>
          <w:rFonts w:ascii="Times New Roman" w:hAnsi="Times New Roman" w:cs="Times New Roman"/>
          <w:sz w:val="24"/>
          <w:szCs w:val="24"/>
          <w:vertAlign w:val="superscript"/>
        </w:rPr>
        <w:t>13</w:t>
      </w:r>
      <w:r w:rsidRPr="00D70D43">
        <w:rPr>
          <w:rFonts w:ascii="Times New Roman" w:hAnsi="Times New Roman" w:cs="Times New Roman"/>
          <w:sz w:val="24"/>
          <w:szCs w:val="24"/>
        </w:rPr>
        <w:t>C</w:t>
      </w:r>
      <w:r w:rsidRPr="00D70D43">
        <w:rPr>
          <w:rFonts w:ascii="Times New Roman" w:hAnsi="Times New Roman" w:cs="Times New Roman"/>
          <w:sz w:val="24"/>
          <w:szCs w:val="24"/>
          <w:vertAlign w:val="subscript"/>
        </w:rPr>
        <w:t xml:space="preserve">Phe </w:t>
      </w:r>
      <w:r w:rsidR="00557BBE">
        <w:rPr>
          <w:rFonts w:ascii="Times New Roman" w:hAnsi="Times New Roman" w:cs="Times New Roman"/>
          <w:sz w:val="24"/>
          <w:szCs w:val="24"/>
          <w:vertAlign w:val="subscript"/>
        </w:rPr>
        <w:fldChar w:fldCharType="begin"/>
      </w:r>
      <w:r w:rsidR="000475E4">
        <w:rPr>
          <w:rFonts w:ascii="Times New Roman" w:hAnsi="Times New Roman" w:cs="Times New Roman"/>
          <w:sz w:val="24"/>
          <w:szCs w:val="24"/>
          <w:vertAlign w:val="subscript"/>
        </w:rPr>
        <w:instrText xml:space="preserve"> ADDIN ZOTERO_ITEM CSL_CITATION {"citationID":"8fkwmHab","properties":{"formattedCitation":"\\super 20,21\\nosupersub{}","plainCitation":"20,21","noteIndex":0},"citationItems":[{"id":90,"uris":["http://zotero.org/users/7125028/items/8RDEAI3V"],"itemData":{"id":90,"type":"article-journal","abstract":"Isotopic and molecular analysis on human, fauna and pottery remains can provide valuable new insights into the diets and subsistence practices of prehistoric populations. These are crucial to elucidate the resilience of social-ecological systems to cultural and environmental change. Bulk collagen carbon and nitrogen isotopic analysis of 82 human individuals from mid to late Holocene Brazilian archaeological sites (</w:instrText>
      </w:r>
      <w:r w:rsidR="000475E4">
        <w:rPr>
          <w:rFonts w:ascii="Cambria Math" w:hAnsi="Cambria Math" w:cs="Cambria Math"/>
          <w:sz w:val="24"/>
          <w:szCs w:val="24"/>
          <w:vertAlign w:val="subscript"/>
        </w:rPr>
        <w:instrText>∼</w:instrText>
      </w:r>
      <w:r w:rsidR="000475E4">
        <w:rPr>
          <w:rFonts w:ascii="Times New Roman" w:hAnsi="Times New Roman" w:cs="Times New Roman"/>
          <w:sz w:val="24"/>
          <w:szCs w:val="24"/>
          <w:vertAlign w:val="subscript"/>
        </w:rPr>
        <w:instrText xml:space="preserve">6,700 to </w:instrText>
      </w:r>
      <w:r w:rsidR="000475E4">
        <w:rPr>
          <w:rFonts w:ascii="Cambria Math" w:hAnsi="Cambria Math" w:cs="Cambria Math"/>
          <w:sz w:val="24"/>
          <w:szCs w:val="24"/>
          <w:vertAlign w:val="subscript"/>
        </w:rPr>
        <w:instrText>∼</w:instrText>
      </w:r>
      <w:r w:rsidR="000475E4">
        <w:rPr>
          <w:rFonts w:ascii="Times New Roman" w:hAnsi="Times New Roman" w:cs="Times New Roman"/>
          <w:sz w:val="24"/>
          <w:szCs w:val="24"/>
          <w:vertAlign w:val="subscript"/>
        </w:rPr>
        <w:instrText xml:space="preserve">1,000 cal BP) reveal an adequate protein incorporation and, on the coast, the continuation in subsistence strategies based on the exploitation of aquatic resources despite the introduction of pottery and domesticated plant foods. These results are supported by carbon isotope analysis of single amino acid extracted from bone collagen. Chemical and isotopic analysis also shows that pottery technology was used to process marine foods and therefore assimilated into the existing subsistence strategy. Our multidisciplinary results demonstrate the resilient character of the coastal economy to cultural change during the late Holocene in southern Brazil.","container-title":"PLOS ONE","DOI":"10.1371/journal.pone.0093854","ISSN":"1932-6203","issue":"4","journalAbbreviation":"PLOS ONE","language":"en","note":"publisher: Public Library of Science","page":"e93854","source":"PLoS Journals","title":"Long-Term Resilience of Late Holocene Coastal Subsistence System in Southeastern South America","volume":"9","author":[{"family":"Colonese","given":"André Carlo"},{"family":"Collins","given":"Matthew"},{"family":"Lucquin","given":"Alexandre"},{"family":"Eustace","given":"Michael"},{"family":"Hancock","given":"Y."},{"family":"Ponzoni","given":"Raquel de Almeida Rocha"},{"family":"Mora","given":"Alice"},{"family":"Smith","given":"Colin"},{"family":"DeBlasis","given":"Paulo"},{"family":"Figuti","given":"Levy"},{"family":"Wesolowski","given":"Veronica"},{"family":"Plens","given":"Claudia Regina"},{"family":"Eggers","given":"Sabine"},{"family":"Farias","given":"Deisi Scunderlick Eloy","dropping-particle":"de"},{"family":"Gledhill","given":"Andy"},{"family":"Craig","given":"Oliver Edward"}],"issued":{"date-parts":[["2014",4,9]]}}},{"id":134,"uris":["http://zotero.org/users/7125028/items/AJVBLTT4"],"itemData":{"id":134,"type":"article-journal","abstract":"We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M."}],"issued":{"date-parts":[["2012"]]}}}],"schema":"https://github.com/citation-style-language/schema/raw/master/csl-citation.json"} </w:instrText>
      </w:r>
      <w:r w:rsidR="00557BBE">
        <w:rPr>
          <w:rFonts w:ascii="Times New Roman" w:hAnsi="Times New Roman" w:cs="Times New Roman"/>
          <w:sz w:val="24"/>
          <w:szCs w:val="24"/>
          <w:vertAlign w:val="subscript"/>
        </w:rPr>
        <w:fldChar w:fldCharType="separate"/>
      </w:r>
      <w:r w:rsidR="000475E4" w:rsidRPr="000475E4">
        <w:rPr>
          <w:rFonts w:ascii="Times New Roman" w:hAnsi="Times New Roman" w:cs="Times New Roman"/>
          <w:sz w:val="24"/>
          <w:szCs w:val="24"/>
          <w:vertAlign w:val="superscript"/>
        </w:rPr>
        <w:t>20,21</w:t>
      </w:r>
      <w:r w:rsidR="00557BBE">
        <w:rPr>
          <w:rFonts w:ascii="Times New Roman" w:hAnsi="Times New Roman" w:cs="Times New Roman"/>
          <w:sz w:val="24"/>
          <w:szCs w:val="24"/>
          <w:vertAlign w:val="subscript"/>
        </w:rPr>
        <w:fldChar w:fldCharType="end"/>
      </w:r>
    </w:p>
    <w:p w14:paraId="0AEA50CD" w14:textId="7B60706D" w:rsidR="004E6C7F" w:rsidRPr="00D70D43" w:rsidRDefault="004E6C7F" w:rsidP="004459A5">
      <w:pPr>
        <w:spacing w:after="0" w:line="360" w:lineRule="auto"/>
        <w:jc w:val="center"/>
        <w:rPr>
          <w:rFonts w:ascii="Times New Roman" w:eastAsia="Times New Roman" w:hAnsi="Times New Roman" w:cs="Times New Roman"/>
          <w:b/>
          <w:sz w:val="24"/>
          <w:szCs w:val="24"/>
        </w:rPr>
      </w:pPr>
      <w:r w:rsidRPr="00D70D43">
        <w:rPr>
          <w:rFonts w:ascii="Times New Roman" w:hAnsi="Times New Roman" w:cs="Times New Roman"/>
          <w:noProof/>
          <w:sz w:val="24"/>
          <w:szCs w:val="24"/>
          <w:lang w:val="fr-CA" w:eastAsia="fr-CA"/>
        </w:rPr>
        <w:lastRenderedPageBreak/>
        <w:drawing>
          <wp:inline distT="0" distB="0" distL="0" distR="0" wp14:anchorId="38D1759D" wp14:editId="71EA6F01">
            <wp:extent cx="3205442" cy="301155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05442" cy="3011556"/>
                    </a:xfrm>
                    <a:prstGeom prst="rect">
                      <a:avLst/>
                    </a:prstGeom>
                    <a:noFill/>
                  </pic:spPr>
                </pic:pic>
              </a:graphicData>
            </a:graphic>
          </wp:inline>
        </w:drawing>
      </w:r>
    </w:p>
    <w:p w14:paraId="6472307D" w14:textId="15413108" w:rsidR="004E6C7F" w:rsidRPr="0064579A" w:rsidRDefault="004E6C7F" w:rsidP="004E6C7F">
      <w:pPr>
        <w:autoSpaceDE w:val="0"/>
        <w:autoSpaceDN w:val="0"/>
        <w:adjustRightInd w:val="0"/>
        <w:spacing w:after="0" w:line="240" w:lineRule="auto"/>
        <w:rPr>
          <w:rFonts w:ascii="Times New Roman" w:hAnsi="Times New Roman" w:cs="Times New Roman"/>
          <w:iCs/>
          <w:sz w:val="24"/>
          <w:szCs w:val="24"/>
        </w:rPr>
      </w:pPr>
      <w:r w:rsidRPr="00D70D43">
        <w:rPr>
          <w:rFonts w:ascii="Times New Roman" w:eastAsia="Times New Roman" w:hAnsi="Times New Roman" w:cs="Times New Roman"/>
          <w:b/>
          <w:sz w:val="24"/>
          <w:szCs w:val="24"/>
        </w:rPr>
        <w:t xml:space="preserve">Figure </w:t>
      </w:r>
      <w:r w:rsidR="008B4920">
        <w:rPr>
          <w:rFonts w:ascii="Times New Roman" w:eastAsia="Times New Roman" w:hAnsi="Times New Roman" w:cs="Times New Roman"/>
          <w:b/>
          <w:sz w:val="24"/>
          <w:szCs w:val="24"/>
        </w:rPr>
        <w:t>S</w:t>
      </w:r>
      <w:r w:rsidR="00E61341">
        <w:rPr>
          <w:rFonts w:ascii="Times New Roman" w:eastAsia="Times New Roman" w:hAnsi="Times New Roman" w:cs="Times New Roman"/>
          <w:b/>
          <w:sz w:val="24"/>
          <w:szCs w:val="24"/>
        </w:rPr>
        <w:t>2</w:t>
      </w:r>
      <w:r w:rsidR="008B4920">
        <w:rPr>
          <w:rFonts w:ascii="Times New Roman" w:eastAsia="Times New Roman" w:hAnsi="Times New Roman" w:cs="Times New Roman"/>
          <w:b/>
          <w:sz w:val="24"/>
          <w:szCs w:val="24"/>
        </w:rPr>
        <w:t>.1</w:t>
      </w:r>
      <w:r w:rsidRPr="00D70D43">
        <w:rPr>
          <w:rFonts w:ascii="Times New Roman" w:hAnsi="Times New Roman" w:cs="Times New Roman"/>
          <w:i/>
          <w:iCs/>
          <w:sz w:val="24"/>
          <w:szCs w:val="24"/>
        </w:rPr>
        <w:t xml:space="preserve">: </w:t>
      </w:r>
      <w:r w:rsidRPr="00EC7861">
        <w:rPr>
          <w:rFonts w:ascii="Times New Roman" w:hAnsi="Times New Roman" w:cs="Times New Roman"/>
          <w:sz w:val="24"/>
          <w:szCs w:val="24"/>
        </w:rPr>
        <w:t>A schematic illustration showing the expected Carbon isotopic composition on Valine and Phenylalanine for different dietary types (C3, C4, high Marine Protein Consumer and freshwater protein consumers</w:t>
      </w:r>
      <w:r w:rsidR="008B4920" w:rsidRPr="00EC7861">
        <w:rPr>
          <w:rFonts w:ascii="Times New Roman" w:hAnsi="Times New Roman" w:cs="Times New Roman"/>
          <w:sz w:val="24"/>
          <w:szCs w:val="24"/>
        </w:rPr>
        <w:t xml:space="preserve"> </w:t>
      </w:r>
      <w:r w:rsidR="002678F9" w:rsidRPr="00EC7861">
        <w:rPr>
          <w:rFonts w:ascii="Times New Roman" w:hAnsi="Times New Roman" w:cs="Times New Roman"/>
          <w:sz w:val="24"/>
          <w:szCs w:val="24"/>
        </w:rPr>
        <w:t xml:space="preserve">(After </w:t>
      </w:r>
      <w:proofErr w:type="spellStart"/>
      <w:r w:rsidR="002678F9" w:rsidRPr="00EC7861">
        <w:rPr>
          <w:rFonts w:ascii="Times New Roman" w:hAnsi="Times New Roman" w:cs="Times New Roman"/>
          <w:sz w:val="24"/>
          <w:szCs w:val="24"/>
        </w:rPr>
        <w:t>Honch</w:t>
      </w:r>
      <w:proofErr w:type="spellEnd"/>
      <w:r w:rsidR="002678F9" w:rsidRPr="00EC7861">
        <w:rPr>
          <w:rFonts w:ascii="Times New Roman" w:hAnsi="Times New Roman" w:cs="Times New Roman"/>
          <w:sz w:val="24"/>
          <w:szCs w:val="24"/>
        </w:rPr>
        <w:t xml:space="preserve"> et al. 2012)</w:t>
      </w:r>
      <w:r w:rsidR="00EC7861">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{"citationID":"dnq9buVs","properties":{"formattedCitation":"\\super 20\\nosupersub{}","plainCitation":"20","noteIndex":0},"citationItems":[{"id":134,"uris":["http://zotero.org/users/7125028/items/AJVBLTT4"],"itemData":{"id":134,"type":"article-journal","abstract":"We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M."}],"issued":{"date-parts":[["2012"]]}}}],"schema":"https://github.com/citation-style-language/schema/raw/master/csl-citation.json"} </w:instrText>
      </w:r>
      <w:r w:rsidR="00EC7861">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20</w:t>
      </w:r>
      <w:r w:rsidR="00EC7861">
        <w:rPr>
          <w:rFonts w:ascii="Times New Roman" w:hAnsi="Times New Roman" w:cs="Times New Roman"/>
          <w:sz w:val="24"/>
          <w:szCs w:val="24"/>
        </w:rPr>
        <w:fldChar w:fldCharType="end"/>
      </w:r>
      <w:r w:rsidRPr="00EC7861">
        <w:rPr>
          <w:rFonts w:ascii="Times New Roman" w:hAnsi="Times New Roman" w:cs="Times New Roman"/>
          <w:sz w:val="24"/>
          <w:szCs w:val="24"/>
        </w:rPr>
        <w:t>.</w:t>
      </w:r>
    </w:p>
    <w:p w14:paraId="6E326297" w14:textId="4AAEC3DF" w:rsidR="004459A5" w:rsidRDefault="008D1A11" w:rsidP="004E6C7F">
      <w:pPr>
        <w:spacing w:after="0" w:line="360" w:lineRule="auto"/>
        <w:rPr>
          <w:rFonts w:asciiTheme="majorBidi" w:hAnsiTheme="majorBidi" w:cstheme="majorBidi"/>
          <w:i/>
          <w:iCs/>
        </w:rPr>
      </w:pPr>
      <w:r>
        <w:rPr>
          <w:noProof/>
          <w:lang w:val="fr-CA" w:eastAsia="fr-CA"/>
        </w:rPr>
        <w:drawing>
          <wp:anchor distT="0" distB="0" distL="114300" distR="114300" simplePos="0" relativeHeight="251666432" behindDoc="1" locked="0" layoutInCell="1" allowOverlap="1" wp14:anchorId="1F9B1080" wp14:editId="07B3C977">
            <wp:simplePos x="0" y="0"/>
            <wp:positionH relativeFrom="column">
              <wp:posOffset>-247015</wp:posOffset>
            </wp:positionH>
            <wp:positionV relativeFrom="paragraph">
              <wp:posOffset>279400</wp:posOffset>
            </wp:positionV>
            <wp:extent cx="2909570" cy="3072130"/>
            <wp:effectExtent l="0" t="0" r="5080" b="0"/>
            <wp:wrapTight wrapText="bothSides">
              <wp:wrapPolygon edited="0">
                <wp:start x="0" y="0"/>
                <wp:lineTo x="0" y="21430"/>
                <wp:lineTo x="21496" y="21430"/>
                <wp:lineTo x="21496" y="0"/>
                <wp:lineTo x="0" y="0"/>
              </wp:wrapPolygon>
            </wp:wrapTight>
            <wp:docPr id="17" name="Picture 15" descr="Fi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09570" cy="30721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noProof/>
          <w:sz w:val="24"/>
          <w:szCs w:val="24"/>
          <w:lang w:val="fr-CA" w:eastAsia="fr-CA"/>
        </w:rPr>
        <w:drawing>
          <wp:anchor distT="0" distB="0" distL="114300" distR="114300" simplePos="0" relativeHeight="251665408" behindDoc="0" locked="0" layoutInCell="1" allowOverlap="1" wp14:anchorId="341339BC" wp14:editId="0E185EB8">
            <wp:simplePos x="0" y="0"/>
            <wp:positionH relativeFrom="column">
              <wp:posOffset>2798445</wp:posOffset>
            </wp:positionH>
            <wp:positionV relativeFrom="paragraph">
              <wp:posOffset>247650</wp:posOffset>
            </wp:positionV>
            <wp:extent cx="3340100" cy="3355340"/>
            <wp:effectExtent l="0" t="0" r="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40100" cy="3355340"/>
                    </a:xfrm>
                    <a:prstGeom prst="rect">
                      <a:avLst/>
                    </a:prstGeom>
                    <a:noFill/>
                  </pic:spPr>
                </pic:pic>
              </a:graphicData>
            </a:graphic>
            <wp14:sizeRelH relativeFrom="margin">
              <wp14:pctWidth>0</wp14:pctWidth>
            </wp14:sizeRelH>
            <wp14:sizeRelV relativeFrom="margin">
              <wp14:pctHeight>0</wp14:pctHeight>
            </wp14:sizeRelV>
          </wp:anchor>
        </w:drawing>
      </w:r>
    </w:p>
    <w:p w14:paraId="12CD4E71" w14:textId="3E7D2675" w:rsidR="004459A5" w:rsidRDefault="004459A5" w:rsidP="004E6C7F">
      <w:pPr>
        <w:spacing w:after="0" w:line="360" w:lineRule="auto"/>
        <w:rPr>
          <w:rFonts w:asciiTheme="majorBidi" w:hAnsiTheme="majorBidi" w:cstheme="majorBidi"/>
          <w:i/>
          <w:iCs/>
        </w:rPr>
      </w:pPr>
    </w:p>
    <w:p w14:paraId="6DFD47BC" w14:textId="77777777" w:rsidR="004459A5" w:rsidRDefault="004459A5" w:rsidP="004E6C7F">
      <w:pPr>
        <w:spacing w:after="0" w:line="360" w:lineRule="auto"/>
        <w:rPr>
          <w:rFonts w:asciiTheme="majorBidi" w:hAnsiTheme="majorBidi" w:cstheme="majorBidi"/>
          <w:i/>
          <w:iCs/>
        </w:rPr>
      </w:pPr>
    </w:p>
    <w:p w14:paraId="7FC76CCA" w14:textId="59544549" w:rsidR="008D1A11" w:rsidRPr="00837F62" w:rsidRDefault="00207DD4" w:rsidP="00711200">
      <w:pPr>
        <w:spacing w:line="360" w:lineRule="auto"/>
        <w:rPr>
          <w:rFonts w:ascii="Times New Roman" w:hAnsi="Times New Roman" w:cs="Times New Roman"/>
          <w:sz w:val="24"/>
          <w:szCs w:val="24"/>
        </w:rPr>
      </w:pPr>
      <w:r w:rsidRPr="00A05E4F">
        <w:rPr>
          <w:rFonts w:asciiTheme="majorBidi" w:hAnsiTheme="majorBidi" w:cstheme="majorBidi"/>
          <w:b/>
          <w:iCs/>
          <w:sz w:val="24"/>
          <w:szCs w:val="24"/>
        </w:rPr>
        <w:t xml:space="preserve">Figure S2.2 </w:t>
      </w:r>
      <w:r w:rsidR="00290A23" w:rsidRPr="00A05E4F">
        <w:rPr>
          <w:rFonts w:asciiTheme="majorBidi" w:hAnsiTheme="majorBidi" w:cstheme="majorBidi"/>
          <w:b/>
          <w:iCs/>
          <w:sz w:val="24"/>
          <w:szCs w:val="24"/>
        </w:rPr>
        <w:t>:</w:t>
      </w:r>
      <w:r w:rsidR="00290A23" w:rsidRPr="00A05E4F">
        <w:rPr>
          <w:rFonts w:asciiTheme="majorBidi" w:hAnsiTheme="majorBidi" w:cstheme="majorBidi"/>
          <w:i/>
          <w:iCs/>
          <w:sz w:val="24"/>
          <w:szCs w:val="24"/>
        </w:rPr>
        <w:t xml:space="preserve"> </w:t>
      </w:r>
      <w:r w:rsidR="008D1A11" w:rsidRPr="00A05E4F">
        <w:rPr>
          <w:rFonts w:asciiTheme="majorBidi" w:hAnsiTheme="majorBidi" w:cstheme="majorBidi"/>
          <w:i/>
          <w:iCs/>
          <w:sz w:val="24"/>
          <w:szCs w:val="24"/>
        </w:rPr>
        <w:t xml:space="preserve">: </w:t>
      </w:r>
      <w:r w:rsidR="008D1A11" w:rsidRPr="00837F62">
        <w:rPr>
          <w:rFonts w:ascii="Times New Roman" w:hAnsi="Times New Roman" w:cs="Times New Roman"/>
          <w:sz w:val="24"/>
          <w:szCs w:val="24"/>
        </w:rPr>
        <w:t xml:space="preserve">On the left: Schematic illustration of the relationship between the nitrogen isotope ratio of source and trophic amino acids and </w:t>
      </w:r>
      <w:hyperlink r:id="rId15" w:tooltip="Learn more about Trophic Level from ScienceDirect's AI-generated Topic Pages" w:history="1">
        <w:r w:rsidR="008D1A11" w:rsidRPr="00E962AA">
          <w:rPr>
            <w:rFonts w:ascii="Times New Roman" w:hAnsi="Times New Roman" w:cs="Times New Roman"/>
            <w:sz w:val="24"/>
            <w:szCs w:val="24"/>
          </w:rPr>
          <w:t>trophic level</w:t>
        </w:r>
      </w:hyperlink>
      <w:r w:rsidR="008D1A11" w:rsidRPr="00837F62">
        <w:rPr>
          <w:rFonts w:ascii="Times New Roman" w:hAnsi="Times New Roman" w:cs="Times New Roman"/>
          <w:sz w:val="24"/>
          <w:szCs w:val="24"/>
        </w:rPr>
        <w:t xml:space="preserve"> (TL) in a food web (altered </w:t>
      </w:r>
      <w:r w:rsidR="008D1A11" w:rsidRPr="00837F62">
        <w:rPr>
          <w:rFonts w:ascii="Times New Roman" w:hAnsi="Times New Roman" w:cs="Times New Roman"/>
          <w:sz w:val="24"/>
          <w:szCs w:val="24"/>
        </w:rPr>
        <w:lastRenderedPageBreak/>
        <w:t>from</w:t>
      </w:r>
      <w:r w:rsidR="00EC7861" w:rsidRPr="00837F62">
        <w:rPr>
          <w:rFonts w:ascii="Times New Roman" w:hAnsi="Times New Roman" w:cs="Times New Roman"/>
          <w:sz w:val="24"/>
          <w:szCs w:val="24"/>
        </w:rPr>
        <w:t xml:space="preserve"> </w:t>
      </w:r>
      <w:proofErr w:type="spellStart"/>
      <w:r w:rsidR="00EC7861" w:rsidRPr="00837F62">
        <w:rPr>
          <w:rFonts w:ascii="Times New Roman" w:hAnsi="Times New Roman" w:cs="Times New Roman"/>
          <w:sz w:val="24"/>
          <w:szCs w:val="24"/>
        </w:rPr>
        <w:t>Chikarai</w:t>
      </w:r>
      <w:r w:rsidR="00711200" w:rsidRPr="00837F62">
        <w:rPr>
          <w:rFonts w:ascii="Times New Roman" w:hAnsi="Times New Roman" w:cs="Times New Roman"/>
          <w:sz w:val="24"/>
          <w:szCs w:val="24"/>
        </w:rPr>
        <w:t>shi</w:t>
      </w:r>
      <w:proofErr w:type="spellEnd"/>
      <w:r w:rsidR="00711200" w:rsidRPr="00837F62">
        <w:rPr>
          <w:rFonts w:ascii="Times New Roman" w:hAnsi="Times New Roman" w:cs="Times New Roman"/>
          <w:sz w:val="24"/>
          <w:szCs w:val="24"/>
        </w:rPr>
        <w:t xml:space="preserve"> et al., 2010</w:t>
      </w:r>
      <w:r w:rsidR="008D1A11" w:rsidRPr="009F59AA">
        <w:rPr>
          <w:rFonts w:ascii="Times New Roman" w:hAnsi="Times New Roman" w:cs="Times New Roman"/>
          <w:sz w:val="24"/>
          <w:szCs w:val="24"/>
        </w:rPr>
        <w:t>)</w:t>
      </w:r>
      <w:r w:rsidR="00711200" w:rsidRPr="00837F62">
        <w:rPr>
          <w:rFonts w:ascii="Times New Roman" w:hAnsi="Times New Roman" w:cs="Times New Roman"/>
          <w:sz w:val="24"/>
          <w:szCs w:val="24"/>
        </w:rPr>
        <w:fldChar w:fldCharType="begin"/>
      </w:r>
      <w:r w:rsidR="000475E4" w:rsidRPr="00E962AA">
        <w:rPr>
          <w:rFonts w:ascii="Times New Roman" w:hAnsi="Times New Roman" w:cs="Times New Roman"/>
          <w:sz w:val="24"/>
          <w:szCs w:val="24"/>
        </w:rPr>
        <w:instrText xml:space="preserve"> ADDIN ZOTERO_ITEM CSL_CITATION {"citationID":"zTLTarBC","properties":{"formattedCitation":"\\super 19\\nosupersub{}","plainCitation":"19","noteIndex":0},"citationItems":[{"id":133,"uris":["http://zotero.org/users/7125028/items/8ZH69USL"],"itemData":{"id":133,"type":"article-journal","container-title":"Earth, Life, and Isotopes","journalAbbreviation":"Earth, Life, and Isotopes","page":"37-51","source":"ResearchGate","title":"Further evaluation of the trophic level estimation based on nitrogen isotopic composition of amino acids","author":[{"family":"Chikaraishi","given":"Y."},{"family":"Ogawa","given":"Nanako"},{"family":"Ohkouchi","given":"Naohiko"}],"issued":{"date-parts":[["2010",1,1]]}}}],"schema":"https://github.com/citation-style-language/schema/raw/master/csl-citation.json"} </w:instrText>
      </w:r>
      <w:r w:rsidR="00711200" w:rsidRPr="00837F62">
        <w:rPr>
          <w:rFonts w:ascii="Times New Roman" w:hAnsi="Times New Roman" w:cs="Times New Roman"/>
          <w:sz w:val="24"/>
          <w:szCs w:val="24"/>
        </w:rPr>
        <w:fldChar w:fldCharType="separate"/>
      </w:r>
      <w:r w:rsidR="000475E4" w:rsidRPr="00837F62">
        <w:rPr>
          <w:rFonts w:ascii="Times New Roman" w:hAnsi="Times New Roman" w:cs="Times New Roman"/>
          <w:sz w:val="24"/>
          <w:szCs w:val="24"/>
          <w:vertAlign w:val="superscript"/>
        </w:rPr>
        <w:t>19</w:t>
      </w:r>
      <w:r w:rsidR="00711200" w:rsidRPr="00837F62">
        <w:rPr>
          <w:rFonts w:ascii="Times New Roman" w:hAnsi="Times New Roman" w:cs="Times New Roman"/>
          <w:sz w:val="24"/>
          <w:szCs w:val="24"/>
        </w:rPr>
        <w:fldChar w:fldCharType="end"/>
      </w:r>
      <w:r w:rsidR="008D1A11" w:rsidRPr="00837F62">
        <w:rPr>
          <w:rFonts w:ascii="Times New Roman" w:hAnsi="Times New Roman" w:cs="Times New Roman"/>
          <w:sz w:val="24"/>
          <w:szCs w:val="24"/>
        </w:rPr>
        <w:t xml:space="preserve">. β indicates the offset between the nitrogen isotope ratio of the trophic amino acid and the source amino acid in a primary producer. On the right: Schematic illustration of the relationship between animal trophic position and nitrogen isotopic composition of </w:t>
      </w:r>
      <w:hyperlink r:id="rId16" w:history="1">
        <w:r w:rsidR="008D1A11" w:rsidRPr="00E962AA">
          <w:rPr>
            <w:rFonts w:ascii="Times New Roman" w:hAnsi="Times New Roman" w:cs="Times New Roman"/>
            <w:sz w:val="24"/>
            <w:szCs w:val="24"/>
          </w:rPr>
          <w:t>glutamic acid</w:t>
        </w:r>
      </w:hyperlink>
      <w:r w:rsidR="008D1A11" w:rsidRPr="00837F62">
        <w:rPr>
          <w:rFonts w:ascii="Times New Roman" w:hAnsi="Times New Roman" w:cs="Times New Roman"/>
          <w:sz w:val="24"/>
          <w:szCs w:val="24"/>
        </w:rPr>
        <w:t xml:space="preserve"> and </w:t>
      </w:r>
      <w:hyperlink r:id="rId17" w:history="1">
        <w:r w:rsidR="008D1A11" w:rsidRPr="00E962AA">
          <w:rPr>
            <w:rFonts w:ascii="Times New Roman" w:hAnsi="Times New Roman" w:cs="Times New Roman"/>
            <w:sz w:val="24"/>
            <w:szCs w:val="24"/>
          </w:rPr>
          <w:t>phenylalanine</w:t>
        </w:r>
      </w:hyperlink>
      <w:r w:rsidR="008D1A11" w:rsidRPr="00837F62">
        <w:rPr>
          <w:rFonts w:ascii="Times New Roman" w:hAnsi="Times New Roman" w:cs="Times New Roman"/>
          <w:sz w:val="24"/>
          <w:szCs w:val="24"/>
        </w:rPr>
        <w:t xml:space="preserve"> a </w:t>
      </w:r>
      <w:hyperlink r:id="rId18" w:history="1">
        <w:r w:rsidR="008D1A11" w:rsidRPr="00E962AA">
          <w:rPr>
            <w:rFonts w:ascii="Times New Roman" w:hAnsi="Times New Roman" w:cs="Times New Roman"/>
            <w:sz w:val="24"/>
            <w:szCs w:val="24"/>
          </w:rPr>
          <w:t xml:space="preserve">terrestrial </w:t>
        </w:r>
      </w:hyperlink>
      <w:hyperlink r:id="rId19" w:history="1">
        <w:r w:rsidR="008D1A11" w:rsidRPr="00E962AA">
          <w:rPr>
            <w:rFonts w:ascii="Times New Roman" w:hAnsi="Times New Roman" w:cs="Times New Roman"/>
            <w:sz w:val="24"/>
            <w:szCs w:val="24"/>
          </w:rPr>
          <w:t>ecosystem</w:t>
        </w:r>
      </w:hyperlink>
      <w:r w:rsidR="008D1A11" w:rsidRPr="00837F62">
        <w:rPr>
          <w:rFonts w:ascii="Times New Roman" w:hAnsi="Times New Roman" w:cs="Times New Roman"/>
          <w:sz w:val="24"/>
          <w:szCs w:val="24"/>
        </w:rPr>
        <w:t xml:space="preserve"> β indicate trophic position in an ecosystem for terrestrial plants was estimated to be −8.4‰</w:t>
      </w:r>
      <w:r w:rsidR="00711200" w:rsidRPr="00837F62">
        <w:rPr>
          <w:rFonts w:ascii="Times New Roman" w:hAnsi="Times New Roman" w:cs="Times New Roman"/>
          <w:sz w:val="24"/>
          <w:szCs w:val="24"/>
        </w:rPr>
        <w:fldChar w:fldCharType="begin"/>
      </w:r>
      <w:r w:rsidR="000475E4" w:rsidRPr="00E962AA">
        <w:rPr>
          <w:rFonts w:ascii="Times New Roman" w:hAnsi="Times New Roman" w:cs="Times New Roman"/>
          <w:sz w:val="24"/>
          <w:szCs w:val="24"/>
        </w:rPr>
        <w:instrText xml:space="preserve"> ADDIN ZOTERO_ITEM CSL_CITATION {"citationID":"wr8CnSYz","properties":{"formattedCitation":"\\super 19\\nosupersub{}","plainCitation":"19","noteIndex":0},"citationItems":[{"id":133,"uris":["http://zotero.org/users/7125028/items/8ZH69USL"],"itemData":{"id":133,"type":"article-journal","container-title":"Earth, Life, and Isotopes","journalAbbreviation":"Earth, Life, and Isotopes","page":"37-51","source":"ResearchGate","title":"Further evaluation of the trophic level estimation based on nitrogen isotopic composition of amino acids","author":[{"family":"Chikaraishi","given":"Y."},{"family":"Ogawa","given":"Nanako"},{"family":"Ohkouchi","given":"Naohiko"}],"issued":{"date-parts":[["2010",1,1]]}}}],"schema":"https://github.com/citation-style-language/schema/raw/master/csl-citation.json"} </w:instrText>
      </w:r>
      <w:r w:rsidR="00711200" w:rsidRPr="00837F62">
        <w:rPr>
          <w:rFonts w:ascii="Times New Roman" w:hAnsi="Times New Roman" w:cs="Times New Roman"/>
          <w:sz w:val="24"/>
          <w:szCs w:val="24"/>
        </w:rPr>
        <w:fldChar w:fldCharType="separate"/>
      </w:r>
      <w:r w:rsidR="000475E4" w:rsidRPr="00837F62">
        <w:rPr>
          <w:rFonts w:ascii="Times New Roman" w:hAnsi="Times New Roman" w:cs="Times New Roman"/>
          <w:sz w:val="24"/>
          <w:szCs w:val="24"/>
          <w:vertAlign w:val="superscript"/>
        </w:rPr>
        <w:t>19</w:t>
      </w:r>
      <w:r w:rsidR="00711200" w:rsidRPr="00837F62">
        <w:rPr>
          <w:rFonts w:ascii="Times New Roman" w:hAnsi="Times New Roman" w:cs="Times New Roman"/>
          <w:sz w:val="24"/>
          <w:szCs w:val="24"/>
        </w:rPr>
        <w:fldChar w:fldCharType="end"/>
      </w:r>
      <w:r w:rsidR="00711200" w:rsidRPr="00837F62">
        <w:rPr>
          <w:rFonts w:ascii="Times New Roman" w:hAnsi="Times New Roman" w:cs="Times New Roman"/>
          <w:sz w:val="24"/>
          <w:szCs w:val="24"/>
        </w:rPr>
        <w:t>.</w:t>
      </w:r>
      <w:r w:rsidR="008D1A11" w:rsidRPr="00837F62">
        <w:rPr>
          <w:rFonts w:ascii="Times New Roman" w:hAnsi="Times New Roman" w:cs="Times New Roman"/>
          <w:sz w:val="24"/>
          <w:szCs w:val="24"/>
        </w:rPr>
        <w:t xml:space="preserve"> </w:t>
      </w:r>
    </w:p>
    <w:p w14:paraId="00000030" w14:textId="1F27F2A0" w:rsidR="00784AF4" w:rsidRDefault="00784AF4" w:rsidP="004E6C7F">
      <w:pPr>
        <w:spacing w:after="0" w:line="360" w:lineRule="auto"/>
        <w:rPr>
          <w:rFonts w:ascii="Times New Roman" w:eastAsia="Times New Roman" w:hAnsi="Times New Roman" w:cs="Times New Roman"/>
          <w:sz w:val="24"/>
          <w:szCs w:val="24"/>
        </w:rPr>
      </w:pPr>
    </w:p>
    <w:p w14:paraId="5A93A2B0" w14:textId="77777777" w:rsidR="00E962AA" w:rsidRPr="00D70D43" w:rsidRDefault="00E962AA" w:rsidP="004E6C7F">
      <w:pPr>
        <w:spacing w:after="0" w:line="360" w:lineRule="auto"/>
        <w:rPr>
          <w:rFonts w:ascii="Times New Roman" w:eastAsia="Times New Roman" w:hAnsi="Times New Roman" w:cs="Times New Roman"/>
          <w:sz w:val="24"/>
          <w:szCs w:val="24"/>
        </w:rPr>
      </w:pPr>
    </w:p>
    <w:p w14:paraId="00000031" w14:textId="06D218C8" w:rsidR="00784AF4" w:rsidRPr="0064579A" w:rsidRDefault="0003068C" w:rsidP="004E6C7F">
      <w:pPr>
        <w:spacing w:after="0" w:line="360" w:lineRule="auto"/>
        <w:rPr>
          <w:rFonts w:ascii="Times New Roman" w:eastAsia="Times New Roman" w:hAnsi="Times New Roman" w:cs="Times New Roman"/>
          <w:b/>
          <w:i/>
          <w:sz w:val="24"/>
          <w:szCs w:val="24"/>
        </w:rPr>
      </w:pPr>
      <w:bookmarkStart w:id="6" w:name="_Hlk121128325"/>
      <w:r w:rsidRPr="0064579A">
        <w:rPr>
          <w:rFonts w:ascii="Times New Roman" w:eastAsia="Times New Roman" w:hAnsi="Times New Roman" w:cs="Times New Roman"/>
          <w:b/>
          <w:i/>
          <w:sz w:val="24"/>
          <w:szCs w:val="24"/>
        </w:rPr>
        <w:t>2.</w:t>
      </w:r>
      <w:r w:rsidR="004B143B">
        <w:rPr>
          <w:rFonts w:ascii="Times New Roman" w:eastAsia="Times New Roman" w:hAnsi="Times New Roman" w:cs="Times New Roman"/>
          <w:b/>
          <w:i/>
          <w:sz w:val="24"/>
          <w:szCs w:val="24"/>
        </w:rPr>
        <w:t xml:space="preserve">2  </w:t>
      </w:r>
      <w:r w:rsidRPr="0064579A">
        <w:rPr>
          <w:rFonts w:ascii="Times New Roman" w:eastAsia="Times New Roman" w:hAnsi="Times New Roman" w:cs="Times New Roman"/>
          <w:b/>
          <w:i/>
          <w:sz w:val="24"/>
          <w:szCs w:val="24"/>
        </w:rPr>
        <w:t xml:space="preserve"> Zinc isotope ratios: a dietary tracer retrieved from dental enamel</w:t>
      </w:r>
    </w:p>
    <w:bookmarkEnd w:id="6"/>
    <w:p w14:paraId="7BBCEE82" w14:textId="77AABAD5" w:rsidR="002D203B" w:rsidRPr="00D70D43" w:rsidRDefault="00643A30" w:rsidP="008B4920">
      <w:pPr>
        <w:spacing w:after="0" w:line="360" w:lineRule="auto"/>
        <w:ind w:firstLine="720"/>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Dental enamel appeared to be less affected by diagenesis than bone collagen, therefore, investigations of the new isotopic systems have been established on the hydroxyapatite </w:t>
      </w:r>
      <w:r w:rsidRPr="00D70D43">
        <w:rPr>
          <w:rFonts w:ascii="Times New Roman" w:hAnsi="Times New Roman" w:cs="Times New Roman"/>
          <w:sz w:val="24"/>
          <w:szCs w:val="24"/>
        </w:rPr>
        <w:t>Ca₁₀(PO₄) ₆(OH)₂</w:t>
      </w:r>
      <w:r w:rsidRPr="00D70D43">
        <w:rPr>
          <w:rFonts w:ascii="Times New Roman" w:eastAsia="Times New Roman" w:hAnsi="Times New Roman" w:cs="Times New Roman"/>
          <w:sz w:val="24"/>
          <w:szCs w:val="24"/>
        </w:rPr>
        <w:t xml:space="preserve"> of tooth tissues. The isotopic composition of Zn in human and animal tissues appears to be strongly related to diet</w:t>
      </w:r>
      <w:r w:rsidR="00557BBE">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{"citationID":"EhCWW3f1","properties":{"formattedCitation":"\\super 22\\uc0\\u8211{}26\\nosupersub{}","plainCitation":"22–26","noteIndex":0},"citationItems":[{"id":604,"uris":["http://zotero.org/users/7125028/items/NQZASCL3"],"itemData":{"id":604,"type":"article-journal","abstract":"Tam Pà Ling, a cave site in northeastern Laos, has yielded the earliest skeletal evidence of Homo sapiens in mainland Southeast Asia. The reliance of Pleistocene humans in rainforest settings on plant or animal resources is still largely unstudied, mainly due to poor collagen preservation in fossils from tropical environments precluding stable nitrogen isotope analysis, the classical trophic level proxy. However, isotopic ratios of zinc (Zn) in bioapatite constitute a promising proxy to infer trophic and dietary information from fossil vertebrates, even under adverse tropical taphonomic conditions. Here, we analyzed the zinc isotope composition (66Zn/64Zn expressed as δ66Zn value) in the enamel of two teeth of the Late Pleistocene (63–46 ka) H. sapiens individual (TPL1) from Tam Pà Ling, as well as 76 mammal teeth from the same site and the nearby Nam Lot cave. The human individual exhibits relatively low enamel δ66Zn values (+0.24‰) consistent with an omnivorous diet, suggesting a dietary reliance on both plant and animal matter. These findings offer direct evidence of the broad utilization of resources from tropical rainforests by one of the earliest known anatomically modern humans in Southeast Asia.","container-title":"Journal of Human Evolution","DOI":"10.1016/j.jhevol.2021.103075","ISSN":"0047-2484","journalAbbreviation":"Journal of Human Evolution","language":"en","page":"103075","source":"ScienceDirect","title":"Trophic ecology of a Late Pleistocene early modern human from tropical Southeast Asia inferred from zinc isotopes","volume":"161","author":[{"family":"Bourgon","given":"Nicolas"},{"family":"Jaouen","given":"Klervia"},{"family":"Bacon","given":"Anne-Marie"},{"family":"Dufour","given":"Elise"},{"family":"McCormack","given":"Jeremy"},{"family":"Tran","given":"N. -Han"},{"family":"Trost","given":"Manuel"},{"family":"Fiorillo","given":"Denis"},{"family":"Dunn","given":"Tyler E."},{"family":"Zanolli","given":"Clément"},{"family":"Zachwieja","given":"Alexandra"},{"family":"Duringer","given":"Philippe"},{"family":"Ponche","given":"Jean-Luc"},{"family":"Boesch","given":"Quentin"},{"family":"Antoine","given":"Pierre-Olivier"},{"family":"Westaway","given":"Kira E."},{"family":"Joannes-Boyau","given":"Renaud"},{"family":"Suzzoni","given":"Eric"},{"family":"Frangeul","given":"Sébastien"},{"family":"Crozier","given":"Françoise"},{"family":"Aubaile","given":"Françoise"},{"family":"Patole-Edoumba","given":"Elise"},{"family":"Luangkhoth","given":"Thonglith"},{"family":"Souksavatdy","given":"Viengkeo"},{"family":"Boualaphane","given":"Souliphane"},{"family":"Sayavonkhamdy","given":"Thongsa"},{"family":"Sichanthongtip","given":"Phonephanh"},{"family":"Sihanam","given":"Daovee"},{"family":"Demeter","given":"Fabrice"},{"family":"Shackelford","given":"Laura L."},{"family":"Hublin","given":"Jean-Jacques"},{"family":"Tütken","given":"Thomas"}],"issued":{"date-parts":[["2021",12,1]]}}},{"id":189,"uris":["http://zotero.org/users/7125028/items/2SID4BZP"],"itemData":{"id":189,"type":"article-journal","container-title":"Proceedings of the National Academy of Sciences","issue":"9","journalAbbreviation":"PNAS","page":"4675-4681","title":"Zinc isotopes in Late Pleistocene fossil teeth from a Southeast Asian cave setting preserve paleodietary information","volume":"117","author":[{"family":"Bourgon","given":"Nicolas"},{"family":"Jaouen","given":"Klervia"},{"family":"Bacon","given":"Anne-Marie"},{"family":"Jochum","given":"Klaus Peter"},{"family":"Dufour","given":"Elise"},{"family":"Duringer","given":"Philippe"},{"family":"Ponche","given":"Jean-Luc"},{"family":"Joannes-Boyau","given":"Renaud"},{"family":"Boesch","given":"Quentin"},{"family":"Antoine","given":"Pierre-Olivier"},{"family":"Hullot","given":"Manon"},{"family":"Weis","given":"Ulrike"},{"family":"Schulz-Kornas","given":"Ellen"},{"family":"Trost","given":"Manuel"},{"family":"Fiorillo","given":"Denis"},{"family":"Demeter","given":"Fabrice"},{"family":"Patole-Edoumba","given":"Elise"},{"family":"Shackelford","given":"Laura L."},{"family":"Dunn","given":"Tyler E."},{"family":"Zachwieja","given":"Alexandra"},{"family":"Duangthongchit","given":"Somoh"},{"family":"Sayavonkhamdy","given":"Thongsa"},{"family":"Sichanthongtip","given":"Phonephanh"},{"family":"Sihanam","given":"Daovee"},{"family":"Souksavatdy","given":"Viengkeo"},{"family":"Hublin","given":"Jean-Jacques"},{"family":"Tütken","given":"Thomas"}],"issued":{"date-parts":[["2020",3,3]]}}},{"id":140,"uris":["http://zotero.org/users/7125028/items/UFBBVEQN"],"itemData":{"id":140,"type":"article-journal","abstract":"In this work, the hypothesis of a possible dietary effect on the isotopic composition of Zn in blood from populations with different feeding habits, i.e. lacto-ovo vegetarians and omnivores, was investigated through isotopic analysis of Zn in common food products by multi-collector ICP – mass spectrometry (MC-ICP-MS). Several certified reference materials (CRMs) were also included in the sample set for comparison purposes. For these CRMs, the isotopic composition of Zn is expressed as δ-values, calculated with respect to both IRMM-3702 and JMC-ZnLyon, as isotopic standards. The range of δ66Zn values observed in food products was approximately 1.9‰. In general, vegetables, cereals and derived products showed an enrichment of the heavier Zn isotopes, whereas a depletion was observed in products of animal origin (meat, fish, egg and semi-skimmed milk), relative to human blood samples. Mussel, however, showed a significant enrichment of the heavier isotopes, which is hypothetically attributed to its accumulation behaviour. Thus, the lower δ66Zn values found in food products of animal origin appear to be reflected in the lower δ66Zn value observed in blood from an omnivorous population compared to that for a vegetarian population.","container-title":"Metallomics","DOI":"10.1039/c3mt00244f","ISSN":"1756-5901","issue":"1","journalAbbreviation":"Metallomics","page":"139-146","source":"Silverchair","title":"Evidence for a possible dietary effect on the isotopic composition of Zn in blood via isotopic analysis of food products by multi-collector ICP-mass spectrometry†","volume":"6","author":[{"family":"Costas-Rodríguez","given":"Marta"},{"family":"Van Heghe","given":"Lana"},{"family":"Vanhaecke","given":"Frank"}],"issued":{"date-parts":[["2014",1,1]]}}},{"id":126,"uris":["http://zotero.org/users/7125028/items/IEYUJ9Z8"],"itemData":{"id":126,"type":"article-journal","abstract":"Here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sidR="000475E4">
        <w:rPr>
          <w:rFonts w:ascii="Cambria Math" w:eastAsia="Times New Roman" w:hAnsi="Cambria Math" w:cs="Cambria Math"/>
          <w:sz w:val="24"/>
          <w:szCs w:val="24"/>
        </w:rPr>
        <w:instrText>∼</w:instrText>
      </w:r>
      <w:r w:rsidR="000475E4">
        <w:rPr>
          <w:rFonts w:ascii="Times New Roman" w:eastAsia="Times New Roman" w:hAnsi="Times New Roman" w:cs="Times New Roman"/>
          <w:sz w:val="24"/>
          <w:szCs w:val="24"/>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P."}],"issued":{"date-parts":[["2016",5,18]]}}}],"schema":"https://github.com/citation-style-language/schema/raw/master/csl-citation.json"} </w:instrText>
      </w:r>
      <w:r w:rsidR="00557BBE">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22–26</w:t>
      </w:r>
      <w:r w:rsidR="00557BBE">
        <w:rPr>
          <w:rFonts w:ascii="Times New Roman" w:eastAsia="Times New Roman" w:hAnsi="Times New Roman" w:cs="Times New Roman"/>
          <w:sz w:val="24"/>
          <w:szCs w:val="24"/>
        </w:rPr>
        <w:fldChar w:fldCharType="end"/>
      </w:r>
      <w:r w:rsidR="00557BBE" w:rsidRPr="0064579A">
        <w:rPr>
          <w:rFonts w:ascii="Times New Roman" w:eastAsia="Times New Roman" w:hAnsi="Times New Roman" w:cs="Times New Roman"/>
          <w:sz w:val="24"/>
          <w:szCs w:val="24"/>
        </w:rPr>
        <w:t>.</w:t>
      </w:r>
      <w:r w:rsidRPr="00D70D43">
        <w:rPr>
          <w:rFonts w:ascii="Times New Roman" w:eastAsia="Times New Roman" w:hAnsi="Times New Roman" w:cs="Times New Roman"/>
          <w:sz w:val="24"/>
          <w:szCs w:val="24"/>
        </w:rPr>
        <w:t xml:space="preserve">They can be analyzed in dental enamel, a tissue very resistant to diagenesis. </w:t>
      </w:r>
    </w:p>
    <w:p w14:paraId="27FB3ECD" w14:textId="0F1EFAD4" w:rsidR="002D203B" w:rsidRPr="000829A5" w:rsidRDefault="002D203B" w:rsidP="008B4920">
      <w:pPr>
        <w:spacing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The variability of the </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w:t>
      </w:r>
      <w:r w:rsidRPr="00D70D43">
        <w:rPr>
          <w:rFonts w:ascii="Times New Roman" w:eastAsia="Times New Roman" w:hAnsi="Times New Roman" w:cs="Times New Roman"/>
          <w:sz w:val="24"/>
          <w:szCs w:val="24"/>
          <w:vertAlign w:val="superscript"/>
        </w:rPr>
        <w:t>64</w:t>
      </w:r>
      <w:r w:rsidRPr="00D70D43">
        <w:rPr>
          <w:rFonts w:ascii="Times New Roman" w:eastAsia="Times New Roman" w:hAnsi="Times New Roman" w:cs="Times New Roman"/>
          <w:sz w:val="24"/>
          <w:szCs w:val="24"/>
        </w:rPr>
        <w:t>Zn ratio (expressed as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 value) in a food web is caused by two main factors. The Zn isotopic composition from the source of intake and the Zn isotopic fractionation within the organism. In the food web, the Zn isotopic composition of primary producers, like plants, comes from the underlying bedrock. However, Zn values of this later can exhibit some variations depending on the nature of local geology</w:t>
      </w:r>
      <w:r w:rsidR="00557BBE">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{"citationID":"1638WyN6","properties":{"formattedCitation":"\\super 23,27\\nosupersub{}","plainCitation":"23,27","noteIndex":0},"citationItems":[{"id":189,"uris":["http://zotero.org/users/7125028/items/2SID4BZP"],"itemData":{"id":189,"type":"article-journal","container-title":"Proceedings of the National Academy of Sciences","issue":"9","journalAbbreviation":"PNAS","page":"4675-4681","title":"Zinc isotopes in Late Pleistocene fossil teeth from a Southeast Asian cave setting preserve paleodietary information","volume":"117","author":[{"family":"Bourgon","given":"Nicolas"},{"family":"Jaouen","given":"Klervia"},{"family":"Bacon","given":"Anne-Marie"},{"family":"Jochum","given":"Klaus Peter"},{"family":"Dufour","given":"Elise"},{"family":"Duringer","given":"Philippe"},{"family":"Ponche","given":"Jean-Luc"},{"family":"Joannes-Boyau","given":"Renaud"},{"family":"Boesch","given":"Quentin"},{"family":"Antoine","given":"Pierre-Olivier"},{"family":"Hullot","given":"Manon"},{"family":"Weis","given":"Ulrike"},{"family":"Schulz-Kornas","given":"Ellen"},{"family":"Trost","given":"Manuel"},{"family":"Fiorillo","given":"Denis"},{"family":"Demeter","given":"Fabrice"},{"family":"Patole-Edoumba","given":"Elise"},{"family":"Shackelford","given":"Laura L."},{"family":"Dunn","given":"Tyler E."},{"family":"Zachwieja","given":"Alexandra"},{"family":"Duangthongchit","given":"Somoh"},{"family":"Sayavonkhamdy","given":"Thongsa"},{"family":"Sichanthongtip","given":"Phonephanh"},{"family":"Sihanam","given":"Daovee"},{"family":"Souksavatdy","given":"Viengkeo"},{"family":"Hublin","given":"Jean-Jacques"},{"family":"Tütken","given":"Thomas"}],"issued":{"date-parts":[["2020",3,3]]}}},{"id":187,"uris":["http://zotero.org/users/7125028/items/5MKWU4L4"],"itemData":{"id":187,"type":"article-journal","abstract":"Zinc (Zn) isotope ratios of dental enamel are a promising tracer for dietary reconstruction in archeology, but its use is still in its infancy. A recent study demonstrated a high risk of Zn contamination from nitrile, and latex gloves used during chemical sample preparation. Here we assess the potential impact of the use of such gloves during enamel sampling on the Zn isotope composition of teeth from a population of early Holocene hunter gatherers from Lapa do Santo, Lagoa Santa, Minas Gerais, Brazil. We first examined the amount of Zn and its isotopic composition released from the gloves used in this study by soaking them in weak nitric acid and water. We compared Zn isotope ratios obtained from teeth that were sampled wearing nitrile, latex or no gloves. Finally, we performed a linear mixed model (LMM) to investigate post hoc the relationship between the gloves used for sampling and the Zn isotope variability in dental enamel. We found that the gloves used in this study released a similar amount of Zn compared to previous work, but only in acidic solution. Zn isotope ratios of teeth and the LMM identified no sign of significant Zn coming from the gloves when teeth were handled for enamel sampling. We hypothesize that Zn in gloves is mostly released by contact with acids. We found that the main source of Zn isotope variability in the Lapa do Santo population was related to the developmental stage of the tooth tissues sampled. We report identical results for two individuals coming from a different archeological context. Tooth enamel formed in utero and/or during the two first years of life showed higher Zn isotope ratios than enamel formed after weaning. More work is required to systematically investigate if Zn isotopes can be used as a breastfeeding tracer.","container-title":"PLOS ONE","DOI":"10.1371/journal.pone.0232379","ISSN":"1932-6203","issue":"5","journalAbbreviation":"PLOS ONE","language":"en","note":"publisher: Public Library of Science","page":"e0232379","source":"PLoS Journals","title":"Zinc isotope variations in archeological human teeth (Lapa do Santo, Brazil) reveal dietary transitions in childhood and no contamination from gloves","volume":"15","author":[{"family":"Jaouen","given":"Klervia"},{"family":"Trost","given":"Manuel"},{"family":"Bourgon","given":"Nicolas"},{"family":"Colleter","given":"Rozenn"},{"family":"Cabec","given":"Adeline Le"},{"family":"Tütken","given":"Thomas"},{"family":"Oliveira","given":"Rodrigo Elias"},{"family":"Pons","given":"Marie Laure"},{"family":"Méjean","given":"Pauline"},{"family":"Steinbrenner","given":"Sven"},{"family":"Chmeleff","given":"Jérôme"},{"family":"Strauss","given":"André"}],"issued":{"date-parts":[["2020",5,14]]}}}],"schema":"https://github.com/citation-style-language/schema/raw/master/csl-citation.json"} </w:instrText>
      </w:r>
      <w:r w:rsidR="00557BBE">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23,27</w:t>
      </w:r>
      <w:r w:rsidR="00557BBE">
        <w:rPr>
          <w:rFonts w:ascii="Times New Roman" w:eastAsia="Times New Roman" w:hAnsi="Times New Roman" w:cs="Times New Roman"/>
          <w:sz w:val="24"/>
          <w:szCs w:val="24"/>
        </w:rPr>
        <w:fldChar w:fldCharType="end"/>
      </w:r>
      <w:r w:rsidR="00557BBE" w:rsidRPr="0064579A">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For instance, marine carbonate (+0.3 to +1.4‰) could display higher values than the volcanic (+0.3 ± 0.14‰ [2σ]) and other sedimentary rocks</w:t>
      </w:r>
      <w:r w:rsidR="00557BBE">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{"citationID":"OdKTgjui","properties":{"formattedCitation":"\\super 28\\uc0\\u8211{}30\\nosupersub{}","plainCitation":"28–30","noteIndex":0},"citationItems":[{"id":96,"uris":["http://zotero.org/users/7125028/items/I8ZDF465"],"itemData":{"id":96,"type":"article-journal","abstract":"Zinc (Zn) is a trace element that is, as a building block in various enzymes, of vital importance for all living organisms. Zn concentrations are widely determined in dietary, biological and environmental studies. Recent papers report on the first efforts to use stable Zn isotopes in environmental studies, and initial results point to significant Zn isotope fractionation during various biological and chemical processes, and thus highlight their potential as valuable biogeochemical tracers. In this article, we discuss the state-of-the-art analytical methods for isotopic analysis of Zn and the procedures used to obtain accurate Zn isotope ratio results. We then review recent applications of Zn isotope measurements in environmental and life sciences, emphasizing the mechanisms and causes responsible for observed natural variation in the isotopic composition of Zn. We first discuss the Zn isotope variability in extraterrestrial and geological samples. We then focus on biological processes inducing Zn isotope fractionation in plants, animals and humans, and we assess the potential of Zn isotope ratio determination for elucidating sources of atmospheric particles and contamination. Finally, we discuss possible impediments and limitations of the application of Zn isotopes in (geo-) environmental studies and provide an outlook regarding future directions of Zn isotope research.","container-title":"Analytical and Bioanalytical Chemistry","DOI":"10.1007/s00216-007-1635-y","ISSN":"1618-2650","issue":"2","journalAbbreviation":"Anal Bioanal Chem","language":"eng","note":"PMID: 17952419","page":"451-463","source":"PubMed","title":"Variation in the isotopic composition of zinc in the natural environment and the use of zinc isotopes in biogeosciences: a review","title-short":"Variation in the isotopic composition of zinc in the natural environment and the use of zinc isotopes in biogeosciences","volume":"390","author":[{"family":"Cloquet","given":"Christophe"},{"family":"Carignan","given":"Jean"},{"family":"Lehmann","given":"Moritz F."},{"family":"Vanhaecke","given":"Frank"}],"issued":{"date-parts":[["2008",1]]}}},{"id":97,"uris":["http://zotero.org/users/7125028/items/T8KGZI6K"],"itemData":{"id":97,"type":"article-journal","abstract":"The Zn isotopic compositions of ferromanganese nodules, sediment trap samples, sediments, and organic reference samples have been analyzed by multiple collector inductively coupled plasma–mass spectrometry (ICP-MS). The range of isotopic variations (1‰ for 66Zn/64Zn) is significant with respect to the analytical precision (0.04‰ at the 95% confidence level). Marine argillaceous sediments show rather constant values consistent with those of continental shales and loess and with the value of a basalt from Réunion Island. We infer that the depletion of the light Zn isotopes in marine particles and in ferromanganese nodules (presumably equilibrated with seawater) results from biological activity in the upper water column. The δ66Zn values of sediment trap samples collected near the upwelling off the coast of Mauritania (central Atlantic) show a seasonal isotopic fluctuation consistent with biological pumping during the high-productivity period. Higher values of δ66Zn in nodules appear to be associated with the amplitude of seasonal variations rather than with the mean values of the biological productivity.","container-title":"Geochemistry, Geophysics, Geosystems","DOI":"10.1029/1999GC000029","ISSN":"1525-2027","issue":"5","language":"en","note":"_eprint: https://agupubs.onlinelibrary.wiley.com/doi/pdf/10.1029/1999GC000029","source":"Wiley Online Library","title":"Abundance of zinc isotopes as a marine biogeochemical tracer","URL":"https://agupubs.onlinelibrary.wiley.com/doi/abs/10.1029/1999GC000029","volume":"1","author":[{"family":"Maréchal","given":"Chloé N."},{"family":"Nicolas","given":"Emmanuel"},{"family":"Douchet","given":"Chantal"},{"family":"Albarède","given":"Francis"}],"accessed":{"date-parts":[["2021",7,28]]},"issued":{"date-parts":[["2000"]]}}},{"id":95,"uris":["http://zotero.org/users/7125028/items/H3HH56TA"],"itemData":{"id":95,"type":"article-journal","container-title":"Reviews in Mineralogy and Geochemistry","DOI":"10.2138/rmg.2017.82.13","ISSN":"1529-6466","issue":"1","journalAbbreviation":"Reviews in Mineralogy and Geochemistry","page":"543-600","source":"Silverchair","title":"The Isotope Geochemistry of Zinc and Copper","volume":"82","author":[{"family":"Moynier","given":"Frédéric"},{"family":"Vance","given":"Derek"},{"family":"Fujii","given":"Toshiyuki"},{"family":"Savage","given":"Paul"}],"issued":{"date-parts":[["2017",1,1]]}}}],"schema":"https://github.com/citation-style-language/schema/raw/master/csl-citation.json"} </w:instrText>
      </w:r>
      <w:r w:rsidR="00557BBE">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28–30</w:t>
      </w:r>
      <w:r w:rsidR="00557BBE">
        <w:rPr>
          <w:rFonts w:ascii="Times New Roman" w:eastAsia="Times New Roman" w:hAnsi="Times New Roman" w:cs="Times New Roman"/>
          <w:sz w:val="24"/>
          <w:szCs w:val="24"/>
        </w:rPr>
        <w:fldChar w:fldCharType="end"/>
      </w:r>
      <w:r w:rsidR="00557BBE" w:rsidRPr="000829A5">
        <w:rPr>
          <w:rFonts w:ascii="Times New Roman" w:eastAsia="Times New Roman" w:hAnsi="Times New Roman" w:cs="Times New Roman"/>
          <w:sz w:val="24"/>
          <w:szCs w:val="24"/>
        </w:rPr>
        <w:t>.</w:t>
      </w:r>
      <w:r w:rsidR="008B4920" w:rsidRPr="000829A5">
        <w:rPr>
          <w:rFonts w:ascii="Times New Roman" w:eastAsia="Times New Roman" w:hAnsi="Times New Roman" w:cs="Times New Roman"/>
          <w:sz w:val="24"/>
          <w:szCs w:val="24"/>
        </w:rPr>
        <w:t xml:space="preserve"> </w:t>
      </w:r>
    </w:p>
    <w:p w14:paraId="7D9EA7CF" w14:textId="77777777" w:rsidR="008B4920" w:rsidRDefault="00131D1A" w:rsidP="008B4920">
      <w:pPr>
        <w:spacing w:after="0" w:line="360" w:lineRule="auto"/>
        <w:ind w:firstLine="720"/>
        <w:jc w:val="both"/>
        <w:rPr>
          <w:rFonts w:ascii="Times New Roman" w:eastAsia="Times New Roman" w:hAnsi="Times New Roman" w:cs="Times New Roman"/>
          <w:sz w:val="24"/>
          <w:szCs w:val="24"/>
        </w:rPr>
      </w:pPr>
      <w:r w:rsidRPr="00D70D43">
        <w:rPr>
          <w:rFonts w:ascii="Times New Roman" w:eastAsia="Times New Roman" w:hAnsi="Times New Roman" w:cs="Times New Roman"/>
          <w:color w:val="000000"/>
          <w:sz w:val="24"/>
          <w:szCs w:val="24"/>
          <w:lang w:eastAsia="en-US"/>
        </w:rPr>
        <w:t xml:space="preserve">Previous work on Zn have shown a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w:t>
      </w:r>
      <w:r w:rsidRPr="00D70D43">
        <w:rPr>
          <w:rFonts w:ascii="Times New Roman" w:eastAsia="Times New Roman" w:hAnsi="Times New Roman" w:cs="Times New Roman"/>
          <w:color w:val="000000"/>
          <w:sz w:val="24"/>
          <w:szCs w:val="24"/>
          <w:lang w:eastAsia="en-US"/>
        </w:rPr>
        <w:t xml:space="preserve">enrichment in herbivore’s enamel bioapatite relative to that of carnivores. This is because plants are typically </w:t>
      </w:r>
      <w:r w:rsidRPr="00D70D43">
        <w:rPr>
          <w:rFonts w:ascii="Times New Roman" w:eastAsia="Times New Roman" w:hAnsi="Times New Roman" w:cs="Times New Roman"/>
          <w:color w:val="000000"/>
          <w:sz w:val="24"/>
          <w:szCs w:val="24"/>
          <w:vertAlign w:val="superscript"/>
          <w:lang w:eastAsia="en-US"/>
        </w:rPr>
        <w:t>66</w:t>
      </w:r>
      <w:r w:rsidRPr="00D70D43">
        <w:rPr>
          <w:rFonts w:ascii="Times New Roman" w:eastAsia="Times New Roman" w:hAnsi="Times New Roman" w:cs="Times New Roman"/>
          <w:color w:val="000000"/>
          <w:sz w:val="24"/>
          <w:szCs w:val="24"/>
          <w:lang w:eastAsia="en-US"/>
        </w:rPr>
        <w:t>Zn enriched compared to meat (</w:t>
      </w:r>
      <w:r w:rsidR="008B4920">
        <w:rPr>
          <w:rFonts w:ascii="Times New Roman" w:eastAsia="Times New Roman" w:hAnsi="Times New Roman" w:cs="Times New Roman"/>
          <w:color w:val="000000"/>
          <w:sz w:val="24"/>
          <w:szCs w:val="24"/>
          <w:lang w:eastAsia="en-US"/>
        </w:rPr>
        <w:t>Costas Rodriguez et al. 2014</w:t>
      </w:r>
      <w:r w:rsidRPr="00D70D43">
        <w:rPr>
          <w:rFonts w:ascii="Times New Roman" w:eastAsia="Times New Roman" w:hAnsi="Times New Roman" w:cs="Times New Roman"/>
          <w:color w:val="000000"/>
          <w:sz w:val="24"/>
          <w:szCs w:val="24"/>
          <w:lang w:eastAsia="en-US"/>
        </w:rPr>
        <w:t>).</w:t>
      </w:r>
      <w:r w:rsidR="008B4920">
        <w:rPr>
          <w:rFonts w:ascii="Times New Roman" w:eastAsia="Times New Roman" w:hAnsi="Times New Roman" w:cs="Times New Roman"/>
          <w:color w:val="000000"/>
          <w:sz w:val="24"/>
          <w:szCs w:val="24"/>
          <w:lang w:eastAsia="en-US"/>
        </w:rPr>
        <w:t xml:space="preserve"> </w:t>
      </w:r>
      <w:r w:rsidRPr="00D70D43">
        <w:rPr>
          <w:rFonts w:ascii="Times New Roman" w:eastAsia="Times New Roman" w:hAnsi="Times New Roman" w:cs="Times New Roman"/>
          <w:color w:val="000000"/>
          <w:sz w:val="24"/>
          <w:szCs w:val="24"/>
          <w:lang w:eastAsia="en-US"/>
        </w:rPr>
        <w:t>Z</w:t>
      </w:r>
      <w:r w:rsidR="008B4920">
        <w:rPr>
          <w:rFonts w:ascii="Times New Roman" w:eastAsia="Times New Roman" w:hAnsi="Times New Roman" w:cs="Times New Roman"/>
          <w:color w:val="000000"/>
          <w:sz w:val="24"/>
          <w:szCs w:val="24"/>
          <w:lang w:eastAsia="en-US"/>
        </w:rPr>
        <w:t>inc isotope compositions</w:t>
      </w:r>
      <w:r w:rsidRPr="00D70D43">
        <w:rPr>
          <w:rFonts w:ascii="Times New Roman" w:eastAsia="Times New Roman" w:hAnsi="Times New Roman" w:cs="Times New Roman"/>
          <w:color w:val="000000"/>
          <w:sz w:val="24"/>
          <w:szCs w:val="24"/>
          <w:lang w:eastAsia="en-US"/>
        </w:rPr>
        <w:t xml:space="preserve"> become relatively depleted</w:t>
      </w:r>
      <w:r w:rsidR="008B4920">
        <w:rPr>
          <w:rFonts w:ascii="Times New Roman" w:eastAsia="Times New Roman" w:hAnsi="Times New Roman" w:cs="Times New Roman"/>
          <w:color w:val="000000"/>
          <w:sz w:val="24"/>
          <w:szCs w:val="24"/>
          <w:lang w:eastAsia="en-US"/>
        </w:rPr>
        <w:t xml:space="preserve"> in heavy isotopes</w:t>
      </w:r>
      <w:r w:rsidRPr="00D70D43">
        <w:rPr>
          <w:rFonts w:ascii="Times New Roman" w:eastAsia="Times New Roman" w:hAnsi="Times New Roman" w:cs="Times New Roman"/>
          <w:color w:val="000000"/>
          <w:sz w:val="24"/>
          <w:szCs w:val="24"/>
          <w:lang w:eastAsia="en-US"/>
        </w:rPr>
        <w:t xml:space="preserve"> with successive trophic levels. Therefore, herbivore have systematically higher </w:t>
      </w:r>
      <w:r w:rsidR="008B4920" w:rsidRPr="00D70D43">
        <w:rPr>
          <w:rFonts w:ascii="Times New Roman" w:eastAsia="Times New Roman" w:hAnsi="Times New Roman" w:cs="Times New Roman"/>
          <w:sz w:val="24"/>
          <w:szCs w:val="24"/>
        </w:rPr>
        <w:t>δ</w:t>
      </w:r>
      <w:r w:rsidR="008B4920" w:rsidRPr="00D70D43">
        <w:rPr>
          <w:rFonts w:ascii="Times New Roman" w:eastAsia="Times New Roman" w:hAnsi="Times New Roman" w:cs="Times New Roman"/>
          <w:color w:val="000000"/>
          <w:sz w:val="24"/>
          <w:szCs w:val="24"/>
          <w:vertAlign w:val="superscript"/>
          <w:lang w:eastAsia="en-US"/>
        </w:rPr>
        <w:t xml:space="preserve"> </w:t>
      </w:r>
      <w:r w:rsidRPr="00D70D43">
        <w:rPr>
          <w:rFonts w:ascii="Times New Roman" w:eastAsia="Times New Roman" w:hAnsi="Times New Roman" w:cs="Times New Roman"/>
          <w:color w:val="000000"/>
          <w:sz w:val="24"/>
          <w:szCs w:val="24"/>
          <w:vertAlign w:val="superscript"/>
          <w:lang w:eastAsia="en-US"/>
        </w:rPr>
        <w:t>66</w:t>
      </w:r>
      <w:r w:rsidRPr="00D70D43">
        <w:rPr>
          <w:rFonts w:ascii="Times New Roman" w:eastAsia="Times New Roman" w:hAnsi="Times New Roman" w:cs="Times New Roman"/>
          <w:color w:val="000000"/>
          <w:sz w:val="24"/>
          <w:szCs w:val="24"/>
          <w:lang w:eastAsia="en-US"/>
        </w:rPr>
        <w:t>Zn values than carnivores</w:t>
      </w:r>
      <w:r w:rsidR="00E83FA2" w:rsidRPr="00D70D43">
        <w:rPr>
          <w:rFonts w:ascii="Times New Roman" w:eastAsia="Times New Roman" w:hAnsi="Times New Roman" w:cs="Times New Roman"/>
          <w:color w:val="000000"/>
          <w:sz w:val="24"/>
          <w:szCs w:val="24"/>
          <w:lang w:eastAsia="en-US"/>
        </w:rPr>
        <w:t xml:space="preserve"> </w:t>
      </w:r>
      <w:r w:rsidR="00E83FA2" w:rsidRPr="00D70D43">
        <w:rPr>
          <w:rFonts w:ascii="Times New Roman" w:eastAsia="Times New Roman" w:hAnsi="Times New Roman" w:cs="Times New Roman"/>
          <w:sz w:val="24"/>
          <w:szCs w:val="24"/>
        </w:rPr>
        <w:t>(δ</w:t>
      </w:r>
      <w:r w:rsidR="00E83FA2" w:rsidRPr="00D70D43">
        <w:rPr>
          <w:rFonts w:ascii="Times New Roman" w:eastAsia="Times New Roman" w:hAnsi="Times New Roman" w:cs="Times New Roman"/>
          <w:sz w:val="24"/>
          <w:szCs w:val="24"/>
          <w:vertAlign w:val="superscript"/>
        </w:rPr>
        <w:t>66</w:t>
      </w:r>
      <w:r w:rsidR="00E83FA2" w:rsidRPr="00D70D43">
        <w:rPr>
          <w:rFonts w:ascii="Times New Roman" w:eastAsia="Times New Roman" w:hAnsi="Times New Roman" w:cs="Times New Roman"/>
          <w:sz w:val="24"/>
          <w:szCs w:val="24"/>
        </w:rPr>
        <w:t>Zn herbivore &gt; δ</w:t>
      </w:r>
      <w:r w:rsidR="00E83FA2" w:rsidRPr="00D70D43">
        <w:rPr>
          <w:rFonts w:ascii="Times New Roman" w:eastAsia="Times New Roman" w:hAnsi="Times New Roman" w:cs="Times New Roman"/>
          <w:sz w:val="24"/>
          <w:szCs w:val="24"/>
          <w:vertAlign w:val="superscript"/>
        </w:rPr>
        <w:t>66</w:t>
      </w:r>
      <w:r w:rsidR="00E83FA2" w:rsidRPr="00D70D43">
        <w:rPr>
          <w:rFonts w:ascii="Times New Roman" w:eastAsia="Times New Roman" w:hAnsi="Times New Roman" w:cs="Times New Roman"/>
          <w:sz w:val="24"/>
          <w:szCs w:val="24"/>
        </w:rPr>
        <w:t>Zn carnivore)</w:t>
      </w:r>
      <w:r w:rsidRPr="00D70D43">
        <w:rPr>
          <w:rFonts w:ascii="Times New Roman" w:eastAsia="Times New Roman" w:hAnsi="Times New Roman" w:cs="Times New Roman"/>
          <w:color w:val="000000"/>
          <w:sz w:val="24"/>
          <w:szCs w:val="24"/>
          <w:lang w:eastAsia="en-US"/>
        </w:rPr>
        <w:t>. </w:t>
      </w:r>
    </w:p>
    <w:p w14:paraId="7C0DE827" w14:textId="62FAA30E" w:rsidR="002D203B" w:rsidRDefault="00131D1A" w:rsidP="008B4920">
      <w:pPr>
        <w:spacing w:after="0" w:line="360" w:lineRule="auto"/>
        <w:ind w:firstLine="720"/>
        <w:jc w:val="both"/>
        <w:rPr>
          <w:rFonts w:ascii="Times New Roman" w:eastAsia="Times New Roman" w:hAnsi="Times New Roman" w:cs="Times New Roman"/>
          <w:color w:val="000000"/>
          <w:sz w:val="24"/>
          <w:szCs w:val="24"/>
          <w:lang w:eastAsia="en-US"/>
        </w:rPr>
      </w:pPr>
      <w:r w:rsidRPr="00D70D43">
        <w:rPr>
          <w:rFonts w:ascii="Times New Roman" w:eastAsia="Times New Roman" w:hAnsi="Times New Roman" w:cs="Times New Roman"/>
          <w:color w:val="000000"/>
          <w:sz w:val="24"/>
          <w:szCs w:val="24"/>
          <w:lang w:eastAsia="en-US"/>
        </w:rPr>
        <w:t xml:space="preserve">The isotopic fractionation occurs also between the different parts of an organism. For plants, this results in different isotopic composition between roots, stems and leaves. This isotopic variation within the plant affects the entire trophic web. Some Zn studies showed that animals feeding on leaves </w:t>
      </w:r>
      <w:r w:rsidR="008B4920">
        <w:rPr>
          <w:rFonts w:ascii="Times New Roman" w:eastAsia="Times New Roman" w:hAnsi="Times New Roman" w:cs="Times New Roman"/>
          <w:color w:val="000000"/>
          <w:sz w:val="24"/>
          <w:szCs w:val="24"/>
          <w:lang w:eastAsia="en-US"/>
        </w:rPr>
        <w:t>(</w:t>
      </w:r>
      <w:r w:rsidRPr="00D70D43">
        <w:rPr>
          <w:rFonts w:ascii="Times New Roman" w:eastAsia="Times New Roman" w:hAnsi="Times New Roman" w:cs="Times New Roman"/>
          <w:color w:val="000000"/>
          <w:sz w:val="24"/>
          <w:szCs w:val="24"/>
          <w:lang w:eastAsia="en-US"/>
        </w:rPr>
        <w:t>“browsers”</w:t>
      </w:r>
      <w:r w:rsidR="008B4920">
        <w:rPr>
          <w:rFonts w:ascii="Times New Roman" w:eastAsia="Times New Roman" w:hAnsi="Times New Roman" w:cs="Times New Roman"/>
          <w:color w:val="000000"/>
          <w:sz w:val="24"/>
          <w:szCs w:val="24"/>
          <w:lang w:eastAsia="en-US"/>
        </w:rPr>
        <w:t>)</w:t>
      </w:r>
      <w:r w:rsidRPr="00D70D43">
        <w:rPr>
          <w:rFonts w:ascii="Times New Roman" w:eastAsia="Times New Roman" w:hAnsi="Times New Roman" w:cs="Times New Roman"/>
          <w:color w:val="000000"/>
          <w:sz w:val="24"/>
          <w:szCs w:val="24"/>
          <w:lang w:eastAsia="en-US"/>
        </w:rPr>
        <w:t xml:space="preserve"> have a different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w:t>
      </w:r>
      <w:r w:rsidRPr="00D70D43">
        <w:rPr>
          <w:rFonts w:ascii="Times New Roman" w:eastAsia="Times New Roman" w:hAnsi="Times New Roman" w:cs="Times New Roman"/>
          <w:color w:val="000000"/>
          <w:sz w:val="24"/>
          <w:szCs w:val="24"/>
          <w:lang w:eastAsia="en-US"/>
        </w:rPr>
        <w:t xml:space="preserve">values than those feeding on grass </w:t>
      </w:r>
      <w:r w:rsidR="008B4920">
        <w:rPr>
          <w:rFonts w:ascii="Times New Roman" w:eastAsia="Times New Roman" w:hAnsi="Times New Roman" w:cs="Times New Roman"/>
          <w:color w:val="000000"/>
          <w:sz w:val="24"/>
          <w:szCs w:val="24"/>
          <w:lang w:eastAsia="en-US"/>
        </w:rPr>
        <w:t>(</w:t>
      </w:r>
      <w:r w:rsidRPr="00D70D43">
        <w:rPr>
          <w:rFonts w:ascii="Times New Roman" w:eastAsia="Times New Roman" w:hAnsi="Times New Roman" w:cs="Times New Roman"/>
          <w:color w:val="000000"/>
          <w:sz w:val="24"/>
          <w:szCs w:val="24"/>
          <w:lang w:eastAsia="en-US"/>
        </w:rPr>
        <w:t>“grazers”</w:t>
      </w:r>
      <w:r w:rsidR="008B4920">
        <w:rPr>
          <w:rFonts w:ascii="Times New Roman" w:eastAsia="Times New Roman" w:hAnsi="Times New Roman" w:cs="Times New Roman"/>
          <w:color w:val="000000"/>
          <w:sz w:val="24"/>
          <w:szCs w:val="24"/>
          <w:lang w:eastAsia="en-US"/>
        </w:rPr>
        <w:t>)</w:t>
      </w:r>
      <w:r w:rsidR="00557BBE">
        <w:rPr>
          <w:rFonts w:ascii="Times New Roman" w:eastAsia="Times New Roman" w:hAnsi="Times New Roman" w:cs="Times New Roman"/>
          <w:color w:val="000000"/>
          <w:sz w:val="24"/>
          <w:szCs w:val="24"/>
          <w:lang w:eastAsia="en-US"/>
        </w:rPr>
        <w:fldChar w:fldCharType="begin"/>
      </w:r>
      <w:r w:rsidR="000475E4">
        <w:rPr>
          <w:rFonts w:ascii="Times New Roman" w:eastAsia="Times New Roman" w:hAnsi="Times New Roman" w:cs="Times New Roman"/>
          <w:color w:val="000000"/>
          <w:sz w:val="24"/>
          <w:szCs w:val="24"/>
          <w:lang w:eastAsia="en-US"/>
        </w:rPr>
        <w:instrText xml:space="preserve"> ADDIN ZOTERO_ITEM CSL_CITATION {"citationID":"8irce7ik","properties":{"formattedCitation":"\\super 25,26\\nosupersub{}","plainCitation":"25,26","noteIndex":0},"citationItems":[{"id":126,"uris":["http://zotero.org/users/7125028/items/IEYUJ9Z8"],"itemData":{"id":126,"type":"article-journal","abstract":"Here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sidR="000475E4">
        <w:rPr>
          <w:rFonts w:ascii="Cambria Math" w:eastAsia="Times New Roman" w:hAnsi="Cambria Math" w:cs="Cambria Math"/>
          <w:color w:val="000000"/>
          <w:sz w:val="24"/>
          <w:szCs w:val="24"/>
          <w:lang w:eastAsia="en-US"/>
        </w:rPr>
        <w:instrText>∼</w:instrText>
      </w:r>
      <w:r w:rsidR="000475E4">
        <w:rPr>
          <w:rFonts w:ascii="Times New Roman" w:eastAsia="Times New Roman" w:hAnsi="Times New Roman" w:cs="Times New Roman"/>
          <w:color w:val="000000"/>
          <w:sz w:val="24"/>
          <w:szCs w:val="24"/>
          <w:lang w:eastAsia="en-US"/>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P."}],"issued":{"date-parts":[["2016",5,18]]}}}],"schema":"https://github.com/citation-style-language/schema/raw/master/csl-citation.json"} </w:instrText>
      </w:r>
      <w:r w:rsidR="00557BBE">
        <w:rPr>
          <w:rFonts w:ascii="Times New Roman" w:eastAsia="Times New Roman" w:hAnsi="Times New Roman" w:cs="Times New Roman"/>
          <w:color w:val="000000"/>
          <w:sz w:val="24"/>
          <w:szCs w:val="24"/>
          <w:lang w:eastAsia="en-US"/>
        </w:rPr>
        <w:fldChar w:fldCharType="separate"/>
      </w:r>
      <w:r w:rsidR="000475E4" w:rsidRPr="000475E4">
        <w:rPr>
          <w:rFonts w:ascii="Times New Roman" w:hAnsi="Times New Roman" w:cs="Times New Roman"/>
          <w:sz w:val="24"/>
          <w:szCs w:val="24"/>
          <w:vertAlign w:val="superscript"/>
        </w:rPr>
        <w:t>25,26</w:t>
      </w:r>
      <w:r w:rsidR="00557BBE">
        <w:rPr>
          <w:rFonts w:ascii="Times New Roman" w:eastAsia="Times New Roman" w:hAnsi="Times New Roman" w:cs="Times New Roman"/>
          <w:color w:val="000000"/>
          <w:sz w:val="24"/>
          <w:szCs w:val="24"/>
          <w:lang w:eastAsia="en-US"/>
        </w:rPr>
        <w:fldChar w:fldCharType="end"/>
      </w:r>
      <w:r w:rsidRPr="00D70D43">
        <w:rPr>
          <w:rFonts w:ascii="Times New Roman" w:eastAsia="Times New Roman" w:hAnsi="Times New Roman" w:cs="Times New Roman"/>
          <w:color w:val="000000"/>
          <w:sz w:val="24"/>
          <w:szCs w:val="24"/>
          <w:lang w:eastAsia="en-US"/>
        </w:rPr>
        <w:t xml:space="preserve">. Leaves are usually </w:t>
      </w:r>
      <w:r w:rsidRPr="00D70D43">
        <w:rPr>
          <w:rFonts w:ascii="Times New Roman" w:eastAsia="Times New Roman" w:hAnsi="Times New Roman" w:cs="Times New Roman"/>
          <w:color w:val="000000"/>
          <w:sz w:val="24"/>
          <w:szCs w:val="24"/>
          <w:vertAlign w:val="superscript"/>
          <w:lang w:eastAsia="en-US"/>
        </w:rPr>
        <w:t>64</w:t>
      </w:r>
      <w:r w:rsidRPr="00D70D43">
        <w:rPr>
          <w:rFonts w:ascii="Times New Roman" w:eastAsia="Times New Roman" w:hAnsi="Times New Roman" w:cs="Times New Roman"/>
          <w:color w:val="000000"/>
          <w:sz w:val="24"/>
          <w:szCs w:val="24"/>
          <w:lang w:eastAsia="en-US"/>
        </w:rPr>
        <w:t xml:space="preserve">Zn-enriched compared to the other parts of the plants. </w:t>
      </w:r>
      <w:r w:rsidRPr="00D70D43">
        <w:rPr>
          <w:rFonts w:ascii="Times New Roman" w:eastAsia="Times New Roman" w:hAnsi="Times New Roman" w:cs="Times New Roman"/>
          <w:color w:val="000000"/>
          <w:sz w:val="24"/>
          <w:szCs w:val="24"/>
          <w:lang w:eastAsia="en-US"/>
        </w:rPr>
        <w:lastRenderedPageBreak/>
        <w:t xml:space="preserve">Consequently, browsers exhibit lower Zn isotopic ratios than grazers, which diet, consist on eating the whole plants </w:t>
      </w:r>
      <w:r w:rsidR="00557BBE">
        <w:rPr>
          <w:rFonts w:ascii="Times New Roman" w:eastAsia="Times New Roman" w:hAnsi="Times New Roman" w:cs="Times New Roman"/>
          <w:color w:val="000000"/>
          <w:sz w:val="24"/>
          <w:szCs w:val="24"/>
          <w:lang w:eastAsia="en-US"/>
        </w:rPr>
        <w:fldChar w:fldCharType="begin"/>
      </w:r>
      <w:r w:rsidR="000475E4">
        <w:rPr>
          <w:rFonts w:ascii="Times New Roman" w:eastAsia="Times New Roman" w:hAnsi="Times New Roman" w:cs="Times New Roman"/>
          <w:color w:val="000000"/>
          <w:sz w:val="24"/>
          <w:szCs w:val="24"/>
          <w:lang w:eastAsia="en-US"/>
        </w:rPr>
        <w:instrText xml:space="preserve"> ADDIN ZOTERO_ITEM CSL_CITATION {"citationID":"1RsrVQbk","properties":{"formattedCitation":"\\super 26,31\\nosupersub{}","plainCitation":"26,31","noteIndex":0},"citationItems":[{"id":257,"uris":["http://zotero.org/users/7125028/items/JAQK23F2"],"itemData":{"id":257,"type":"article-journal","abstract":"In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P."}],"issued":{"date-parts":[["2016",5,18]]}}},{"id":707,"uris":["http://zotero.org/users/7125028/items/2BFLSNCA"],"itemData":{"id":707,"type":"article-journal","abstract":"The objective of this study is to determine for the first time the zinc (Zn) isotopic composition of different soil horizons, parent rocks, litter, and plants from a single pristine watershed. Three soil profiles from Nsimi–Zoétélé site (South Cameroon, Africa) have been investigated. The δ66Zn (δ66Zn=[(66Zn/64Zn)sample/(66Zn/64Zn)JMC 3–0749L)−1] ⁎ 103) measured in the soils and rocks range from −0.05 to 0.64‰. In a typical hillslope soil profile developed in situ from a granitic parent rock, we observe two important and systematic trends: i) a weathering regime in the saprolite horizon that involves strong Zn depletion, with no or slight fractionation compared to the fresh igneous rock, and ii) a shallower weathering regime with significant depletion in heavy Zn isotopes in the most superficial soil horizons. In contrast, the soil profile of the swamp zone does not exhibit isotopic fractionation between the soil and the parent rock. Six plants and two litter samples were analyzed for their Zn isotopic compositions. δ66Zn varied from 0.75 to −0.91‰ among all samples. Plant roots and shoots are generally enriched in heavy isotopes (δ66Zn of +0.42 to +0.76‰) relative to the litter layer (0.12 to 0.25‰) and most superficial soils. Similar to the controlled plant growth study of Weiss et al. [Weiss, D.J., Mason, T.F.D., Zhao, F.J., Kirk, G.J.D., Coles, B.J. and Horstwood, M.S.A. (2005) Isotopic discrimination of zinc in higher plants. New Phytologist 165, 703-710.], negative δ66Zn values were obtained for tree leaves (the most aerial part of the tree). Based on biomass data for the tropical forest, vegetation is on average enriched in light isotopes compared to the litter and the superficial soil horizons which are the nutrients reservoirs. Due to the age of these soils and the complexity of pedogenetic processes, it is difficult to explain the isotopic composition of the soils at present. However, the transformation of the saprolite horizon into a ferruginous horizon is associated with an enrichment in light Zn isotopes. This observation may be due to the adsorption of Zn onto clays surfaces. The uptake of Zn by roots in the soils leads to an enrichment in heavy isotopes. Once the Zn is in the xylem, it will be transported within the plant. During this transport, both diffusion and active uptake of heavy isotopes by cells out of the xylem favour the mobility of light isotopes to the most aerial parts of the plants. The difference in Zn isotopic composition between the deep horizons and the superficial horizons of soils suggests that Zn isotopes can be used to discriminate the source of Zn and other metals leaving the catchment by river water.","container-title":"Chemical Geology","DOI":"10.1016/j.chemgeo.2007.01.005","ISSN":"0009-2541","issue":"1","journalAbbreviation":"Chemical Geology","language":"en","page":"124-137","source":"ScienceDirect","title":"Evidence of Zn isotopic fractionation in a soil–plant system of a pristine tropical watershed (Nsimi, Cameroon)","volume":"239","author":[{"family":"Viers","given":"Jérôme"},{"family":"Oliva","given":"Priscia"},{"family":"Nonell","given":"Anthony"},{"family":"Gélabert","given":"Alexandre"},{"family":"Sonke","given":"Jeroen E."},{"family":"Freydier","given":"Rémi"},{"family":"Gainville","given":"Romuald"},{"family":"Dupré","given":"Bernard"}],"issued":{"date-parts":[["2007",4,15]]}}}],"schema":"https://github.com/citation-style-language/schema/raw/master/csl-citation.json"} </w:instrText>
      </w:r>
      <w:r w:rsidR="00557BBE">
        <w:rPr>
          <w:rFonts w:ascii="Times New Roman" w:eastAsia="Times New Roman" w:hAnsi="Times New Roman" w:cs="Times New Roman"/>
          <w:color w:val="000000"/>
          <w:sz w:val="24"/>
          <w:szCs w:val="24"/>
          <w:lang w:eastAsia="en-US"/>
        </w:rPr>
        <w:fldChar w:fldCharType="separate"/>
      </w:r>
      <w:r w:rsidR="000475E4" w:rsidRPr="000475E4">
        <w:rPr>
          <w:rFonts w:ascii="Times New Roman" w:hAnsi="Times New Roman" w:cs="Times New Roman"/>
          <w:sz w:val="24"/>
          <w:szCs w:val="24"/>
          <w:vertAlign w:val="superscript"/>
        </w:rPr>
        <w:t>26,31</w:t>
      </w:r>
      <w:r w:rsidR="00557BBE">
        <w:rPr>
          <w:rFonts w:ascii="Times New Roman" w:eastAsia="Times New Roman" w:hAnsi="Times New Roman" w:cs="Times New Roman"/>
          <w:color w:val="000000"/>
          <w:sz w:val="24"/>
          <w:szCs w:val="24"/>
          <w:lang w:eastAsia="en-US"/>
        </w:rPr>
        <w:fldChar w:fldCharType="end"/>
      </w:r>
      <w:r w:rsidR="00557BBE">
        <w:rPr>
          <w:rFonts w:ascii="Times New Roman" w:eastAsia="Times New Roman" w:hAnsi="Times New Roman" w:cs="Times New Roman"/>
          <w:color w:val="000000"/>
          <w:sz w:val="24"/>
          <w:szCs w:val="24"/>
          <w:lang w:eastAsia="en-US"/>
        </w:rPr>
        <w:t>.</w:t>
      </w:r>
      <w:r w:rsidR="00557BBE" w:rsidRPr="0064579A" w:rsidDel="00557BBE">
        <w:rPr>
          <w:rFonts w:ascii="Times New Roman" w:eastAsia="Times New Roman" w:hAnsi="Times New Roman" w:cs="Times New Roman"/>
          <w:color w:val="000000"/>
          <w:sz w:val="24"/>
          <w:szCs w:val="24"/>
          <w:lang w:eastAsia="en-US"/>
        </w:rPr>
        <w:t xml:space="preserve"> </w:t>
      </w:r>
      <w:r w:rsidR="008B4920">
        <w:rPr>
          <w:rFonts w:ascii="Times New Roman" w:eastAsia="Times New Roman" w:hAnsi="Times New Roman" w:cs="Times New Roman"/>
          <w:color w:val="000000"/>
          <w:sz w:val="24"/>
          <w:szCs w:val="24"/>
          <w:lang w:eastAsia="en-US"/>
        </w:rPr>
        <w:t>However, it has not been observed on South East Asian food webs</w:t>
      </w:r>
      <w:r w:rsidR="00557BBE">
        <w:rPr>
          <w:rFonts w:ascii="Times New Roman" w:eastAsia="Times New Roman" w:hAnsi="Times New Roman" w:cs="Times New Roman"/>
          <w:color w:val="000000"/>
          <w:sz w:val="24"/>
          <w:szCs w:val="24"/>
          <w:lang w:eastAsia="en-US"/>
        </w:rPr>
        <w:fldChar w:fldCharType="begin"/>
      </w:r>
      <w:r w:rsidR="000475E4">
        <w:rPr>
          <w:rFonts w:ascii="Times New Roman" w:eastAsia="Times New Roman" w:hAnsi="Times New Roman" w:cs="Times New Roman"/>
          <w:color w:val="000000"/>
          <w:sz w:val="24"/>
          <w:szCs w:val="24"/>
          <w:lang w:eastAsia="en-US"/>
        </w:rPr>
        <w:instrText xml:space="preserve"> ADDIN ZOTERO_ITEM CSL_CITATION {"citationID":"owACz8iv","properties":{"formattedCitation":"\\super 22,23\\nosupersub{}","plainCitation":"22,23","noteIndex":0},"citationItems":[{"id":604,"uris":["http://zotero.org/users/7125028/items/NQZASCL3"],"itemData":{"id":604,"type":"article-journal","abstract":"Tam Pà Ling, a cave site in northeastern Laos, has yielded the earliest skeletal evidence of Homo sapiens in mainland Southeast Asia. The reliance of Pleistocene humans in rainforest settings on plant or animal resources is still largely unstudied, mainly due to poor collagen preservation in fossils from tropical environments precluding stable nitrogen isotope analysis, the classical trophic level proxy. However, isotopic ratios of zinc (Zn) in bioapatite constitute a promising proxy to infer trophic and dietary information from fossil vertebrates, even under adverse tropical taphonomic conditions. Here, we analyzed the zinc isotope composition (66Zn/64Zn expressed as δ66Zn value) in the enamel of two teeth of the Late Pleistocene (63–46 ka) H. sapiens individual (TPL1) from Tam Pà Ling, as well as 76 mammal teeth from the same site and the nearby Nam Lot cave. The human individual exhibits relatively low enamel δ66Zn values (+0.24‰) consistent with an omnivorous diet, suggesting a dietary reliance on both plant and animal matter. These findings offer direct evidence of the broad utilization of resources from tropical rainforests by one of the earliest known anatomically modern humans in Southeast Asia.","container-title":"Journal of Human Evolution","DOI":"10.1016/j.jhevol.2021.103075","ISSN":"0047-2484","journalAbbreviation":"Journal of Human Evolution","language":"en","page":"103075","source":"ScienceDirect","title":"Trophic ecology of a Late Pleistocene early modern human from tropical Southeast Asia inferred from zinc isotopes","volume":"161","author":[{"family":"Bourgon","given":"Nicolas"},{"family":"Jaouen","given":"Klervia"},{"family":"Bacon","given":"Anne-Marie"},{"family":"Dufour","given":"Elise"},{"family":"McCormack","given":"Jeremy"},{"family":"Tran","given":"N. -Han"},{"family":"Trost","given":"Manuel"},{"family":"Fiorillo","given":"Denis"},{"family":"Dunn","given":"Tyler E."},{"family":"Zanolli","given":"Clément"},{"family":"Zachwieja","given":"Alexandra"},{"family":"Duringer","given":"Philippe"},{"family":"Ponche","given":"Jean-Luc"},{"family":"Boesch","given":"Quentin"},{"family":"Antoine","given":"Pierre-Olivier"},{"family":"Westaway","given":"Kira E."},{"family":"Joannes-Boyau","given":"Renaud"},{"family":"Suzzoni","given":"Eric"},{"family":"Frangeul","given":"Sébastien"},{"family":"Crozier","given":"Françoise"},{"family":"Aubaile","given":"Françoise"},{"family":"Patole-Edoumba","given":"Elise"},{"family":"Luangkhoth","given":"Thonglith"},{"family":"Souksavatdy","given":"Viengkeo"},{"family":"Boualaphane","given":"Souliphane"},{"family":"Sayavonkhamdy","given":"Thongsa"},{"family":"Sichanthongtip","given":"Phonephanh"},{"family":"Sihanam","given":"Daovee"},{"family":"Demeter","given":"Fabrice"},{"family":"Shackelford","given":"Laura L."},{"family":"Hublin","given":"Jean-Jacques"},{"family":"Tütken","given":"Thomas"}],"issued":{"date-parts":[["2021",12,1]]}}},{"id":189,"uris":["http://zotero.org/users/7125028/items/2SID4BZP"],"itemData":{"id":189,"type":"article-journal","container-title":"Proceedings of the National Academy of Sciences","issue":"9","journalAbbreviation":"PNAS","page":"4675-4681","title":"Zinc isotopes in Late Pleistocene fossil teeth from a Southeast Asian cave setting preserve paleodietary information","volume":"117","author":[{"family":"Bourgon","given":"Nicolas"},{"family":"Jaouen","given":"Klervia"},{"family":"Bacon","given":"Anne-Marie"},{"family":"Jochum","given":"Klaus Peter"},{"family":"Dufour","given":"Elise"},{"family":"Duringer","given":"Philippe"},{"family":"Ponche","given":"Jean-Luc"},{"family":"Joannes-Boyau","given":"Renaud"},{"family":"Boesch","given":"Quentin"},{"family":"Antoine","given":"Pierre-Olivier"},{"family":"Hullot","given":"Manon"},{"family":"Weis","given":"Ulrike"},{"family":"Schulz-Kornas","given":"Ellen"},{"family":"Trost","given":"Manuel"},{"family":"Fiorillo","given":"Denis"},{"family":"Demeter","given":"Fabrice"},{"family":"Patole-Edoumba","given":"Elise"},{"family":"Shackelford","given":"Laura L."},{"family":"Dunn","given":"Tyler E."},{"family":"Zachwieja","given":"Alexandra"},{"family":"Duangthongchit","given":"Somoh"},{"family":"Sayavonkhamdy","given":"Thongsa"},{"family":"Sichanthongtip","given":"Phonephanh"},{"family":"Sihanam","given":"Daovee"},{"family":"Souksavatdy","given":"Viengkeo"},{"family":"Hublin","given":"Jean-Jacques"},{"family":"Tütken","given":"Thomas"}],"issued":{"date-parts":[["2020",3,3]]}}}],"schema":"https://github.com/citation-style-language/schema/raw/master/csl-citation.json"} </w:instrText>
      </w:r>
      <w:r w:rsidR="00557BBE">
        <w:rPr>
          <w:rFonts w:ascii="Times New Roman" w:eastAsia="Times New Roman" w:hAnsi="Times New Roman" w:cs="Times New Roman"/>
          <w:color w:val="000000"/>
          <w:sz w:val="24"/>
          <w:szCs w:val="24"/>
          <w:lang w:eastAsia="en-US"/>
        </w:rPr>
        <w:fldChar w:fldCharType="separate"/>
      </w:r>
      <w:r w:rsidR="000475E4" w:rsidRPr="000475E4">
        <w:rPr>
          <w:rFonts w:ascii="Times New Roman" w:hAnsi="Times New Roman" w:cs="Times New Roman"/>
          <w:sz w:val="24"/>
          <w:szCs w:val="24"/>
          <w:vertAlign w:val="superscript"/>
        </w:rPr>
        <w:t>22,23</w:t>
      </w:r>
      <w:r w:rsidR="00557BBE">
        <w:rPr>
          <w:rFonts w:ascii="Times New Roman" w:eastAsia="Times New Roman" w:hAnsi="Times New Roman" w:cs="Times New Roman"/>
          <w:color w:val="000000"/>
          <w:sz w:val="24"/>
          <w:szCs w:val="24"/>
          <w:lang w:eastAsia="en-US"/>
        </w:rPr>
        <w:fldChar w:fldCharType="end"/>
      </w:r>
      <w:r w:rsidR="008B4920">
        <w:rPr>
          <w:rFonts w:ascii="Times New Roman" w:eastAsia="Times New Roman" w:hAnsi="Times New Roman" w:cs="Times New Roman"/>
          <w:color w:val="000000"/>
          <w:sz w:val="24"/>
          <w:szCs w:val="24"/>
          <w:lang w:eastAsia="en-US"/>
        </w:rPr>
        <w:t>.</w:t>
      </w:r>
      <w:r w:rsidR="008B4920">
        <w:rPr>
          <w:rFonts w:ascii="Times New Roman" w:eastAsia="Times New Roman" w:hAnsi="Times New Roman" w:cs="Times New Roman"/>
          <w:sz w:val="24"/>
          <w:szCs w:val="24"/>
        </w:rPr>
        <w:t xml:space="preserve"> </w:t>
      </w:r>
      <w:r w:rsidRPr="00D70D43">
        <w:rPr>
          <w:rFonts w:ascii="Times New Roman" w:eastAsia="Times New Roman" w:hAnsi="Times New Roman" w:cs="Times New Roman"/>
          <w:color w:val="000000"/>
          <w:sz w:val="24"/>
          <w:szCs w:val="24"/>
          <w:lang w:eastAsia="en-US"/>
        </w:rPr>
        <w:t>The body muscles are usually depleted in heavy Zn isotope</w:t>
      </w:r>
      <w:r w:rsidR="008B4920">
        <w:rPr>
          <w:rFonts w:ascii="Times New Roman" w:eastAsia="Times New Roman" w:hAnsi="Times New Roman" w:cs="Times New Roman"/>
          <w:color w:val="000000"/>
          <w:sz w:val="24"/>
          <w:szCs w:val="24"/>
          <w:lang w:eastAsia="en-US"/>
        </w:rPr>
        <w:t>s</w:t>
      </w:r>
      <w:r w:rsidRPr="00D70D43">
        <w:rPr>
          <w:rFonts w:ascii="Times New Roman" w:eastAsia="Times New Roman" w:hAnsi="Times New Roman" w:cs="Times New Roman"/>
          <w:color w:val="000000"/>
          <w:sz w:val="24"/>
          <w:szCs w:val="24"/>
          <w:lang w:eastAsia="en-US"/>
        </w:rPr>
        <w:t xml:space="preserve"> compared to the rest of body tissues </w:t>
      </w:r>
      <w:r w:rsidR="00557BBE">
        <w:rPr>
          <w:rFonts w:ascii="Times New Roman" w:eastAsia="Times New Roman" w:hAnsi="Times New Roman" w:cs="Times New Roman"/>
          <w:color w:val="000000"/>
          <w:sz w:val="24"/>
          <w:szCs w:val="24"/>
          <w:lang w:eastAsia="en-US"/>
        </w:rPr>
        <w:fldChar w:fldCharType="begin"/>
      </w:r>
      <w:r w:rsidR="000475E4">
        <w:rPr>
          <w:rFonts w:ascii="Times New Roman" w:eastAsia="Times New Roman" w:hAnsi="Times New Roman" w:cs="Times New Roman"/>
          <w:color w:val="000000"/>
          <w:sz w:val="24"/>
          <w:szCs w:val="24"/>
          <w:lang w:eastAsia="en-US"/>
        </w:rPr>
        <w:instrText xml:space="preserve"> ADDIN ZOTERO_ITEM CSL_CITATION {"citationID":"4EuuM0Yt","properties":{"formattedCitation":"\\super 32,33\\nosupersub{}","plainCitation":"32,33","noteIndex":0},"citationItems":[{"id":709,"uris":["http://zotero.org/users/7125028/items/LPN4PIBC"],"itemData":{"id":709,"type":"article-journal","abstract":"Evidence is growing that the range of zinc stable isotope compositions, represented by the deviation of (66)Zn in permil units relative to a standard and expressed as delta(66)Zn, is larger in organic matter than in inorganic material. This study reports the variations of delta(66)Zn in various organs of sheep raised on a controlled diet. Zinc was purified by anion-exchange chromatography. The Zn concentrations and Zn stable isotope compositions were determined by quadrupole inductively coupled plasma mass spectrometry and multi-collector inductively coupled plasma mass spectrometry, respectively. The data show that delta(66)Zn variability exceeds 1 per thousand, with bone, muscle, serum and urine enriched in the heavy isotopes, and feces, red blood cells, kidney and liver enriched in light isotopes, all relative to the diet value. The (66)Zn enrichment of the circulating serum reservoir is likely to take place in the digestive tract, probably through the preferential binding of lighter isotopes with phytic acid, which is known to control the uptake of metallic elements. Mass balance calculations suggest that the (66)Zn depletion between diet and feces, which is not balanced by any other outward flux, leads to a secular isotopic drift in serum. A simple time-dependent two-box model, involving the gastro-intestinal tract on the one hand and the muscle and bone on the other, predicts that the maximum (66)Zn enrichment, which equals the difference in delta(66)Zn between diet and bulk (approximately 0.25 per thousand), is reached after about ten years. Therefore, a better understanding of the variations of natural abundance of Zn isotopes in animals and humans will probably bring new perspectives for the assessment of their Zn status.","container-title":"Rapid communications in mass spectrometry: RCM","DOI":"10.1002/rcm.4425","ISSN":"1097-0231","issue":"5","journalAbbreviation":"Rapid Commun Mass Spectrom","language":"eng","note":"PMID: 20155761","page":"605-612","source":"PubMed","title":"Bodily variability of zinc natural isotope abundances in sheep","volume":"24","author":[{"family":"Balter","given":"Vincent"},{"family":"Zazzo","given":"Antoine"},{"family":"Moloney","given":"Aidan P."},{"family":"Moynier","given":"Fred"},{"family":"Schmidt","given":"Olaf"},{"family":"Monahan","given":"Frank J."},{"family":"Albarède","given":"Francis"}],"issued":{"date-parts":[["2010",3,15]]}}},{"id":712,"uris":["http://zotero.org/users/7125028/items/K8ZYEUYS"],"itemData":{"id":712,"type":"article-journal","abstract":"Zinc (Zn) is required for the function of more than 300 enzymes involved in many metabolic pathways, and is a vital micronutrient for living organisms. To investigate if Zn isotopes could be used to better understand metal homeostasis, as well as a biomarker for diseases, we assessed the distribution of natural Zn isotopes in various mouse tissues. We found that, with respect to Zn isotopes, most mouse organs are isotopically distinct and that the total range of variation within one mouse encompasses the variations observed in the Earth's crust. Therefore, biological activity may have a major impact on the distribution of Zn isotopes in inorganic materials. The most striking aspect of the data is that red blood cells and bones are enriched by ~0.5 per mil in (66)Zn relative to (64)Zn when compared to serum, and up to ~1 per mil when compared to the brain and liver. This fractionation is well explained by the equilibrium distribution of isotopes between different bonding environments of Zn in different organs. Differences in gender and genetic background did not appear to affect the isotopic distribution of Zn. Together, these results suggest the potential use of Zn isotopes as a tracer for dietary Zn, and for detecting disturbances in Zn metabolism due to pathological conditions.","container-title":"Metallomics: Integrated Biometal Science","DOI":"10.1039/c3mt00008g","ISSN":"1756-591X","issue":"6","journalAbbreviation":"Metallomics","language":"eng","note":"PMID: 23589059","page":"693-699","source":"PubMed","title":"Heterogeneous distribution of natural zinc isotopes in mice","volume":"5","author":[{"family":"Moynier","given":"Frédéric"},{"family":"Fujii","given":"Toshiyuki"},{"family":"Shaw","given":"Andrey S."},{"family":"Le Borgne","given":"Marie"}],"issued":{"date-parts":[["2013",6]]}}}],"schema":"https://github.com/citation-style-language/schema/raw/master/csl-citation.json"} </w:instrText>
      </w:r>
      <w:r w:rsidR="00557BBE">
        <w:rPr>
          <w:rFonts w:ascii="Times New Roman" w:eastAsia="Times New Roman" w:hAnsi="Times New Roman" w:cs="Times New Roman"/>
          <w:color w:val="000000"/>
          <w:sz w:val="24"/>
          <w:szCs w:val="24"/>
          <w:lang w:eastAsia="en-US"/>
        </w:rPr>
        <w:fldChar w:fldCharType="separate"/>
      </w:r>
      <w:r w:rsidR="000475E4" w:rsidRPr="000475E4">
        <w:rPr>
          <w:rFonts w:ascii="Times New Roman" w:hAnsi="Times New Roman" w:cs="Times New Roman"/>
          <w:sz w:val="24"/>
          <w:szCs w:val="24"/>
          <w:vertAlign w:val="superscript"/>
        </w:rPr>
        <w:t>32,33</w:t>
      </w:r>
      <w:r w:rsidR="00557BBE">
        <w:rPr>
          <w:rFonts w:ascii="Times New Roman" w:eastAsia="Times New Roman" w:hAnsi="Times New Roman" w:cs="Times New Roman"/>
          <w:color w:val="000000"/>
          <w:sz w:val="24"/>
          <w:szCs w:val="24"/>
          <w:lang w:eastAsia="en-US"/>
        </w:rPr>
        <w:fldChar w:fldCharType="end"/>
      </w:r>
      <w:r w:rsidR="00C24932" w:rsidRPr="000829A5">
        <w:rPr>
          <w:rFonts w:ascii="Times New Roman" w:eastAsia="Times New Roman" w:hAnsi="Times New Roman" w:cs="Times New Roman"/>
          <w:color w:val="000000"/>
          <w:sz w:val="24"/>
          <w:szCs w:val="24"/>
          <w:lang w:eastAsia="en-US"/>
        </w:rPr>
        <w:t>.</w:t>
      </w:r>
      <w:r w:rsidRPr="000829A5">
        <w:rPr>
          <w:rFonts w:ascii="Times New Roman" w:eastAsia="Times New Roman" w:hAnsi="Times New Roman" w:cs="Times New Roman"/>
          <w:color w:val="000000"/>
          <w:sz w:val="24"/>
          <w:szCs w:val="24"/>
          <w:lang w:eastAsia="en-US"/>
        </w:rPr>
        <w:t xml:space="preserve"> </w:t>
      </w:r>
      <w:r w:rsidR="002C6CEE" w:rsidRPr="002C6CEE">
        <w:rPr>
          <w:rFonts w:ascii="Times New Roman" w:eastAsia="Times New Roman" w:hAnsi="Times New Roman" w:cs="Times New Roman"/>
          <w:color w:val="000000"/>
          <w:sz w:val="24"/>
          <w:szCs w:val="24"/>
          <w:lang w:eastAsia="en-US"/>
        </w:rPr>
        <w:t>Carnivores, which consume exclusively meat, are expected to exhibit lower zinc isotope ratios compared to their prey. This results in lower δ</w:t>
      </w:r>
      <w:r w:rsidR="002C6CEE" w:rsidRPr="002C6CEE">
        <w:rPr>
          <w:rFonts w:ascii="Times New Roman" w:eastAsia="Times New Roman" w:hAnsi="Times New Roman" w:cs="Times New Roman"/>
          <w:color w:val="000000"/>
          <w:sz w:val="24"/>
          <w:szCs w:val="24"/>
          <w:vertAlign w:val="superscript"/>
          <w:lang w:eastAsia="en-US"/>
        </w:rPr>
        <w:t>66</w:t>
      </w:r>
      <w:r w:rsidR="002C6CEE" w:rsidRPr="002C6CEE">
        <w:rPr>
          <w:rFonts w:ascii="Times New Roman" w:eastAsia="Times New Roman" w:hAnsi="Times New Roman" w:cs="Times New Roman"/>
          <w:color w:val="000000"/>
          <w:sz w:val="24"/>
          <w:szCs w:val="24"/>
          <w:lang w:eastAsia="en-US"/>
        </w:rPr>
        <w:t xml:space="preserve">Zn values for carnivores compared to their dietary sources. </w:t>
      </w:r>
      <w:r w:rsidRPr="00D70D43">
        <w:rPr>
          <w:rFonts w:ascii="Times New Roman" w:eastAsia="Times New Roman" w:hAnsi="Times New Roman" w:cs="Times New Roman"/>
          <w:color w:val="000000"/>
          <w:sz w:val="24"/>
          <w:szCs w:val="24"/>
          <w:lang w:eastAsia="en-US"/>
        </w:rPr>
        <w:t>Bones have a different isotopic composition than muscles as they are enriched in heavy isotope</w:t>
      </w:r>
      <w:r w:rsidR="008B4920">
        <w:rPr>
          <w:rFonts w:ascii="Times New Roman" w:eastAsia="Times New Roman" w:hAnsi="Times New Roman" w:cs="Times New Roman"/>
          <w:color w:val="000000"/>
          <w:sz w:val="24"/>
          <w:szCs w:val="24"/>
          <w:lang w:eastAsia="en-US"/>
        </w:rPr>
        <w:t>s</w:t>
      </w:r>
      <w:r w:rsidRPr="00D70D43">
        <w:rPr>
          <w:rFonts w:ascii="Times New Roman" w:eastAsia="Times New Roman" w:hAnsi="Times New Roman" w:cs="Times New Roman"/>
          <w:color w:val="000000"/>
          <w:sz w:val="24"/>
          <w:szCs w:val="24"/>
          <w:lang w:eastAsia="en-US"/>
        </w:rPr>
        <w:t>. Consequently, bone consumers like hyena usually exhibit a different isotopic composition than carnivores who feed only meat</w:t>
      </w:r>
      <w:r w:rsidR="00C24932">
        <w:rPr>
          <w:rFonts w:ascii="Times New Roman" w:eastAsia="Times New Roman" w:hAnsi="Times New Roman" w:cs="Times New Roman"/>
          <w:color w:val="000000"/>
          <w:sz w:val="24"/>
          <w:szCs w:val="24"/>
          <w:lang w:eastAsia="en-US"/>
        </w:rPr>
        <w:t xml:space="preserve"> </w:t>
      </w:r>
      <w:r w:rsidR="00C24932">
        <w:rPr>
          <w:rFonts w:ascii="Times New Roman" w:eastAsia="Times New Roman" w:hAnsi="Times New Roman" w:cs="Times New Roman"/>
          <w:color w:val="000000"/>
          <w:sz w:val="24"/>
          <w:szCs w:val="24"/>
          <w:lang w:eastAsia="en-US"/>
        </w:rPr>
        <w:fldChar w:fldCharType="begin"/>
      </w:r>
      <w:r w:rsidR="000475E4">
        <w:rPr>
          <w:rFonts w:ascii="Times New Roman" w:eastAsia="Times New Roman" w:hAnsi="Times New Roman" w:cs="Times New Roman"/>
          <w:color w:val="000000"/>
          <w:sz w:val="24"/>
          <w:szCs w:val="24"/>
          <w:lang w:eastAsia="en-US"/>
        </w:rPr>
        <w:instrText xml:space="preserve"> ADDIN ZOTERO_ITEM CSL_CITATION {"citationID":"xHbUctLO","properties":{"formattedCitation":"\\super 26\\nosupersub{}","plainCitation":"26","noteIndex":0},"citationItems":[{"id":257,"uris":["http://zotero.org/users/7125028/items/JAQK23F2"],"itemData":{"id":257,"type":"article-journal","abstract":"In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P."}],"issued":{"date-parts":[["2016",5,18]]}}}],"schema":"https://github.com/citation-style-language/schema/raw/master/csl-citation.json"} </w:instrText>
      </w:r>
      <w:r w:rsidR="00C24932">
        <w:rPr>
          <w:rFonts w:ascii="Times New Roman" w:eastAsia="Times New Roman" w:hAnsi="Times New Roman" w:cs="Times New Roman"/>
          <w:color w:val="000000"/>
          <w:sz w:val="24"/>
          <w:szCs w:val="24"/>
          <w:lang w:eastAsia="en-US"/>
        </w:rPr>
        <w:fldChar w:fldCharType="separate"/>
      </w:r>
      <w:r w:rsidR="000475E4" w:rsidRPr="000475E4">
        <w:rPr>
          <w:rFonts w:ascii="Times New Roman" w:hAnsi="Times New Roman" w:cs="Times New Roman"/>
          <w:sz w:val="24"/>
          <w:szCs w:val="24"/>
          <w:vertAlign w:val="superscript"/>
        </w:rPr>
        <w:t>26</w:t>
      </w:r>
      <w:r w:rsidR="00C24932">
        <w:rPr>
          <w:rFonts w:ascii="Times New Roman" w:eastAsia="Times New Roman" w:hAnsi="Times New Roman" w:cs="Times New Roman"/>
          <w:color w:val="000000"/>
          <w:sz w:val="24"/>
          <w:szCs w:val="24"/>
          <w:lang w:eastAsia="en-US"/>
        </w:rPr>
        <w:fldChar w:fldCharType="end"/>
      </w:r>
      <w:r w:rsidR="00C24932">
        <w:rPr>
          <w:rFonts w:ascii="Times New Roman" w:eastAsia="Times New Roman" w:hAnsi="Times New Roman" w:cs="Times New Roman"/>
          <w:color w:val="000000"/>
          <w:sz w:val="24"/>
          <w:szCs w:val="24"/>
          <w:lang w:eastAsia="en-US"/>
        </w:rPr>
        <w:t>.</w:t>
      </w:r>
    </w:p>
    <w:p w14:paraId="5FE2056A" w14:textId="1E03DB58" w:rsidR="008B4920" w:rsidRPr="0064579A" w:rsidRDefault="008B4920" w:rsidP="008B4920">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One study documented the impact of breastfeeding on Zn isotope ratios, and teeth formed during the breastfeeding time show the highest ratios</w:t>
      </w:r>
      <w:r w:rsidR="00A64C5C">
        <w:rPr>
          <w:rFonts w:ascii="Times New Roman" w:eastAsia="Times New Roman" w:hAnsi="Times New Roman" w:cs="Times New Roman"/>
          <w:sz w:val="24"/>
          <w:szCs w:val="24"/>
        </w:rPr>
        <w:t xml:space="preserve"> </w:t>
      </w:r>
      <w:r w:rsidR="00A64C5C">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{"citationID":"F9WqWlGr","properties":{"formattedCitation":"\\super 27\\nosupersub{}","plainCitation":"27","noteIndex":0},"citationItems":[{"id":187,"uris":["http://zotero.org/users/7125028/items/5MKWU4L4"],"itemData":{"id":187,"type":"article-journal","abstract":"Zinc (Zn) isotope ratios of dental enamel are a promising tracer for dietary reconstruction in archeology, but its use is still in its infancy. A recent study demonstrated a high risk of Zn contamination from nitrile, and latex gloves used during chemical sample preparation. Here we assess the potential impact of the use of such gloves during enamel sampling on the Zn isotope composition of teeth from a population of early Holocene hunter gatherers from Lapa do Santo, Lagoa Santa, Minas Gerais, Brazil. We first examined the amount of Zn and its isotopic composition released from the gloves used in this study by soaking them in weak nitric acid and water. We compared Zn isotope ratios obtained from teeth that were sampled wearing nitrile, latex or no gloves. Finally, we performed a linear mixed model (LMM) to investigate post hoc the relationship between the gloves used for sampling and the Zn isotope variability in dental enamel. We found that the gloves used in this study released a similar amount of Zn compared to previous work, but only in acidic solution. Zn isotope ratios of teeth and the LMM identified no sign of significant Zn coming from the gloves when teeth were handled for enamel sampling. We hypothesize that Zn in gloves is mostly released by contact with acids. We found that the main source of Zn isotope variability in the Lapa do Santo population was related to the developmental stage of the tooth tissues sampled. We report identical results for two individuals coming from a different archeological context. Tooth enamel formed in utero and/or during the two first years of life showed higher Zn isotope ratios than enamel formed after weaning. More work is required to systematically investigate if Zn isotopes can be used as a breastfeeding tracer.","container-title":"PLOS ONE","DOI":"10.1371/journal.pone.0232379","ISSN":"1932-6203","issue":"5","journalAbbreviation":"PLOS ONE","language":"en","note":"publisher: Public Library of Science","page":"e0232379","source":"PLoS Journals","title":"Zinc isotope variations in archeological human teeth (Lapa do Santo, Brazil) reveal dietary transitions in childhood and no contamination from gloves","volume":"15","author":[{"family":"Jaouen","given":"Klervia"},{"family":"Trost","given":"Manuel"},{"family":"Bourgon","given":"Nicolas"},{"family":"Colleter","given":"Rozenn"},{"family":"Cabec","given":"Adeline Le"},{"family":"Tütken","given":"Thomas"},{"family":"Oliveira","given":"Rodrigo Elias"},{"family":"Pons","given":"Marie Laure"},{"family":"Méjean","given":"Pauline"},{"family":"Steinbrenner","given":"Sven"},{"family":"Chmeleff","given":"Jérôme"},{"family":"Strauss","given":"André"}],"issued":{"date-parts":[["2020",5,14]]}}}],"schema":"https://github.com/citation-style-language/schema/raw/master/csl-citation.json"} </w:instrText>
      </w:r>
      <w:r w:rsidR="00A64C5C">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27</w:t>
      </w:r>
      <w:r w:rsidR="00A64C5C">
        <w:rPr>
          <w:rFonts w:ascii="Times New Roman" w:eastAsia="Times New Roman" w:hAnsi="Times New Roman" w:cs="Times New Roman"/>
          <w:sz w:val="24"/>
          <w:szCs w:val="24"/>
        </w:rPr>
        <w:fldChar w:fldCharType="end"/>
      </w:r>
    </w:p>
    <w:p w14:paraId="00000032" w14:textId="1942ACA7" w:rsidR="00784AF4" w:rsidRPr="00D70D43" w:rsidRDefault="00131D1A" w:rsidP="008B4920">
      <w:pPr>
        <w:spacing w:after="0" w:line="360" w:lineRule="auto"/>
        <w:jc w:val="both"/>
        <w:rPr>
          <w:rFonts w:ascii="Times New Roman" w:eastAsia="Times New Roman" w:hAnsi="Times New Roman" w:cs="Times New Roman"/>
          <w:sz w:val="24"/>
          <w:szCs w:val="24"/>
        </w:rPr>
      </w:pPr>
      <w:r w:rsidRPr="0064579A">
        <w:rPr>
          <w:rFonts w:ascii="Times New Roman" w:eastAsia="Times New Roman" w:hAnsi="Times New Roman" w:cs="Times New Roman"/>
          <w:sz w:val="24"/>
          <w:szCs w:val="24"/>
        </w:rPr>
        <w:t>In sum, m</w:t>
      </w:r>
      <w:r w:rsidR="00643A30" w:rsidRPr="0064579A">
        <w:rPr>
          <w:rFonts w:ascii="Times New Roman" w:eastAsia="Times New Roman" w:hAnsi="Times New Roman" w:cs="Times New Roman"/>
          <w:sz w:val="24"/>
          <w:szCs w:val="24"/>
        </w:rPr>
        <w:t xml:space="preserve">eat consumption is associated to low </w:t>
      </w:r>
      <w:r w:rsidR="00643A30" w:rsidRPr="00D70D43">
        <w:rPr>
          <w:rFonts w:ascii="Times New Roman" w:eastAsia="Times New Roman" w:hAnsi="Times New Roman" w:cs="Times New Roman"/>
          <w:sz w:val="24"/>
          <w:szCs w:val="24"/>
        </w:rPr>
        <w:t>δ</w:t>
      </w:r>
      <w:r w:rsidR="00643A30" w:rsidRPr="0064579A">
        <w:rPr>
          <w:rFonts w:ascii="Times New Roman" w:eastAsia="Times New Roman" w:hAnsi="Times New Roman" w:cs="Times New Roman"/>
          <w:sz w:val="24"/>
          <w:szCs w:val="24"/>
          <w:vertAlign w:val="superscript"/>
        </w:rPr>
        <w:t>66</w:t>
      </w:r>
      <w:r w:rsidR="00643A30" w:rsidRPr="0064579A">
        <w:rPr>
          <w:rFonts w:ascii="Times New Roman" w:eastAsia="Times New Roman" w:hAnsi="Times New Roman" w:cs="Times New Roman"/>
          <w:sz w:val="24"/>
          <w:szCs w:val="24"/>
        </w:rPr>
        <w:t xml:space="preserve">Zn values -when it is revealed by elevated </w:t>
      </w:r>
      <w:r w:rsidR="00643A30" w:rsidRPr="00D70D43">
        <w:rPr>
          <w:rFonts w:ascii="Times New Roman" w:eastAsia="Times New Roman" w:hAnsi="Times New Roman" w:cs="Times New Roman"/>
          <w:sz w:val="24"/>
          <w:szCs w:val="24"/>
        </w:rPr>
        <w:t>δ</w:t>
      </w:r>
      <w:r w:rsidR="00643A30" w:rsidRPr="0064579A">
        <w:rPr>
          <w:rFonts w:ascii="Times New Roman" w:eastAsia="Times New Roman" w:hAnsi="Times New Roman" w:cs="Times New Roman"/>
          <w:sz w:val="24"/>
          <w:szCs w:val="24"/>
          <w:vertAlign w:val="superscript"/>
        </w:rPr>
        <w:t>15</w:t>
      </w:r>
      <w:r w:rsidR="00643A30" w:rsidRPr="0064579A">
        <w:rPr>
          <w:rFonts w:ascii="Times New Roman" w:eastAsia="Times New Roman" w:hAnsi="Times New Roman" w:cs="Times New Roman"/>
          <w:sz w:val="24"/>
          <w:szCs w:val="24"/>
        </w:rPr>
        <w:t>N values in bone collagen</w:t>
      </w:r>
      <w:r w:rsidR="00E86BD6" w:rsidRPr="0064579A">
        <w:rPr>
          <w:rFonts w:ascii="Times New Roman" w:eastAsia="Times New Roman" w:hAnsi="Times New Roman" w:cs="Times New Roman"/>
          <w:sz w:val="24"/>
          <w:szCs w:val="24"/>
        </w:rPr>
        <w:t xml:space="preserve">. </w:t>
      </w:r>
      <w:r w:rsidR="0003068C" w:rsidRPr="00D70D43">
        <w:rPr>
          <w:rFonts w:ascii="Times New Roman" w:eastAsia="Times New Roman" w:hAnsi="Times New Roman" w:cs="Times New Roman"/>
          <w:sz w:val="24"/>
          <w:szCs w:val="24"/>
        </w:rPr>
        <w:t>Conversely to nitrogen, Zn becomes relatively depleted in heavy isotopes with successive trophic levels</w:t>
      </w:r>
      <w:r w:rsidR="00AB3CAB">
        <w:rPr>
          <w:rFonts w:ascii="Times New Roman" w:eastAsia="Times New Roman" w:hAnsi="Times New Roman" w:cs="Times New Roman"/>
          <w:sz w:val="24"/>
          <w:szCs w:val="24"/>
        </w:rPr>
        <w:t>. However, both N and Zn show higher isotope ratios in tissues of breastfed children relative to their nurturer.</w:t>
      </w:r>
    </w:p>
    <w:p w14:paraId="00000033" w14:textId="77777777" w:rsidR="00784AF4" w:rsidRPr="00D70D43" w:rsidRDefault="00784AF4">
      <w:pPr>
        <w:spacing w:after="0"/>
        <w:rPr>
          <w:rFonts w:ascii="Times New Roman" w:eastAsia="Times New Roman" w:hAnsi="Times New Roman" w:cs="Times New Roman"/>
          <w:sz w:val="24"/>
          <w:szCs w:val="24"/>
        </w:rPr>
      </w:pPr>
    </w:p>
    <w:p w14:paraId="00000034" w14:textId="402DEAD8" w:rsidR="00784AF4" w:rsidRPr="0064579A" w:rsidRDefault="0003068C">
      <w:pPr>
        <w:spacing w:after="0"/>
        <w:rPr>
          <w:rFonts w:ascii="Times New Roman" w:eastAsia="Times New Roman" w:hAnsi="Times New Roman" w:cs="Times New Roman"/>
          <w:b/>
          <w:i/>
          <w:sz w:val="24"/>
          <w:szCs w:val="24"/>
        </w:rPr>
      </w:pPr>
      <w:bookmarkStart w:id="7" w:name="_Hlk121128334"/>
      <w:r w:rsidRPr="0064579A">
        <w:rPr>
          <w:rFonts w:ascii="Times New Roman" w:eastAsia="Times New Roman" w:hAnsi="Times New Roman" w:cs="Times New Roman"/>
          <w:b/>
          <w:i/>
          <w:sz w:val="24"/>
          <w:szCs w:val="24"/>
        </w:rPr>
        <w:t>2.</w:t>
      </w:r>
      <w:r w:rsidR="004B143B">
        <w:rPr>
          <w:rFonts w:ascii="Times New Roman" w:eastAsia="Times New Roman" w:hAnsi="Times New Roman" w:cs="Times New Roman"/>
          <w:b/>
          <w:i/>
          <w:sz w:val="24"/>
          <w:szCs w:val="24"/>
        </w:rPr>
        <w:t>3</w:t>
      </w:r>
      <w:r w:rsidRPr="0064579A">
        <w:rPr>
          <w:rFonts w:ascii="Times New Roman" w:eastAsia="Times New Roman" w:hAnsi="Times New Roman" w:cs="Times New Roman"/>
          <w:b/>
          <w:i/>
          <w:sz w:val="24"/>
          <w:szCs w:val="24"/>
        </w:rPr>
        <w:t xml:space="preserve"> Strontium isotope </w:t>
      </w:r>
      <w:r w:rsidR="008E2742" w:rsidRPr="0064579A">
        <w:rPr>
          <w:rFonts w:ascii="Times New Roman" w:eastAsia="Times New Roman" w:hAnsi="Times New Roman" w:cs="Times New Roman"/>
          <w:b/>
          <w:i/>
          <w:sz w:val="24"/>
          <w:szCs w:val="24"/>
        </w:rPr>
        <w:t>ratios:</w:t>
      </w:r>
      <w:r w:rsidRPr="0064579A">
        <w:rPr>
          <w:rFonts w:ascii="Times New Roman" w:eastAsia="Times New Roman" w:hAnsi="Times New Roman" w:cs="Times New Roman"/>
          <w:b/>
          <w:i/>
          <w:sz w:val="24"/>
          <w:szCs w:val="24"/>
        </w:rPr>
        <w:t xml:space="preserve"> a mobility tracer retrieved from dental enamel</w:t>
      </w:r>
    </w:p>
    <w:bookmarkEnd w:id="7"/>
    <w:p w14:paraId="4C15014B" w14:textId="1A1852C9" w:rsidR="008E2742" w:rsidRPr="00D70D43" w:rsidRDefault="008E2742">
      <w:pPr>
        <w:spacing w:after="0"/>
        <w:rPr>
          <w:rFonts w:ascii="Times New Roman" w:eastAsia="Times New Roman" w:hAnsi="Times New Roman" w:cs="Times New Roman"/>
          <w:b/>
          <w:sz w:val="24"/>
          <w:szCs w:val="24"/>
        </w:rPr>
      </w:pPr>
    </w:p>
    <w:p w14:paraId="05FF604D" w14:textId="13DD3E6B" w:rsidR="00F776DC" w:rsidRPr="00D70D43" w:rsidRDefault="008E2742" w:rsidP="00AB3CAB">
      <w:pPr>
        <w:pStyle w:val="NormalWeb"/>
        <w:spacing w:before="0" w:beforeAutospacing="0" w:after="200" w:afterAutospacing="0" w:line="360" w:lineRule="auto"/>
        <w:jc w:val="both"/>
        <w:rPr>
          <w:color w:val="000000" w:themeColor="text1"/>
          <w:shd w:val="clear" w:color="auto" w:fill="FFFFFF"/>
          <w:lang w:val="en-US" w:eastAsia="en-US"/>
        </w:rPr>
      </w:pPr>
      <w:r w:rsidRPr="00D70D43">
        <w:rPr>
          <w:color w:val="222222"/>
          <w:shd w:val="clear" w:color="auto" w:fill="FFFFFF"/>
          <w:lang w:val="en-US" w:eastAsia="en-US"/>
        </w:rPr>
        <w:t xml:space="preserve">Strontium </w:t>
      </w:r>
      <w:r w:rsidRPr="00D70D43">
        <w:rPr>
          <w:color w:val="000000"/>
          <w:lang w:val="en-US" w:eastAsia="en-US"/>
        </w:rPr>
        <w:t>is trace element and</w:t>
      </w:r>
      <w:r w:rsidRPr="00D70D43">
        <w:rPr>
          <w:color w:val="222222"/>
          <w:shd w:val="clear" w:color="auto" w:fill="FFFFFF"/>
          <w:lang w:val="en-US" w:eastAsia="en-US"/>
        </w:rPr>
        <w:t xml:space="preserve"> has four naturally occurring isotopes. Three of them are </w:t>
      </w:r>
      <w:r w:rsidR="00F776DC" w:rsidRPr="00D70D43">
        <w:rPr>
          <w:color w:val="222222"/>
          <w:shd w:val="clear" w:color="auto" w:fill="FFFFFF"/>
          <w:lang w:val="en-US" w:eastAsia="en-US"/>
        </w:rPr>
        <w:t>stable</w:t>
      </w:r>
      <w:r w:rsidRPr="00D70D43">
        <w:rPr>
          <w:color w:val="222222"/>
          <w:shd w:val="clear" w:color="auto" w:fill="FFFFFF"/>
          <w:lang w:val="en-US" w:eastAsia="en-US"/>
        </w:rPr>
        <w:t xml:space="preserve"> </w:t>
      </w:r>
      <w:r w:rsidRPr="00D70D43">
        <w:rPr>
          <w:color w:val="222222"/>
          <w:shd w:val="clear" w:color="auto" w:fill="FFFFFF"/>
          <w:vertAlign w:val="superscript"/>
          <w:lang w:val="en-US" w:eastAsia="en-US"/>
        </w:rPr>
        <w:t>84</w:t>
      </w:r>
      <w:r w:rsidRPr="00D70D43">
        <w:rPr>
          <w:color w:val="222222"/>
          <w:shd w:val="clear" w:color="auto" w:fill="FFFFFF"/>
          <w:lang w:val="en-US" w:eastAsia="en-US"/>
        </w:rPr>
        <w:t xml:space="preserve">Sr, </w:t>
      </w:r>
      <w:r w:rsidRPr="00D70D43">
        <w:rPr>
          <w:color w:val="222222"/>
          <w:shd w:val="clear" w:color="auto" w:fill="FFFFFF"/>
          <w:vertAlign w:val="superscript"/>
          <w:lang w:val="en-US" w:eastAsia="en-US"/>
        </w:rPr>
        <w:t>86</w:t>
      </w:r>
      <w:r w:rsidRPr="00D70D43">
        <w:rPr>
          <w:color w:val="222222"/>
          <w:shd w:val="clear" w:color="auto" w:fill="FFFFFF"/>
          <w:lang w:val="en-US" w:eastAsia="en-US"/>
        </w:rPr>
        <w:t xml:space="preserve">Sr, </w:t>
      </w:r>
      <w:r w:rsidRPr="00D70D43">
        <w:rPr>
          <w:color w:val="222222"/>
          <w:shd w:val="clear" w:color="auto" w:fill="FFFFFF"/>
          <w:vertAlign w:val="superscript"/>
          <w:lang w:val="en-US" w:eastAsia="en-US"/>
        </w:rPr>
        <w:t>88</w:t>
      </w:r>
      <w:r w:rsidRPr="00D70D43">
        <w:rPr>
          <w:color w:val="222222"/>
          <w:shd w:val="clear" w:color="auto" w:fill="FFFFFF"/>
          <w:lang w:val="en-US" w:eastAsia="en-US"/>
        </w:rPr>
        <w:t xml:space="preserve">Sr and one is radiogenic </w:t>
      </w:r>
      <w:r w:rsidRPr="00D70D43">
        <w:rPr>
          <w:color w:val="222222"/>
          <w:shd w:val="clear" w:color="auto" w:fill="FFFFFF"/>
          <w:vertAlign w:val="superscript"/>
          <w:lang w:val="en-US" w:eastAsia="en-US"/>
        </w:rPr>
        <w:t>87</w:t>
      </w:r>
      <w:r w:rsidRPr="00D70D43">
        <w:rPr>
          <w:color w:val="222222"/>
          <w:shd w:val="clear" w:color="auto" w:fill="FFFFFF"/>
          <w:lang w:val="en-US" w:eastAsia="en-US"/>
        </w:rPr>
        <w:t>Sr. This later is produced by the process of the radioactive decay of rubidium</w:t>
      </w:r>
      <w:r w:rsidR="00F776DC" w:rsidRPr="00D70D43">
        <w:rPr>
          <w:color w:val="222222"/>
          <w:shd w:val="clear" w:color="auto" w:fill="FFFFFF"/>
          <w:lang w:val="en-US" w:eastAsia="en-US"/>
        </w:rPr>
        <w:t xml:space="preserve"> </w:t>
      </w:r>
      <w:proofErr w:type="spellStart"/>
      <w:r w:rsidR="00F776DC" w:rsidRPr="00D70D43">
        <w:rPr>
          <w:color w:val="222222"/>
          <w:shd w:val="clear" w:color="auto" w:fill="FFFFFF"/>
          <w:lang w:val="en-US" w:eastAsia="en-US"/>
        </w:rPr>
        <w:t>Rb</w:t>
      </w:r>
      <w:proofErr w:type="spellEnd"/>
      <w:r w:rsidRPr="00D70D43">
        <w:rPr>
          <w:color w:val="222222"/>
          <w:shd w:val="clear" w:color="auto" w:fill="FFFFFF"/>
          <w:lang w:val="en-US" w:eastAsia="en-US"/>
        </w:rPr>
        <w:t>. The natural abundances of these isotopes are respectively (0.56%), (9.879%), (82.53%) and (7.04%). In fact,</w:t>
      </w:r>
      <w:r w:rsidRPr="00D70D43">
        <w:rPr>
          <w:color w:val="222222"/>
          <w:shd w:val="clear" w:color="auto" w:fill="FFFFFF"/>
          <w:vertAlign w:val="superscript"/>
          <w:lang w:val="en-US" w:eastAsia="en-US"/>
        </w:rPr>
        <w:t xml:space="preserve"> 87</w:t>
      </w:r>
      <w:r w:rsidRPr="00D70D43">
        <w:rPr>
          <w:color w:val="222222"/>
          <w:shd w:val="clear" w:color="auto" w:fill="FFFFFF"/>
          <w:lang w:val="en-US" w:eastAsia="en-US"/>
        </w:rPr>
        <w:t xml:space="preserve">Sr is formed overtime by the </w:t>
      </w:r>
      <w:r w:rsidRPr="00D70D43">
        <w:rPr>
          <w:color w:val="222222"/>
          <w:lang w:eastAsia="en-US"/>
        </w:rPr>
        <w:t>β</w:t>
      </w:r>
      <w:r w:rsidRPr="00D70D43">
        <w:rPr>
          <w:color w:val="222222"/>
          <w:lang w:val="en-US" w:eastAsia="en-US"/>
        </w:rPr>
        <w:t>-decay of rubidium</w:t>
      </w:r>
      <w:r w:rsidRPr="00D70D43">
        <w:rPr>
          <w:color w:val="222222"/>
          <w:shd w:val="clear" w:color="auto" w:fill="FFFFFF"/>
          <w:lang w:val="en-US" w:eastAsia="en-US"/>
        </w:rPr>
        <w:t xml:space="preserve"> </w:t>
      </w:r>
      <w:r w:rsidRPr="00D70D43">
        <w:rPr>
          <w:color w:val="222222"/>
          <w:shd w:val="clear" w:color="auto" w:fill="FFFFFF"/>
          <w:vertAlign w:val="superscript"/>
          <w:lang w:val="en-US" w:eastAsia="en-US"/>
        </w:rPr>
        <w:t>87</w:t>
      </w:r>
      <w:r w:rsidRPr="00D70D43">
        <w:rPr>
          <w:color w:val="222222"/>
          <w:shd w:val="clear" w:color="auto" w:fill="FFFFFF"/>
          <w:lang w:val="en-US" w:eastAsia="en-US"/>
        </w:rPr>
        <w:t>Rb (half-life ~ 4.7 × 10</w:t>
      </w:r>
      <w:r w:rsidRPr="00D70D43">
        <w:rPr>
          <w:color w:val="222222"/>
          <w:shd w:val="clear" w:color="auto" w:fill="FFFFFF"/>
          <w:vertAlign w:val="superscript"/>
          <w:lang w:val="en-US" w:eastAsia="en-US"/>
        </w:rPr>
        <w:t>10</w:t>
      </w:r>
      <w:r w:rsidRPr="00D70D43">
        <w:rPr>
          <w:color w:val="222222"/>
          <w:shd w:val="clear" w:color="auto" w:fill="FFFFFF"/>
          <w:lang w:val="en-US" w:eastAsia="en-US"/>
        </w:rPr>
        <w:t xml:space="preserve"> years)</w:t>
      </w:r>
      <w:r w:rsidR="00C943DE">
        <w:rPr>
          <w:color w:val="222222"/>
          <w:shd w:val="clear" w:color="auto" w:fill="FFFFFF"/>
          <w:lang w:val="en-US" w:eastAsia="en-US"/>
        </w:rPr>
        <w:t xml:space="preserve">. </w:t>
      </w:r>
      <w:r w:rsidR="00F776DC" w:rsidRPr="00D70D43">
        <w:rPr>
          <w:color w:val="222222"/>
          <w:shd w:val="clear" w:color="auto" w:fill="FFFFFF"/>
          <w:lang w:val="en-US" w:eastAsia="en-US"/>
        </w:rPr>
        <w:t xml:space="preserve">The amount of radiogenic </w:t>
      </w:r>
      <w:r w:rsidR="00F776DC" w:rsidRPr="00D70D43">
        <w:rPr>
          <w:color w:val="222222"/>
          <w:shd w:val="clear" w:color="auto" w:fill="FFFFFF"/>
          <w:vertAlign w:val="superscript"/>
          <w:lang w:val="en-US" w:eastAsia="en-US"/>
        </w:rPr>
        <w:t>87</w:t>
      </w:r>
      <w:r w:rsidR="00F776DC" w:rsidRPr="00D70D43">
        <w:rPr>
          <w:color w:val="222222"/>
          <w:shd w:val="clear" w:color="auto" w:fill="FFFFFF"/>
          <w:lang w:val="en-US" w:eastAsia="en-US"/>
        </w:rPr>
        <w:t xml:space="preserve">Sr in a rock depends on its age and its </w:t>
      </w:r>
      <w:r w:rsidR="00F776DC" w:rsidRPr="00D70D43">
        <w:rPr>
          <w:color w:val="222222"/>
          <w:shd w:val="clear" w:color="auto" w:fill="FFFFFF"/>
          <w:vertAlign w:val="superscript"/>
          <w:lang w:val="en-US" w:eastAsia="en-US"/>
        </w:rPr>
        <w:t>87</w:t>
      </w:r>
      <w:r w:rsidR="00F776DC" w:rsidRPr="00D70D43">
        <w:rPr>
          <w:color w:val="222222"/>
          <w:shd w:val="clear" w:color="auto" w:fill="FFFFFF"/>
          <w:lang w:val="en-US" w:eastAsia="en-US"/>
        </w:rPr>
        <w:t>Rb/</w:t>
      </w:r>
      <w:r w:rsidR="00F776DC" w:rsidRPr="00D70D43">
        <w:rPr>
          <w:color w:val="222222"/>
          <w:shd w:val="clear" w:color="auto" w:fill="FFFFFF"/>
          <w:vertAlign w:val="superscript"/>
          <w:lang w:val="en-US" w:eastAsia="en-US"/>
        </w:rPr>
        <w:t>87</w:t>
      </w:r>
      <w:r w:rsidR="00F776DC" w:rsidRPr="00D70D43">
        <w:rPr>
          <w:color w:val="222222"/>
          <w:shd w:val="clear" w:color="auto" w:fill="FFFFFF"/>
          <w:lang w:val="en-US" w:eastAsia="en-US"/>
        </w:rPr>
        <w:t xml:space="preserve">Sr ratio. Therefore, the </w:t>
      </w:r>
      <w:r w:rsidR="00F776DC" w:rsidRPr="00D70D43">
        <w:rPr>
          <w:color w:val="222222"/>
          <w:shd w:val="clear" w:color="auto" w:fill="FFFFFF"/>
          <w:vertAlign w:val="superscript"/>
          <w:lang w:val="en-US" w:eastAsia="en-US"/>
        </w:rPr>
        <w:t>87</w:t>
      </w:r>
      <w:r w:rsidR="00F776DC" w:rsidRPr="00D70D43">
        <w:rPr>
          <w:color w:val="222222"/>
          <w:shd w:val="clear" w:color="auto" w:fill="FFFFFF"/>
          <w:lang w:val="en-US" w:eastAsia="en-US"/>
        </w:rPr>
        <w:t>Rb/</w:t>
      </w:r>
      <w:r w:rsidR="00F776DC" w:rsidRPr="00D70D43">
        <w:rPr>
          <w:color w:val="222222"/>
          <w:shd w:val="clear" w:color="auto" w:fill="FFFFFF"/>
          <w:vertAlign w:val="superscript"/>
          <w:lang w:val="en-US" w:eastAsia="en-US"/>
        </w:rPr>
        <w:t>87</w:t>
      </w:r>
      <w:r w:rsidR="00F776DC" w:rsidRPr="00D70D43">
        <w:rPr>
          <w:color w:val="222222"/>
          <w:shd w:val="clear" w:color="auto" w:fill="FFFFFF"/>
          <w:lang w:val="en-US" w:eastAsia="en-US"/>
        </w:rPr>
        <w:t xml:space="preserve">Sr of bedrock varies in function to the age and the type of the </w:t>
      </w:r>
      <w:r w:rsidR="00F776DC" w:rsidRPr="00D70D43">
        <w:rPr>
          <w:color w:val="000000" w:themeColor="text1"/>
          <w:shd w:val="clear" w:color="auto" w:fill="FFFFFF"/>
          <w:lang w:val="en-US" w:eastAsia="en-US"/>
        </w:rPr>
        <w:t>rock.</w:t>
      </w:r>
      <w:r w:rsidR="00C943DE">
        <w:rPr>
          <w:color w:val="000000" w:themeColor="text1"/>
          <w:shd w:val="clear" w:color="auto" w:fill="FFFFFF"/>
          <w:lang w:val="en-US" w:eastAsia="en-US"/>
        </w:rPr>
        <w:t xml:space="preserve"> </w:t>
      </w:r>
      <w:r w:rsidR="00C943DE">
        <w:rPr>
          <w:color w:val="000000" w:themeColor="text1"/>
          <w:shd w:val="clear" w:color="auto" w:fill="FFFFFF"/>
          <w:lang w:val="en-US" w:eastAsia="en-US"/>
        </w:rPr>
        <w:fldChar w:fldCharType="begin"/>
      </w:r>
      <w:r w:rsidR="000475E4">
        <w:rPr>
          <w:color w:val="000000" w:themeColor="text1"/>
          <w:shd w:val="clear" w:color="auto" w:fill="FFFFFF"/>
          <w:lang w:val="en-US" w:eastAsia="en-US"/>
        </w:rPr>
        <w:instrText xml:space="preserve"> ADDIN ZOTERO_ITEM CSL_CITATION {"citationID":"JgbTSg99","properties":{"formattedCitation":"\\super 34,35\\nosupersub{}","plainCitation":"34,35","noteIndex":0},"citationItems":[{"id":100,"uris":["http://zotero.org/users/7125028/items/5YVPI98X"],"itemData":{"id":100,"type":"article-journal","abstract":"Strontium isotope analysis of archaeological skeletons has provided useful and exciting results in archaeology in the last 20 years, particularly by characterizing past human migration and mobility. This review covers the biogeochemical background, including the origin of strontium isotope compositions in rocks, weathering and hydrologic cycles that transport strontium, and biopurification of strontium from to soils, to plants, to animals and finally into the human skeleton, which is subject to diagenesis after burial. Spatial heterogeneity and mixing relations must often be accounted for, rather than simply ``matching'' a measured strontium isotope value to a presumed single-valued geologic source. The successes, limitations and future potential of the strontium isotope technique are illustrated through case studies from geochemistry, biogeochemistry, ecology and archaeology.","container-title":"Journal of Archaeological Method and Theory","DOI":"10.1007/s10816-006-9009-x","ISSN":"1573-7764","issue":"3","journalAbbreviation":"J Archaeol Method Theory","language":"en","page":"135-187","source":"Springer Link","title":"Strontium Isotopes from the Earth to the Archaeological Skeleton: A Review","title-short":"Strontium Isotopes from the Earth to the Archaeological Skeleton","volume":"13","author":[{"family":"Bentley","given":"Alexander"}],"issued":{"date-parts":[["2006",9,1]]}}},{"id":101,"uris":["http://zotero.org/users/7125028/items/GDHK4F5Q"],"itemData":{"id":101,"type":"article-journal","abstract":"Strontium isotope analysis of bone and tooth enamel from prehistoric human skeletons is an important new technique used to address questions regarding migration. Two problems arise in such investigations: (1) levels of strontium isotope ratios in local bedrock, soil, water, plants and animals are variable; and (2) a range of values in human bone and enamel data make it difficult to distinguish some migrants from locals. Analysis of the bones of small animals provides a robust measure of local strontium isotope ratios and a reliable, if conservative, means for determining confidence limits for distinguishing migrants. Data from various geographical areas are presented here in a discussion of variability in strontium isotope values. Examples are provided using modern and prehistoric materials. We conclude with the recommendation that studies involving strontium isotope analysis should incorporate small animal samples for comparative purposes whenever possible.","container-title":"Archaeometry","DOI":"10.1111/1475-4754.00047","ISSN":"1475-4754","issue":"1","language":"en","note":"_eprint: https://onlinelibrary.wiley.com/doi/pdf/10.1111/1475-4754.00047","page":"117-135","source":"Wiley Online Library","title":"The Characterization of Biologically Available Strontium Isotope Ratios for the Study of Prehistoric Migration","volume":"44","author":[{"family":"Price","given":"T. D."},{"family":"Burton","given":"J. H."},{"family":"Bentley","given":"R. A."}],"issued":{"date-parts":[["2002"]]}}}],"schema":"https://github.com/citation-style-language/schema/raw/master/csl-citation.json"} </w:instrText>
      </w:r>
      <w:r w:rsidR="00C943DE">
        <w:rPr>
          <w:color w:val="000000" w:themeColor="text1"/>
          <w:shd w:val="clear" w:color="auto" w:fill="FFFFFF"/>
          <w:lang w:val="en-US" w:eastAsia="en-US"/>
        </w:rPr>
        <w:fldChar w:fldCharType="separate"/>
      </w:r>
      <w:r w:rsidR="000475E4" w:rsidRPr="000475E4">
        <w:rPr>
          <w:vertAlign w:val="superscript"/>
          <w:lang w:val="en-US"/>
        </w:rPr>
        <w:t>34,35</w:t>
      </w:r>
      <w:r w:rsidR="00C943DE">
        <w:rPr>
          <w:color w:val="000000" w:themeColor="text1"/>
          <w:shd w:val="clear" w:color="auto" w:fill="FFFFFF"/>
          <w:lang w:val="en-US" w:eastAsia="en-US"/>
        </w:rPr>
        <w:fldChar w:fldCharType="end"/>
      </w:r>
      <w:r w:rsidR="00C943DE">
        <w:rPr>
          <w:color w:val="000000" w:themeColor="text1"/>
          <w:shd w:val="clear" w:color="auto" w:fill="FFFFFF"/>
          <w:lang w:val="en-US" w:eastAsia="en-US"/>
        </w:rPr>
        <w:t>.</w:t>
      </w:r>
    </w:p>
    <w:p w14:paraId="13AD5B2E" w14:textId="1CAE2331" w:rsidR="00F776DC" w:rsidRPr="00D70D43" w:rsidRDefault="00F776DC" w:rsidP="00AB3CAB">
      <w:pPr>
        <w:spacing w:after="200" w:line="360" w:lineRule="auto"/>
        <w:jc w:val="both"/>
        <w:rPr>
          <w:rFonts w:ascii="Times New Roman" w:eastAsia="Times New Roman" w:hAnsi="Times New Roman" w:cs="Times New Roman"/>
          <w:color w:val="000000" w:themeColor="text1"/>
          <w:sz w:val="24"/>
          <w:szCs w:val="24"/>
          <w:lang w:eastAsia="en-US"/>
        </w:rPr>
      </w:pPr>
      <w:r w:rsidRPr="00D70D43">
        <w:rPr>
          <w:rFonts w:ascii="Times New Roman" w:eastAsia="Times New Roman" w:hAnsi="Times New Roman" w:cs="Times New Roman"/>
          <w:color w:val="000000" w:themeColor="text1"/>
          <w:sz w:val="24"/>
          <w:szCs w:val="24"/>
          <w:shd w:val="clear" w:color="auto" w:fill="FFFFFF"/>
          <w:lang w:eastAsia="en-US"/>
        </w:rPr>
        <w:t xml:space="preserve">The isotopic composition of strontium is expressed as a ratio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 xml:space="preserve">Sr/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86</w:t>
      </w:r>
      <w:r w:rsidRPr="00D70D43">
        <w:rPr>
          <w:rFonts w:ascii="Times New Roman" w:eastAsia="Times New Roman" w:hAnsi="Times New Roman" w:cs="Times New Roman"/>
          <w:color w:val="000000" w:themeColor="text1"/>
          <w:sz w:val="24"/>
          <w:szCs w:val="24"/>
          <w:shd w:val="clear" w:color="auto" w:fill="FFFFFF"/>
          <w:lang w:eastAsia="en-US"/>
        </w:rPr>
        <w:t>Sr.</w:t>
      </w:r>
      <w:r w:rsidR="008B4920">
        <w:rPr>
          <w:rFonts w:ascii="Times New Roman" w:eastAsia="Times New Roman" w:hAnsi="Times New Roman" w:cs="Times New Roman"/>
          <w:color w:val="000000" w:themeColor="text1"/>
          <w:sz w:val="24"/>
          <w:szCs w:val="24"/>
          <w:shd w:val="clear" w:color="auto" w:fill="FFFFFF"/>
          <w:lang w:eastAsia="en-US"/>
        </w:rPr>
        <w:t xml:space="preserve"> </w:t>
      </w:r>
      <w:r w:rsidRPr="00D70D43">
        <w:rPr>
          <w:rFonts w:ascii="Times New Roman" w:eastAsia="Times New Roman" w:hAnsi="Times New Roman" w:cs="Times New Roman"/>
          <w:color w:val="000000" w:themeColor="text1"/>
          <w:sz w:val="24"/>
          <w:szCs w:val="24"/>
          <w:shd w:val="clear" w:color="auto" w:fill="FFFFFF"/>
          <w:lang w:eastAsia="en-US"/>
        </w:rPr>
        <w:t xml:space="preserve">Generally, the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 xml:space="preserve">Sr/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86</w:t>
      </w:r>
      <w:r w:rsidRPr="00D70D43">
        <w:rPr>
          <w:rFonts w:ascii="Times New Roman" w:eastAsia="Times New Roman" w:hAnsi="Times New Roman" w:cs="Times New Roman"/>
          <w:color w:val="000000" w:themeColor="text1"/>
          <w:sz w:val="24"/>
          <w:szCs w:val="24"/>
          <w:shd w:val="clear" w:color="auto" w:fill="FFFFFF"/>
          <w:lang w:eastAsia="en-US"/>
        </w:rPr>
        <w:t>Sr signature of the continental crust vary between 0.700-0.750 (Price, 2002). The oldest rocks (</w:t>
      </w:r>
      <w:r w:rsidR="00C943DE">
        <w:rPr>
          <w:rFonts w:ascii="Times New Roman" w:eastAsia="Times New Roman" w:hAnsi="Times New Roman" w:cs="Times New Roman"/>
          <w:color w:val="000000" w:themeColor="text1"/>
          <w:sz w:val="24"/>
          <w:szCs w:val="24"/>
          <w:shd w:val="clear" w:color="auto" w:fill="FFFFFF"/>
          <w:lang w:eastAsia="en-US"/>
        </w:rPr>
        <w:t>~</w:t>
      </w:r>
      <w:r w:rsidRPr="00D70D43">
        <w:rPr>
          <w:rFonts w:ascii="Times New Roman" w:eastAsia="Times New Roman" w:hAnsi="Times New Roman" w:cs="Times New Roman"/>
          <w:color w:val="000000" w:themeColor="text1"/>
          <w:sz w:val="24"/>
          <w:szCs w:val="24"/>
          <w:shd w:val="clear" w:color="auto" w:fill="FFFFFF"/>
          <w:lang w:eastAsia="en-US"/>
        </w:rPr>
        <w:t xml:space="preserve">100mya) with expected high original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Rb/</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 xml:space="preserve">Sr will exhibit a higher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 xml:space="preserve">Sr/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86</w:t>
      </w:r>
      <w:r w:rsidRPr="00D70D43">
        <w:rPr>
          <w:rFonts w:ascii="Times New Roman" w:eastAsia="Times New Roman" w:hAnsi="Times New Roman" w:cs="Times New Roman"/>
          <w:color w:val="000000" w:themeColor="text1"/>
          <w:sz w:val="24"/>
          <w:szCs w:val="24"/>
          <w:shd w:val="clear" w:color="auto" w:fill="FFFFFF"/>
          <w:lang w:eastAsia="en-US"/>
        </w:rPr>
        <w:t>Sr ratio, usually above 0.710. This includes geological formations such as granite and gneiss. Younger rocks (</w:t>
      </w:r>
      <w:r w:rsidR="00C943DE">
        <w:rPr>
          <w:rFonts w:ascii="Times New Roman" w:eastAsia="Times New Roman" w:hAnsi="Times New Roman" w:cs="Times New Roman"/>
          <w:color w:val="000000" w:themeColor="text1"/>
          <w:sz w:val="24"/>
          <w:szCs w:val="24"/>
          <w:shd w:val="clear" w:color="auto" w:fill="FFFFFF"/>
          <w:lang w:eastAsia="en-US"/>
        </w:rPr>
        <w:t>~</w:t>
      </w:r>
      <w:r w:rsidRPr="00D70D43">
        <w:rPr>
          <w:rFonts w:ascii="Times New Roman" w:eastAsia="Times New Roman" w:hAnsi="Times New Roman" w:cs="Times New Roman"/>
          <w:color w:val="000000" w:themeColor="text1"/>
          <w:sz w:val="24"/>
          <w:szCs w:val="24"/>
          <w:shd w:val="clear" w:color="auto" w:fill="FFFFFF"/>
          <w:lang w:eastAsia="en-US"/>
        </w:rPr>
        <w:t xml:space="preserve">1-10mya) with low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Rb/</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 xml:space="preserve">Sr have usually low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87</w:t>
      </w:r>
      <w:r w:rsidRPr="00D70D43">
        <w:rPr>
          <w:rFonts w:ascii="Times New Roman" w:eastAsia="Times New Roman" w:hAnsi="Times New Roman" w:cs="Times New Roman"/>
          <w:color w:val="000000" w:themeColor="text1"/>
          <w:sz w:val="24"/>
          <w:szCs w:val="24"/>
          <w:shd w:val="clear" w:color="auto" w:fill="FFFFFF"/>
          <w:lang w:eastAsia="en-US"/>
        </w:rPr>
        <w:t xml:space="preserve">Sr/ </w:t>
      </w:r>
      <w:r w:rsidRPr="00D70D43">
        <w:rPr>
          <w:rFonts w:ascii="Times New Roman" w:eastAsia="Times New Roman" w:hAnsi="Times New Roman" w:cs="Times New Roman"/>
          <w:color w:val="000000" w:themeColor="text1"/>
          <w:sz w:val="24"/>
          <w:szCs w:val="24"/>
          <w:shd w:val="clear" w:color="auto" w:fill="FFFFFF"/>
          <w:vertAlign w:val="superscript"/>
          <w:lang w:eastAsia="en-US"/>
        </w:rPr>
        <w:t>86</w:t>
      </w:r>
      <w:r w:rsidRPr="00D70D43">
        <w:rPr>
          <w:rFonts w:ascii="Times New Roman" w:eastAsia="Times New Roman" w:hAnsi="Times New Roman" w:cs="Times New Roman"/>
          <w:color w:val="000000" w:themeColor="text1"/>
          <w:sz w:val="24"/>
          <w:szCs w:val="24"/>
          <w:shd w:val="clear" w:color="auto" w:fill="FFFFFF"/>
          <w:lang w:eastAsia="en-US"/>
        </w:rPr>
        <w:t>Sr ratio (0.706) and less in basalts (0.704).</w:t>
      </w:r>
      <w:r w:rsidR="008B4920">
        <w:rPr>
          <w:rFonts w:ascii="Times New Roman" w:eastAsia="Times New Roman" w:hAnsi="Times New Roman" w:cs="Times New Roman"/>
          <w:color w:val="000000" w:themeColor="text1"/>
          <w:sz w:val="24"/>
          <w:szCs w:val="24"/>
          <w:shd w:val="clear" w:color="auto" w:fill="FFFFFF"/>
          <w:lang w:eastAsia="en-US"/>
        </w:rPr>
        <w:t xml:space="preserve"> </w:t>
      </w:r>
      <w:r w:rsidRPr="00D70D43">
        <w:rPr>
          <w:rFonts w:ascii="Times New Roman" w:eastAsia="Times New Roman" w:hAnsi="Times New Roman" w:cs="Times New Roman"/>
          <w:color w:val="000000" w:themeColor="text1"/>
          <w:sz w:val="24"/>
          <w:szCs w:val="24"/>
          <w:shd w:val="clear" w:color="auto" w:fill="FFFFFF"/>
          <w:lang w:eastAsia="en-US"/>
        </w:rPr>
        <w:t>On the other hand, marine limestone and dolomite exhibit an intermediate Sr signature (0.707-0.709).</w:t>
      </w:r>
      <w:r w:rsidR="008B4920">
        <w:rPr>
          <w:rFonts w:ascii="Times New Roman" w:eastAsia="Times New Roman" w:hAnsi="Times New Roman" w:cs="Times New Roman"/>
          <w:color w:val="000000" w:themeColor="text1"/>
          <w:sz w:val="24"/>
          <w:szCs w:val="24"/>
          <w:shd w:val="clear" w:color="auto" w:fill="FFFFFF"/>
          <w:lang w:eastAsia="en-US"/>
        </w:rPr>
        <w:t xml:space="preserve"> </w:t>
      </w:r>
      <w:r w:rsidRPr="00D70D43">
        <w:rPr>
          <w:rFonts w:ascii="Times New Roman" w:eastAsia="Times New Roman" w:hAnsi="Times New Roman" w:cs="Times New Roman"/>
          <w:color w:val="000000" w:themeColor="text1"/>
          <w:sz w:val="24"/>
          <w:szCs w:val="24"/>
          <w:shd w:val="clear" w:color="auto" w:fill="FFFFFF"/>
          <w:lang w:eastAsia="en-US"/>
        </w:rPr>
        <w:lastRenderedPageBreak/>
        <w:t>Although the isotopic variations seem small, they are extremely large compared to the instrumental error of the modern mass spectrometer (± 0.00001) (Bentley, 2006)</w:t>
      </w:r>
      <w:r w:rsidR="00C24004">
        <w:rPr>
          <w:rFonts w:ascii="Times New Roman" w:eastAsia="Times New Roman" w:hAnsi="Times New Roman" w:cs="Times New Roman"/>
          <w:color w:val="000000" w:themeColor="text1"/>
          <w:sz w:val="24"/>
          <w:szCs w:val="24"/>
          <w:shd w:val="clear" w:color="auto" w:fill="FFFFFF"/>
          <w:lang w:eastAsia="en-US"/>
        </w:rPr>
        <w:fldChar w:fldCharType="begin"/>
      </w:r>
      <w:r w:rsidR="000475E4">
        <w:rPr>
          <w:rFonts w:ascii="Times New Roman" w:eastAsia="Times New Roman" w:hAnsi="Times New Roman" w:cs="Times New Roman"/>
          <w:color w:val="000000" w:themeColor="text1"/>
          <w:sz w:val="24"/>
          <w:szCs w:val="24"/>
          <w:shd w:val="clear" w:color="auto" w:fill="FFFFFF"/>
          <w:lang w:eastAsia="en-US"/>
        </w:rPr>
        <w:instrText xml:space="preserve"> ADDIN ZOTERO_ITEM CSL_CITATION {"citationID":"dd2U3FPj","properties":{"formattedCitation":"\\super 34\\nosupersub{}","plainCitation":"34","noteIndex":0},"citationItems":[{"id":100,"uris":["http://zotero.org/users/7125028/items/5YVPI98X"],"itemData":{"id":100,"type":"article-journal","abstract":"Strontium isotope analysis of archaeological skeletons has provided useful and exciting results in archaeology in the last 20 years, particularly by characterizing past human migration and mobility. This review covers the biogeochemical background, including the origin of strontium isotope compositions in rocks, weathering and hydrologic cycles that transport strontium, and biopurification of strontium from to soils, to plants, to animals and finally into the human skeleton, which is subject to diagenesis after burial. Spatial heterogeneity and mixing relations must often be accounted for, rather than simply ``matching'' a measured strontium isotope value to a presumed single-valued geologic source. The successes, limitations and future potential of the strontium isotope technique are illustrated through case studies from geochemistry, biogeochemistry, ecology and archaeology.","container-title":"Journal of Archaeological Method and Theory","DOI":"10.1007/s10816-006-9009-x","ISSN":"1573-7764","issue":"3","journalAbbreviation":"J Archaeol Method Theory","language":"en","page":"135-187","source":"Springer Link","title":"Strontium Isotopes from the Earth to the Archaeological Skeleton: A Review","title-short":"Strontium Isotopes from the Earth to the Archaeological Skeleton","volume":"13","author":[{"family":"Bentley","given":"Alexander"}],"issued":{"date-parts":[["2006",9,1]]}}}],"schema":"https://github.com/citation-style-language/schema/raw/master/csl-citation.json"} </w:instrText>
      </w:r>
      <w:r w:rsidR="00C24004">
        <w:rPr>
          <w:rFonts w:ascii="Times New Roman" w:eastAsia="Times New Roman" w:hAnsi="Times New Roman" w:cs="Times New Roman"/>
          <w:color w:val="000000" w:themeColor="text1"/>
          <w:sz w:val="24"/>
          <w:szCs w:val="24"/>
          <w:shd w:val="clear" w:color="auto" w:fill="FFFFFF"/>
          <w:lang w:eastAsia="en-US"/>
        </w:rPr>
        <w:fldChar w:fldCharType="separate"/>
      </w:r>
      <w:r w:rsidR="000475E4" w:rsidRPr="000475E4">
        <w:rPr>
          <w:rFonts w:ascii="Times New Roman" w:hAnsi="Times New Roman" w:cs="Times New Roman"/>
          <w:sz w:val="24"/>
          <w:szCs w:val="24"/>
          <w:vertAlign w:val="superscript"/>
        </w:rPr>
        <w:t>34</w:t>
      </w:r>
      <w:r w:rsidR="00C24004">
        <w:rPr>
          <w:rFonts w:ascii="Times New Roman" w:eastAsia="Times New Roman" w:hAnsi="Times New Roman" w:cs="Times New Roman"/>
          <w:color w:val="000000" w:themeColor="text1"/>
          <w:sz w:val="24"/>
          <w:szCs w:val="24"/>
          <w:shd w:val="clear" w:color="auto" w:fill="FFFFFF"/>
          <w:lang w:eastAsia="en-US"/>
        </w:rPr>
        <w:fldChar w:fldCharType="end"/>
      </w:r>
      <w:r w:rsidRPr="00D70D43">
        <w:rPr>
          <w:rFonts w:ascii="Times New Roman" w:eastAsia="Times New Roman" w:hAnsi="Times New Roman" w:cs="Times New Roman"/>
          <w:color w:val="000000" w:themeColor="text1"/>
          <w:sz w:val="24"/>
          <w:szCs w:val="24"/>
          <w:shd w:val="clear" w:color="auto" w:fill="FFFFFF"/>
          <w:lang w:eastAsia="en-US"/>
        </w:rPr>
        <w:t>. </w:t>
      </w:r>
    </w:p>
    <w:p w14:paraId="25035D98" w14:textId="684E8E4A" w:rsidR="00F776DC" w:rsidRPr="00D70D43" w:rsidRDefault="004F5613" w:rsidP="00AB3CAB">
      <w:pPr>
        <w:pStyle w:val="NormalWeb"/>
        <w:spacing w:before="0" w:beforeAutospacing="0" w:after="200" w:afterAutospacing="0" w:line="360" w:lineRule="auto"/>
        <w:jc w:val="both"/>
        <w:rPr>
          <w:lang w:val="en-US" w:eastAsia="en-US"/>
        </w:rPr>
      </w:pPr>
      <w:r w:rsidRPr="00D70D43">
        <w:rPr>
          <w:color w:val="000000"/>
          <w:lang w:val="en-US"/>
        </w:rPr>
        <w:t xml:space="preserve">Strontium is chemically and structurally similar to the calcium. As consequence, Sr substitutes for Ca in minerals such as calcite, dolomite and aragonite, also in enamel apatite of animal and human </w:t>
      </w:r>
      <w:r w:rsidRPr="00D70D43">
        <w:rPr>
          <w:color w:val="000000" w:themeColor="text1"/>
          <w:lang w:val="en-US"/>
        </w:rPr>
        <w:t>skeleton</w:t>
      </w:r>
      <w:r w:rsidR="00C943DE">
        <w:rPr>
          <w:color w:val="000000" w:themeColor="text1"/>
          <w:lang w:val="en-US"/>
        </w:rPr>
        <w:fldChar w:fldCharType="begin"/>
      </w:r>
      <w:r w:rsidR="000475E4">
        <w:rPr>
          <w:color w:val="000000" w:themeColor="text1"/>
          <w:lang w:val="en-US"/>
        </w:rPr>
        <w:instrText xml:space="preserve"> ADDIN ZOTERO_ITEM CSL_CITATION {"citationID":"ObwO4NMd","properties":{"formattedCitation":"\\super 36\\nosupersub{}","plainCitation":"36","noteIndex":0},"citationItems":[{"id":716,"uris":["http://zotero.org/users/7125028/items/SPJRB899"],"itemData":{"id":716,"type":"article-journal","abstract":"The processes of bone resorption and formation are tightly governed by a variety of systemic and local regulatory agents. In addition, minerals and trace elements affect bone formation and resorption through direct or indirect effects on bone cells or bone mineral. Some trace elements closely chemically related to calcium, such as strontium (Sr), have pharmacological effects on bone when present at levels higher than those required for normal cell physiology. Indeed, strontium was found to exert several effects on bone cells. In addition to its antiresorptive activity, strontium was found to have anabolic activity in bone, and this may have significant beneficial effects on bone balance in normal and osteopenic animals. Accordingly, strontium has been thought to have potential interest in the treatment of osteoporosis. This review summarizes the mechanisms of action of strontium on bone cells, the evidence for its beneficial effects on bone mass in vivo, and its potential therapeutic effects in osteopenic disorders.","container-title":"Calcified Tissue International","DOI":"10.1007/s002230010055","ISSN":"0171-967X","issue":"3","journalAbbreviation":"Calcif Tissue Int","language":"eng","note":"PMID: 11683526","page":"121-129","source":"PubMed","title":"Mechanisms of action and therapeutic potential of strontium in bone","volume":"69","author":[{"family":"Marie","given":"P. J."},{"family":"Ammann","given":"P."},{"family":"Boivin","given":"G."},{"family":"Rey","given":"C."}],"issued":{"date-parts":[["2001",9]]}}}],"schema":"https://github.com/citation-style-language/schema/raw/master/csl-citation.json"} </w:instrText>
      </w:r>
      <w:r w:rsidR="00C943DE">
        <w:rPr>
          <w:color w:val="000000" w:themeColor="text1"/>
          <w:lang w:val="en-US"/>
        </w:rPr>
        <w:fldChar w:fldCharType="separate"/>
      </w:r>
      <w:r w:rsidR="000475E4" w:rsidRPr="000475E4">
        <w:rPr>
          <w:vertAlign w:val="superscript"/>
          <w:lang w:val="en-US"/>
        </w:rPr>
        <w:t>36</w:t>
      </w:r>
      <w:r w:rsidR="00C943DE">
        <w:rPr>
          <w:color w:val="000000" w:themeColor="text1"/>
          <w:lang w:val="en-US"/>
        </w:rPr>
        <w:fldChar w:fldCharType="end"/>
      </w:r>
      <w:r w:rsidRPr="00D70D43">
        <w:rPr>
          <w:color w:val="000000" w:themeColor="text1"/>
          <w:lang w:val="en-US"/>
        </w:rPr>
        <w:t xml:space="preserve">. </w:t>
      </w:r>
      <w:r w:rsidR="003C50A9" w:rsidRPr="00D70D43">
        <w:rPr>
          <w:color w:val="222222"/>
          <w:shd w:val="clear" w:color="auto" w:fill="FFFFFF"/>
          <w:lang w:val="en-US"/>
        </w:rPr>
        <w:t xml:space="preserve">Strontium is released from rocks by weathering and incorporated into the soil, ground water and stream which will be taken up by primarily producers and then passed through the food web. The fractionation of </w:t>
      </w:r>
      <w:r w:rsidR="003C50A9" w:rsidRPr="00D70D43">
        <w:rPr>
          <w:color w:val="000000" w:themeColor="text1"/>
          <w:shd w:val="clear" w:color="auto" w:fill="FFFFFF"/>
          <w:vertAlign w:val="superscript"/>
          <w:lang w:val="en-US" w:eastAsia="en-US"/>
        </w:rPr>
        <w:t>87</w:t>
      </w:r>
      <w:r w:rsidR="003C50A9" w:rsidRPr="00D70D43">
        <w:rPr>
          <w:color w:val="000000" w:themeColor="text1"/>
          <w:shd w:val="clear" w:color="auto" w:fill="FFFFFF"/>
          <w:lang w:val="en-US" w:eastAsia="en-US"/>
        </w:rPr>
        <w:t>Sr/</w:t>
      </w:r>
      <w:r w:rsidR="003C50A9" w:rsidRPr="00D70D43">
        <w:rPr>
          <w:color w:val="000000" w:themeColor="text1"/>
          <w:shd w:val="clear" w:color="auto" w:fill="FFFFFF"/>
          <w:vertAlign w:val="superscript"/>
          <w:lang w:val="en-US" w:eastAsia="en-US"/>
        </w:rPr>
        <w:t>86</w:t>
      </w:r>
      <w:r w:rsidR="003C50A9" w:rsidRPr="00D70D43">
        <w:rPr>
          <w:color w:val="000000" w:themeColor="text1"/>
          <w:shd w:val="clear" w:color="auto" w:fill="FFFFFF"/>
          <w:lang w:val="en-US" w:eastAsia="en-US"/>
        </w:rPr>
        <w:t>Sr is negligible due to its large isotopic mass</w:t>
      </w:r>
      <w:r w:rsidR="005559BB" w:rsidRPr="00D70D43">
        <w:rPr>
          <w:color w:val="000000" w:themeColor="text1"/>
          <w:shd w:val="clear" w:color="auto" w:fill="FFFFFF"/>
          <w:lang w:val="en-US" w:eastAsia="en-US"/>
        </w:rPr>
        <w:t xml:space="preserve">. </w:t>
      </w:r>
      <w:r w:rsidR="005559BB" w:rsidRPr="00D70D43">
        <w:rPr>
          <w:color w:val="000000"/>
          <w:lang w:val="en-US"/>
        </w:rPr>
        <w:t>Therefore, Sr signature of living being reflects that of local geology. For human</w:t>
      </w:r>
      <w:r w:rsidR="00AB3CAB">
        <w:rPr>
          <w:color w:val="000000"/>
          <w:lang w:val="en-US"/>
        </w:rPr>
        <w:t>s</w:t>
      </w:r>
      <w:r w:rsidR="005559BB" w:rsidRPr="00D70D43">
        <w:rPr>
          <w:color w:val="000000"/>
          <w:lang w:val="en-US"/>
        </w:rPr>
        <w:t xml:space="preserve">, strontium is incorporated into their skeleton via diet. </w:t>
      </w:r>
      <w:r w:rsidR="007E7E79" w:rsidRPr="00D70D43">
        <w:rPr>
          <w:color w:val="000000"/>
          <w:lang w:val="en-US"/>
        </w:rPr>
        <w:t>Thus,</w:t>
      </w:r>
      <w:r w:rsidR="005559BB" w:rsidRPr="00D70D43">
        <w:rPr>
          <w:color w:val="000000"/>
          <w:lang w:val="en-US"/>
        </w:rPr>
        <w:t xml:space="preserve"> th</w:t>
      </w:r>
      <w:r w:rsidR="00AB3CAB">
        <w:rPr>
          <w:color w:val="000000"/>
          <w:lang w:val="en-US"/>
        </w:rPr>
        <w:t>eir</w:t>
      </w:r>
      <w:r w:rsidR="005559BB" w:rsidRPr="00D70D43">
        <w:rPr>
          <w:color w:val="000000"/>
          <w:lang w:val="en-US"/>
        </w:rPr>
        <w:t xml:space="preserve"> </w:t>
      </w:r>
      <w:r w:rsidR="00AB3CAB" w:rsidRPr="00D70D43">
        <w:rPr>
          <w:color w:val="000000" w:themeColor="text1"/>
          <w:shd w:val="clear" w:color="auto" w:fill="FFFFFF"/>
          <w:vertAlign w:val="superscript"/>
          <w:lang w:val="en-US" w:eastAsia="en-US"/>
        </w:rPr>
        <w:t>87</w:t>
      </w:r>
      <w:r w:rsidR="00AB3CAB" w:rsidRPr="00D70D43">
        <w:rPr>
          <w:color w:val="000000" w:themeColor="text1"/>
          <w:shd w:val="clear" w:color="auto" w:fill="FFFFFF"/>
          <w:lang w:val="en-US" w:eastAsia="en-US"/>
        </w:rPr>
        <w:t>Sr/</w:t>
      </w:r>
      <w:r w:rsidR="00AB3CAB" w:rsidRPr="00D70D43">
        <w:rPr>
          <w:color w:val="000000" w:themeColor="text1"/>
          <w:shd w:val="clear" w:color="auto" w:fill="FFFFFF"/>
          <w:vertAlign w:val="superscript"/>
          <w:lang w:val="en-US" w:eastAsia="en-US"/>
        </w:rPr>
        <w:t>86</w:t>
      </w:r>
      <w:r w:rsidR="00AB3CAB" w:rsidRPr="00D70D43">
        <w:rPr>
          <w:color w:val="000000" w:themeColor="text1"/>
          <w:shd w:val="clear" w:color="auto" w:fill="FFFFFF"/>
          <w:lang w:val="en-US" w:eastAsia="en-US"/>
        </w:rPr>
        <w:t xml:space="preserve">Sr </w:t>
      </w:r>
      <w:r w:rsidR="00007EBB" w:rsidRPr="00D70D43">
        <w:rPr>
          <w:color w:val="000000"/>
          <w:lang w:val="en-US"/>
        </w:rPr>
        <w:t>serve</w:t>
      </w:r>
      <w:r w:rsidR="005559BB" w:rsidRPr="00D70D43">
        <w:rPr>
          <w:color w:val="000000"/>
          <w:lang w:val="en-US"/>
        </w:rPr>
        <w:t xml:space="preserve"> as a tracer of the location where the individual grew up and </w:t>
      </w:r>
      <w:r w:rsidR="002E7EE7">
        <w:rPr>
          <w:color w:val="000000"/>
          <w:lang w:val="en-US"/>
        </w:rPr>
        <w:t>their</w:t>
      </w:r>
      <w:r w:rsidR="005559BB" w:rsidRPr="00D70D43">
        <w:rPr>
          <w:color w:val="000000"/>
          <w:lang w:val="en-US"/>
        </w:rPr>
        <w:t xml:space="preserve"> skeleton </w:t>
      </w:r>
      <w:r w:rsidR="002E7EE7">
        <w:rPr>
          <w:color w:val="000000"/>
          <w:lang w:val="en-US"/>
        </w:rPr>
        <w:t xml:space="preserve">was </w:t>
      </w:r>
      <w:r w:rsidR="005559BB" w:rsidRPr="00D70D43">
        <w:rPr>
          <w:color w:val="000000"/>
          <w:lang w:val="en-US"/>
        </w:rPr>
        <w:t>formed.</w:t>
      </w:r>
      <w:r w:rsidR="005559BB" w:rsidRPr="00D70D43">
        <w:rPr>
          <w:color w:val="000000" w:themeColor="text1"/>
          <w:shd w:val="clear" w:color="auto" w:fill="FFFFFF"/>
          <w:lang w:val="en-US" w:eastAsia="en-US"/>
        </w:rPr>
        <w:t xml:space="preserve"> </w:t>
      </w:r>
    </w:p>
    <w:p w14:paraId="00000035" w14:textId="77777777" w:rsidR="00784AF4" w:rsidRPr="00D70D43" w:rsidRDefault="00784AF4">
      <w:pPr>
        <w:spacing w:after="0"/>
        <w:rPr>
          <w:rFonts w:ascii="Times New Roman" w:eastAsia="Times New Roman" w:hAnsi="Times New Roman" w:cs="Times New Roman"/>
          <w:b/>
          <w:sz w:val="24"/>
          <w:szCs w:val="24"/>
        </w:rPr>
      </w:pPr>
    </w:p>
    <w:p w14:paraId="115E4362" w14:textId="22495544" w:rsidR="00A239D1" w:rsidRPr="0064579A" w:rsidRDefault="0003068C" w:rsidP="00A239D1">
      <w:pPr>
        <w:spacing w:after="0"/>
        <w:rPr>
          <w:rFonts w:ascii="Times New Roman" w:eastAsia="Times New Roman" w:hAnsi="Times New Roman" w:cs="Times New Roman"/>
          <w:b/>
          <w:i/>
          <w:sz w:val="24"/>
          <w:szCs w:val="24"/>
        </w:rPr>
      </w:pPr>
      <w:bookmarkStart w:id="8" w:name="_Hlk121128340"/>
      <w:bookmarkStart w:id="9" w:name="_Hlk137039467"/>
      <w:r w:rsidRPr="0064579A">
        <w:rPr>
          <w:rFonts w:ascii="Times New Roman" w:eastAsia="Times New Roman" w:hAnsi="Times New Roman" w:cs="Times New Roman"/>
          <w:b/>
          <w:i/>
          <w:sz w:val="24"/>
          <w:szCs w:val="24"/>
        </w:rPr>
        <w:t>2.</w:t>
      </w:r>
      <w:r w:rsidR="004B143B">
        <w:rPr>
          <w:rFonts w:ascii="Times New Roman" w:eastAsia="Times New Roman" w:hAnsi="Times New Roman" w:cs="Times New Roman"/>
          <w:b/>
          <w:i/>
          <w:sz w:val="24"/>
          <w:szCs w:val="24"/>
        </w:rPr>
        <w:t>4</w:t>
      </w:r>
      <w:r w:rsidRPr="0064579A">
        <w:rPr>
          <w:rFonts w:ascii="Times New Roman" w:eastAsia="Times New Roman" w:hAnsi="Times New Roman" w:cs="Times New Roman"/>
          <w:b/>
          <w:i/>
          <w:sz w:val="24"/>
          <w:szCs w:val="24"/>
        </w:rPr>
        <w:t xml:space="preserve"> Sulphur isotope </w:t>
      </w:r>
      <w:r w:rsidR="008E2742" w:rsidRPr="0064579A">
        <w:rPr>
          <w:rFonts w:ascii="Times New Roman" w:eastAsia="Times New Roman" w:hAnsi="Times New Roman" w:cs="Times New Roman"/>
          <w:b/>
          <w:i/>
          <w:sz w:val="24"/>
          <w:szCs w:val="24"/>
        </w:rPr>
        <w:t>ratios:</w:t>
      </w:r>
      <w:r w:rsidRPr="0064579A">
        <w:rPr>
          <w:rFonts w:ascii="Times New Roman" w:eastAsia="Times New Roman" w:hAnsi="Times New Roman" w:cs="Times New Roman"/>
          <w:b/>
          <w:i/>
          <w:sz w:val="24"/>
          <w:szCs w:val="24"/>
        </w:rPr>
        <w:t xml:space="preserve"> a mobility tracer retrieved from bone and tooth collagen</w:t>
      </w:r>
      <w:bookmarkEnd w:id="8"/>
    </w:p>
    <w:bookmarkEnd w:id="9"/>
    <w:p w14:paraId="3A84F614" w14:textId="77777777" w:rsidR="00A239D1" w:rsidRPr="00D70D43" w:rsidRDefault="00A239D1" w:rsidP="00A239D1">
      <w:pPr>
        <w:spacing w:after="0"/>
        <w:rPr>
          <w:rFonts w:ascii="Times New Roman" w:hAnsi="Times New Roman" w:cs="Times New Roman"/>
          <w:color w:val="000000"/>
          <w:sz w:val="24"/>
          <w:szCs w:val="24"/>
        </w:rPr>
      </w:pPr>
    </w:p>
    <w:p w14:paraId="4DBF8DDF" w14:textId="35E70F09" w:rsidR="00E73D97" w:rsidRPr="000829A5" w:rsidRDefault="00B32EE4" w:rsidP="009656CF">
      <w:pPr>
        <w:spacing w:after="0" w:line="360" w:lineRule="auto"/>
        <w:rPr>
          <w:rFonts w:ascii="Times New Roman" w:eastAsia="Times New Roman" w:hAnsi="Times New Roman" w:cs="Times New Roman"/>
          <w:b/>
          <w:sz w:val="24"/>
          <w:szCs w:val="24"/>
        </w:rPr>
      </w:pPr>
      <w:r w:rsidRPr="00B32EE4">
        <w:rPr>
          <w:rFonts w:ascii="Times New Roman" w:hAnsi="Times New Roman" w:cs="Times New Roman"/>
          <w:color w:val="000000"/>
          <w:sz w:val="24"/>
          <w:szCs w:val="24"/>
        </w:rPr>
        <w:t>Sul</w:t>
      </w:r>
      <w:r w:rsidR="00F96DCB">
        <w:rPr>
          <w:rFonts w:ascii="Times New Roman" w:hAnsi="Times New Roman" w:cs="Times New Roman"/>
          <w:color w:val="000000"/>
          <w:sz w:val="24"/>
          <w:szCs w:val="24"/>
        </w:rPr>
        <w:t>ph</w:t>
      </w:r>
      <w:r w:rsidRPr="00B32EE4">
        <w:rPr>
          <w:rFonts w:ascii="Times New Roman" w:hAnsi="Times New Roman" w:cs="Times New Roman"/>
          <w:color w:val="000000"/>
          <w:sz w:val="24"/>
          <w:szCs w:val="24"/>
        </w:rPr>
        <w:t>ur (S) isotope analysis has been recently utilized as a complementary method to carbon and nitrogen analyses. It has been demonstrated to be a valuable tool for gaining insights into the mobility and consumption of marine foods</w:t>
      </w:r>
      <w:r>
        <w:t xml:space="preserve"> </w:t>
      </w:r>
      <w:r w:rsidR="00484F01">
        <w:rPr>
          <w:rFonts w:ascii="Times New Roman" w:hAnsi="Times New Roman" w:cs="Times New Roman"/>
          <w:color w:val="000000"/>
          <w:sz w:val="24"/>
          <w:szCs w:val="24"/>
        </w:rPr>
        <w:fldChar w:fldCharType="begin"/>
      </w:r>
      <w:r w:rsidR="000475E4">
        <w:rPr>
          <w:rFonts w:ascii="Times New Roman" w:hAnsi="Times New Roman" w:cs="Times New Roman"/>
          <w:color w:val="000000"/>
          <w:sz w:val="24"/>
          <w:szCs w:val="24"/>
        </w:rPr>
        <w:instrText xml:space="preserve"> ADDIN ZOTERO_ITEM CSL_CITATION {"citationID":"Uu21WoBW","properties":{"formattedCitation":"\\super 37,38\\nosupersub{}","plainCitation":"37,38","noteIndex":0},"citationItems":[{"id":625,"uris":["http://zotero.org/users/7125028/items/N5W4V3UJ"],"itemData":{"id":625,"type":"article-journal","abstract":"We undertook combined stable carbon, nitrogen and sulphur isotope analysis of marine and terrestrial faunal remains from two prehistoric coastal shell middens in Denmark. The aim of the investigation was to establish whether sulphur isotopes were useful in discriminating terrestrial and marine consumers in this region. We found that sulphur isotopes do separate marine and terrestrial fauna but, contrary to our expectations, we observed a negative correlation between δ34S and δ13C values for marine fauna. We conclude that similar studies over a broader geographical range are needed before sulphur isotopes can be reliably used to study coastal resource exploitation.","container-title":"Journal of Archaeological Science","DOI":"10.1016/j.jas.2006.05.006","ISSN":"0305-4403","issue":"11","journalAbbreviation":"Journal of Archaeological Science","language":"en","page":"1642-1646","source":"ScienceDirect","title":"Focus: sulphur isotope variation in archaeological marine fauna from northern Europe","title-short":"Focus","volume":"33","author":[{"family":"Craig","given":"O. E."},{"family":"Ross","given":"R."},{"family":"Andersen","given":"Søren H."},{"family":"Milner","given":"N."},{"family":"Bailey","given":"G. N."}],"issued":{"date-parts":[["2006",11,1]]}}},{"id":83,"uris":["http://zotero.org/users/7125028/items/ZWBITGBB"],"itemData":{"id":83,"type":"article-journal","abstract":"Sulphur isotope analysis of archaeological materials provides information on past ecosystems, palaeo-diets, migration and mobility. This review covers the geochemical background, including the variability of sulphur isotope compositions in the geo-, hydro-, and biosphere. Then, a substantive review of archaeological studies is undertaken to introduce this new marker for archaeological sciences and demonstrate its possible applications for future research.","container-title":"Earth-Science Reviews","DOI":"10.1016/j.earscirev.2014.12.002","ISSN":"0012-8252","journalAbbreviation":"Earth-Science Reviews","language":"en","page":"1-17","source":"ScienceDirect","title":"The application of sulphur isotope analyses in archaeological research: A review","title-short":"The application of sulphur isotope analyses in archaeological research","volume":"142","author":[{"family":"Nehlich","given":"Olaf"}],"issued":{"date-parts":[["2015",3,1]]}}}],"schema":"https://github.com/citation-style-language/schema/raw/master/csl-citation.json"} </w:instrText>
      </w:r>
      <w:r w:rsidR="00484F01">
        <w:rPr>
          <w:rFonts w:ascii="Times New Roman" w:hAnsi="Times New Roman" w:cs="Times New Roman"/>
          <w:color w:val="000000"/>
          <w:sz w:val="24"/>
          <w:szCs w:val="24"/>
        </w:rPr>
        <w:fldChar w:fldCharType="separate"/>
      </w:r>
      <w:r w:rsidR="000475E4" w:rsidRPr="000475E4">
        <w:rPr>
          <w:rFonts w:ascii="Times New Roman" w:hAnsi="Times New Roman" w:cs="Times New Roman"/>
          <w:sz w:val="24"/>
          <w:szCs w:val="24"/>
          <w:vertAlign w:val="superscript"/>
        </w:rPr>
        <w:t>37,38</w:t>
      </w:r>
      <w:r w:rsidR="00484F01">
        <w:rPr>
          <w:rFonts w:ascii="Times New Roman" w:hAnsi="Times New Roman" w:cs="Times New Roman"/>
          <w:color w:val="000000"/>
          <w:sz w:val="24"/>
          <w:szCs w:val="24"/>
        </w:rPr>
        <w:fldChar w:fldCharType="end"/>
      </w:r>
      <w:r w:rsidR="00484F01" w:rsidRPr="000829A5">
        <w:rPr>
          <w:rFonts w:ascii="Times New Roman" w:hAnsi="Times New Roman" w:cs="Times New Roman"/>
          <w:color w:val="000000"/>
          <w:sz w:val="24"/>
          <w:szCs w:val="24"/>
        </w:rPr>
        <w:t>.</w:t>
      </w:r>
    </w:p>
    <w:p w14:paraId="77B5AC6D" w14:textId="72211C30" w:rsidR="009739A3" w:rsidRPr="00D70D43" w:rsidRDefault="00A74992" w:rsidP="009656CF">
      <w:pPr>
        <w:spacing w:line="360" w:lineRule="auto"/>
        <w:rPr>
          <w:rFonts w:ascii="Times New Roman" w:hAnsi="Times New Roman" w:cs="Times New Roman"/>
          <w:color w:val="000000"/>
          <w:sz w:val="24"/>
          <w:szCs w:val="24"/>
        </w:rPr>
      </w:pPr>
      <w:r w:rsidRPr="00D70D43">
        <w:rPr>
          <w:rFonts w:ascii="Times New Roman" w:hAnsi="Times New Roman" w:cs="Times New Roman"/>
          <w:color w:val="000000"/>
          <w:sz w:val="24"/>
          <w:szCs w:val="24"/>
        </w:rPr>
        <w:t>On earth, t</w:t>
      </w:r>
      <w:r w:rsidR="009739A3" w:rsidRPr="00D70D43">
        <w:rPr>
          <w:rFonts w:ascii="Times New Roman" w:hAnsi="Times New Roman" w:cs="Times New Roman"/>
          <w:color w:val="000000"/>
          <w:sz w:val="24"/>
          <w:szCs w:val="24"/>
        </w:rPr>
        <w:t xml:space="preserve">here are </w:t>
      </w:r>
      <w:r w:rsidR="00271365" w:rsidRPr="00D70D43">
        <w:rPr>
          <w:rFonts w:ascii="Times New Roman" w:hAnsi="Times New Roman" w:cs="Times New Roman"/>
          <w:color w:val="000000"/>
          <w:sz w:val="24"/>
          <w:szCs w:val="24"/>
        </w:rPr>
        <w:t>three</w:t>
      </w:r>
      <w:r w:rsidR="009739A3" w:rsidRPr="00D70D43">
        <w:rPr>
          <w:rFonts w:ascii="Times New Roman" w:hAnsi="Times New Roman" w:cs="Times New Roman"/>
          <w:color w:val="000000"/>
          <w:sz w:val="24"/>
          <w:szCs w:val="24"/>
        </w:rPr>
        <w:t xml:space="preserve"> main reservoirs for Sulphur: </w:t>
      </w:r>
      <w:r w:rsidRPr="00D70D43">
        <w:rPr>
          <w:rFonts w:ascii="Times New Roman" w:hAnsi="Times New Roman" w:cs="Times New Roman"/>
          <w:color w:val="000000"/>
          <w:sz w:val="24"/>
          <w:szCs w:val="24"/>
        </w:rPr>
        <w:t>Oceanic dissolved sulphates, evaporitic sulphates and the pyrite.</w:t>
      </w:r>
    </w:p>
    <w:p w14:paraId="00000038" w14:textId="193483A5" w:rsidR="00784AF4" w:rsidRPr="00D70D43" w:rsidRDefault="00FC3876" w:rsidP="002E7EE7">
      <w:pPr>
        <w:spacing w:line="360" w:lineRule="auto"/>
        <w:jc w:val="both"/>
        <w:rPr>
          <w:rFonts w:ascii="Times New Roman" w:hAnsi="Times New Roman" w:cs="Times New Roman"/>
          <w:color w:val="000000" w:themeColor="text1"/>
          <w:sz w:val="24"/>
          <w:szCs w:val="24"/>
        </w:rPr>
      </w:pPr>
      <w:r w:rsidRPr="00FC3876">
        <w:rPr>
          <w:rFonts w:ascii="Times New Roman" w:hAnsi="Times New Roman" w:cs="Times New Roman"/>
          <w:color w:val="000000"/>
          <w:sz w:val="24"/>
          <w:szCs w:val="24"/>
        </w:rPr>
        <w:t>Sulfur analysis is primarily based on the variations in δ</w:t>
      </w:r>
      <w:r w:rsidRPr="00FC3876">
        <w:rPr>
          <w:rFonts w:ascii="Times New Roman" w:hAnsi="Times New Roman" w:cs="Times New Roman"/>
          <w:color w:val="000000"/>
          <w:sz w:val="24"/>
          <w:szCs w:val="24"/>
          <w:vertAlign w:val="superscript"/>
        </w:rPr>
        <w:t>34</w:t>
      </w:r>
      <w:r w:rsidRPr="00FC3876">
        <w:rPr>
          <w:rFonts w:ascii="Times New Roman" w:hAnsi="Times New Roman" w:cs="Times New Roman"/>
          <w:color w:val="000000"/>
          <w:sz w:val="24"/>
          <w:szCs w:val="24"/>
        </w:rPr>
        <w:t>S values observed across different ecosystems, such as marine, freshwater, and terrestrial environments. These variations serve as a fundamental principle for studying sulfur isotopes.</w:t>
      </w:r>
      <w:r>
        <w:t xml:space="preserve">  </w:t>
      </w:r>
      <w:r w:rsidR="00510227" w:rsidRPr="00D70D43">
        <w:rPr>
          <w:rFonts w:ascii="Times New Roman" w:hAnsi="Times New Roman" w:cs="Times New Roman"/>
          <w:color w:val="000000" w:themeColor="text1"/>
          <w:sz w:val="24"/>
          <w:szCs w:val="24"/>
        </w:rPr>
        <w:t xml:space="preserve">In marine </w:t>
      </w:r>
      <w:r w:rsidR="00A372EA" w:rsidRPr="00D70D43">
        <w:rPr>
          <w:rFonts w:ascii="Times New Roman" w:hAnsi="Times New Roman" w:cs="Times New Roman"/>
          <w:color w:val="000000" w:themeColor="text1"/>
          <w:sz w:val="24"/>
          <w:szCs w:val="24"/>
        </w:rPr>
        <w:t>ecosystem, the</w:t>
      </w:r>
      <w:r w:rsidR="00510227" w:rsidRPr="00D70D43">
        <w:rPr>
          <w:rFonts w:ascii="Times New Roman" w:hAnsi="Times New Roman" w:cs="Times New Roman"/>
          <w:color w:val="000000" w:themeColor="text1"/>
          <w:sz w:val="24"/>
          <w:szCs w:val="24"/>
        </w:rPr>
        <w:t xml:space="preserve"> </w:t>
      </w:r>
      <w:r w:rsidR="00510227" w:rsidRPr="00D70D43">
        <w:rPr>
          <w:rStyle w:val="Accentuation"/>
          <w:rFonts w:ascii="Times New Roman" w:hAnsi="Times New Roman" w:cs="Times New Roman"/>
          <w:color w:val="000000" w:themeColor="text1"/>
          <w:sz w:val="24"/>
          <w:szCs w:val="24"/>
        </w:rPr>
        <w:t>δ</w:t>
      </w:r>
      <w:r w:rsidR="00510227" w:rsidRPr="00D70D43">
        <w:rPr>
          <w:rFonts w:ascii="Times New Roman" w:hAnsi="Times New Roman" w:cs="Times New Roman"/>
          <w:color w:val="000000" w:themeColor="text1"/>
          <w:sz w:val="24"/>
          <w:szCs w:val="24"/>
          <w:vertAlign w:val="superscript"/>
        </w:rPr>
        <w:t>34</w:t>
      </w:r>
      <w:r w:rsidR="00510227" w:rsidRPr="00D70D43">
        <w:rPr>
          <w:rFonts w:ascii="Times New Roman" w:hAnsi="Times New Roman" w:cs="Times New Roman"/>
          <w:color w:val="000000" w:themeColor="text1"/>
          <w:sz w:val="24"/>
          <w:szCs w:val="24"/>
        </w:rPr>
        <w:t>S values a</w:t>
      </w:r>
      <w:r w:rsidR="00580703" w:rsidRPr="00D70D43">
        <w:rPr>
          <w:rFonts w:ascii="Times New Roman" w:hAnsi="Times New Roman" w:cs="Times New Roman"/>
          <w:color w:val="000000" w:themeColor="text1"/>
          <w:sz w:val="24"/>
          <w:szCs w:val="24"/>
        </w:rPr>
        <w:t xml:space="preserve">re close </w:t>
      </w:r>
      <w:r w:rsidR="00580703" w:rsidRPr="00D70D43">
        <w:rPr>
          <w:rFonts w:ascii="Times New Roman" w:hAnsi="Times New Roman" w:cs="Times New Roman"/>
          <w:sz w:val="24"/>
          <w:szCs w:val="24"/>
        </w:rPr>
        <w:t>+20‰</w:t>
      </w:r>
      <w:r w:rsidR="00A372EA" w:rsidRPr="00D70D43">
        <w:rPr>
          <w:rFonts w:ascii="Times New Roman" w:hAnsi="Times New Roman" w:cs="Times New Roman"/>
          <w:sz w:val="24"/>
          <w:szCs w:val="24"/>
        </w:rPr>
        <w:t xml:space="preserve"> which is the value of the oceanic sulphates</w:t>
      </w:r>
      <w:r w:rsidR="00CC00BE">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{"citationID":"wDZJs7jv","properties":{"formattedCitation":"\\super 39\\nosupersub{}","plainCitation":"39","noteIndex":0},"citationItems":[{"id":628,"uris":["http://zotero.org/users/7125028/items/S2A8UPG7"],"itemData":{"id":628,"type":"article-journal","abstract":"The sulphur isotopic composition of ocean water sulphate was determined, using the SF6 method, for samples from various depths of the Geosecs Stations II and 3 and for a single Pacific Ocean surface sample. The total spread in values obtained is less than that found in previous studies and is consistent with the experimental precision except for one Geosecs II sample which has an unusually low δ34S value. The mean value, + 20.99%., is markedly different from the hitherto accepted value of +20.0%.. The difference is attributed to the greater accuracy obtained when SF6 rather than SO2 is used as the sample gas for sulphur isotope analysis.","container-title":"Geochimica et Cosmochimica Acta","DOI":"10.1016/0016-7037(78)90268-5","ISSN":"0016-7037","issue":"4","journalAbbreviation":"Geochimica et Cosmochimica Acta","language":"en","page":"377-381","source":"ScienceDirect","title":"The sulphur isotopic composition of ocean water sulphate","volume":"42","author":[{"family":"Rees","given":"C. E."},{"family":"Jenkins","given":"W. J."},{"family":"Monster","given":"Jan"}],"issued":{"date-parts":[["1978",4,1]]}}}],"schema":"https://github.com/citation-style-language/schema/raw/master/csl-citation.json"} </w:instrText>
      </w:r>
      <w:r w:rsidR="00CC00BE">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39</w:t>
      </w:r>
      <w:r w:rsidR="00CC00BE">
        <w:rPr>
          <w:rFonts w:ascii="Times New Roman" w:hAnsi="Times New Roman" w:cs="Times New Roman"/>
          <w:sz w:val="24"/>
          <w:szCs w:val="24"/>
        </w:rPr>
        <w:fldChar w:fldCharType="end"/>
      </w:r>
      <w:r w:rsidR="000A523F" w:rsidRPr="00D70D43">
        <w:rPr>
          <w:rFonts w:ascii="Times New Roman" w:hAnsi="Times New Roman" w:cs="Times New Roman"/>
          <w:sz w:val="24"/>
          <w:szCs w:val="24"/>
        </w:rPr>
        <w:t xml:space="preserve">. </w:t>
      </w:r>
      <w:r w:rsidR="002640B2" w:rsidRPr="00D70D43">
        <w:rPr>
          <w:rFonts w:ascii="Times New Roman" w:eastAsia="Times New Roman" w:hAnsi="Times New Roman" w:cs="Times New Roman"/>
          <w:color w:val="000000"/>
          <w:sz w:val="24"/>
          <w:szCs w:val="24"/>
        </w:rPr>
        <w:t xml:space="preserve">Individuals living close to coastal regions display </w:t>
      </w:r>
      <w:r w:rsidR="002640B2" w:rsidRPr="00D70D43">
        <w:rPr>
          <w:rStyle w:val="Accentuation"/>
          <w:rFonts w:ascii="Times New Roman" w:hAnsi="Times New Roman" w:cs="Times New Roman"/>
          <w:color w:val="000000" w:themeColor="text1"/>
          <w:sz w:val="24"/>
          <w:szCs w:val="24"/>
        </w:rPr>
        <w:t>δ</w:t>
      </w:r>
      <w:r w:rsidR="002640B2" w:rsidRPr="00D70D43">
        <w:rPr>
          <w:rFonts w:ascii="Times New Roman" w:hAnsi="Times New Roman" w:cs="Times New Roman"/>
          <w:color w:val="000000" w:themeColor="text1"/>
          <w:sz w:val="24"/>
          <w:szCs w:val="24"/>
          <w:vertAlign w:val="superscript"/>
        </w:rPr>
        <w:t>34</w:t>
      </w:r>
      <w:r w:rsidR="002640B2" w:rsidRPr="00D70D43">
        <w:rPr>
          <w:rFonts w:ascii="Times New Roman" w:hAnsi="Times New Roman" w:cs="Times New Roman"/>
          <w:color w:val="000000" w:themeColor="text1"/>
          <w:sz w:val="24"/>
          <w:szCs w:val="24"/>
        </w:rPr>
        <w:t>S values close to +20</w:t>
      </w:r>
      <w:r w:rsidR="002640B2" w:rsidRPr="00D70D43">
        <w:rPr>
          <w:rFonts w:ascii="Times New Roman" w:hAnsi="Times New Roman" w:cs="Times New Roman"/>
          <w:sz w:val="24"/>
          <w:szCs w:val="24"/>
        </w:rPr>
        <w:t>‰</w:t>
      </w:r>
      <w:r w:rsidR="002640B2" w:rsidRPr="00D70D43">
        <w:rPr>
          <w:rFonts w:ascii="Times New Roman" w:hAnsi="Times New Roman" w:cs="Times New Roman"/>
          <w:color w:val="000000" w:themeColor="text1"/>
          <w:sz w:val="24"/>
          <w:szCs w:val="24"/>
        </w:rPr>
        <w:t xml:space="preserve"> due to the “sea spray effect”</w:t>
      </w:r>
      <w:r w:rsidR="002640B2">
        <w:rPr>
          <w:rFonts w:ascii="Times New Roman" w:hAnsi="Times New Roman" w:cs="Times New Roman"/>
          <w:color w:val="000000" w:themeColor="text1"/>
          <w:sz w:val="24"/>
          <w:szCs w:val="24"/>
        </w:rPr>
        <w:t xml:space="preserve">. </w:t>
      </w:r>
      <w:r w:rsidR="00A049E4" w:rsidRPr="00D70D43">
        <w:rPr>
          <w:rFonts w:ascii="Times New Roman" w:eastAsia="Times New Roman" w:hAnsi="Times New Roman" w:cs="Times New Roman"/>
          <w:color w:val="000000"/>
          <w:sz w:val="24"/>
          <w:szCs w:val="24"/>
        </w:rPr>
        <w:t xml:space="preserve">Plants which are at the base of the trophic chain </w:t>
      </w:r>
      <w:r w:rsidR="00576863" w:rsidRPr="00D70D43">
        <w:rPr>
          <w:rFonts w:ascii="Times New Roman" w:eastAsia="Times New Roman" w:hAnsi="Times New Roman" w:cs="Times New Roman"/>
          <w:color w:val="000000"/>
          <w:sz w:val="24"/>
          <w:szCs w:val="24"/>
        </w:rPr>
        <w:t>receive</w:t>
      </w:r>
      <w:r w:rsidR="00A049E4" w:rsidRPr="00D70D43">
        <w:rPr>
          <w:rFonts w:ascii="Times New Roman" w:eastAsia="Times New Roman" w:hAnsi="Times New Roman" w:cs="Times New Roman"/>
          <w:color w:val="000000"/>
          <w:sz w:val="24"/>
          <w:szCs w:val="24"/>
        </w:rPr>
        <w:t xml:space="preserve"> their Sulphur </w:t>
      </w:r>
      <w:r w:rsidR="00576863" w:rsidRPr="00D70D43">
        <w:rPr>
          <w:rFonts w:ascii="Times New Roman" w:eastAsia="Times New Roman" w:hAnsi="Times New Roman" w:cs="Times New Roman"/>
          <w:color w:val="000000"/>
          <w:sz w:val="24"/>
          <w:szCs w:val="24"/>
        </w:rPr>
        <w:t>through</w:t>
      </w:r>
      <w:r w:rsidR="00A049E4" w:rsidRPr="00D70D43">
        <w:rPr>
          <w:rFonts w:ascii="Times New Roman" w:eastAsia="Times New Roman" w:hAnsi="Times New Roman" w:cs="Times New Roman"/>
          <w:color w:val="000000"/>
          <w:sz w:val="24"/>
          <w:szCs w:val="24"/>
        </w:rPr>
        <w:t xml:space="preserve"> soil minerals or </w:t>
      </w:r>
      <w:r w:rsidR="00576863" w:rsidRPr="00D70D43">
        <w:rPr>
          <w:rFonts w:ascii="Times New Roman" w:eastAsia="Times New Roman" w:hAnsi="Times New Roman" w:cs="Times New Roman"/>
          <w:color w:val="000000"/>
          <w:sz w:val="24"/>
          <w:szCs w:val="24"/>
        </w:rPr>
        <w:t>from</w:t>
      </w:r>
      <w:r w:rsidR="00A049E4" w:rsidRPr="00D70D43">
        <w:rPr>
          <w:rFonts w:ascii="Times New Roman" w:eastAsia="Times New Roman" w:hAnsi="Times New Roman" w:cs="Times New Roman"/>
          <w:color w:val="000000"/>
          <w:sz w:val="24"/>
          <w:szCs w:val="24"/>
        </w:rPr>
        <w:t xml:space="preserve"> aerosols. </w:t>
      </w:r>
      <w:r w:rsidR="00492B05" w:rsidRPr="00D70D43">
        <w:rPr>
          <w:rFonts w:ascii="Times New Roman" w:eastAsia="Times New Roman" w:hAnsi="Times New Roman" w:cs="Times New Roman"/>
          <w:color w:val="000000"/>
          <w:sz w:val="24"/>
          <w:szCs w:val="24"/>
        </w:rPr>
        <w:t>The aerosols are the main sources of Sulphur for plants living close to coastal regions</w:t>
      </w:r>
      <w:r w:rsidR="00CC00BE">
        <w:rPr>
          <w:rFonts w:ascii="Times New Roman" w:eastAsia="Times New Roman" w:hAnsi="Times New Roman" w:cs="Times New Roman"/>
          <w:color w:val="000000"/>
          <w:sz w:val="24"/>
          <w:szCs w:val="24"/>
        </w:rPr>
        <w:t xml:space="preserve"> </w:t>
      </w:r>
      <w:r w:rsidR="00CC00BE">
        <w:rPr>
          <w:rFonts w:ascii="Times New Roman" w:eastAsia="Times New Roman" w:hAnsi="Times New Roman" w:cs="Times New Roman"/>
          <w:color w:val="000000"/>
          <w:sz w:val="24"/>
          <w:szCs w:val="24"/>
        </w:rPr>
        <w:fldChar w:fldCharType="begin"/>
      </w:r>
      <w:r w:rsidR="000475E4">
        <w:rPr>
          <w:rFonts w:ascii="Times New Roman" w:eastAsia="Times New Roman" w:hAnsi="Times New Roman" w:cs="Times New Roman"/>
          <w:color w:val="000000"/>
          <w:sz w:val="24"/>
          <w:szCs w:val="24"/>
        </w:rPr>
        <w:instrText xml:space="preserve"> ADDIN ZOTERO_ITEM CSL_CITATION {"citationID":"vJaoYDYD","properties":{"formattedCitation":"\\super 40\\nosupersub{}","plainCitation":"40","noteIndex":0},"citationItems":[{"id":718,"uris":["http://zotero.org/users/7125028/items/LWGBKDRU"],"itemData":{"id":718,"type":"paper-conference","abstract":"By 1931 it had long been suspected that there were differences in the chemical properties of the isotopes of an element, but it was the discovery of the rare heavy isotopes of the light elements, 13C, 15N, 170, and 180, in 1929 and particularly that of deuterium by Urey and his coworkers in 1931 that led to the detection of such differences. It was correctly felt that the 100% difference in the masses of the hydrogen isotopes would give rise to appreciable chemical dissimilarities, and in the succeeding decade, Urey's group and others predicted and measured such differences. An extension of their studies to isotopic compounds of carbon, nitrogen, and oxygen showed that small differences in the chemical properties of the isotopes of these elements existed as well. The laboratory measurement of chemical isotope effects, both equilibrium and kinetic, has developed into an extremely useful tool for the investigation of the mechanisms of chemical reactions. In addition, it has been recognized that isotope effects occur in nature, so that samples of an element will have variable isotope compositions or ratios reflecting differences in their chemical, biological, and geological histories. Over the past 40 years, extensive measurements of the isotope abundance variations of hydrogen, boron, carbon, oxygen, and sulphur have aided in the determination of geochemical properties of these elements and in the solution of many geochemical problems. Sulphur isotope geochemistry has been a particularly rewarding field of investigation because of the relatively large percentage mass difference between the two principal isotopes, the variety of chemical forms of sulphur, and their widespread occurrences in the earth's lithosphere, hydrosphere, and atmosphere. Sulphur isotope geochemistry studies began in the late 1940s (Thode et al., 1949; Trofimov, 1949). Sulphur isotope ratio studies have been concerned with such problems as isotope fractionation in the biological sulphur cycle, the sulphur-bearing","source":"Semantic Scholar","title":"Sulphur Isotopes in Nature and the Environment: An Overview","title-short":"Sulphur Isotopes in Nature and the Environment","URL":"https://www.semanticscholar.org/paper/Sulphur-Isotopes-in-Nature-and-the-Environment%3A-An-G.-Thode/021e4356354f07a54b9e1445d6361c4896272220","author":[{"family":"Thode","given":"G","suffix":"H"}],"accessed":{"date-parts":[["2022",12,27]]},"issued":{"date-parts":[["2005"]]}}}],"schema":"https://github.com/citation-style-language/schema/raw/master/csl-citation.json"} </w:instrText>
      </w:r>
      <w:r w:rsidR="00CC00BE">
        <w:rPr>
          <w:rFonts w:ascii="Times New Roman" w:eastAsia="Times New Roman" w:hAnsi="Times New Roman" w:cs="Times New Roman"/>
          <w:color w:val="000000"/>
          <w:sz w:val="24"/>
          <w:szCs w:val="24"/>
        </w:rPr>
        <w:fldChar w:fldCharType="separate"/>
      </w:r>
      <w:r w:rsidR="000475E4" w:rsidRPr="000475E4">
        <w:rPr>
          <w:rFonts w:ascii="Times New Roman" w:hAnsi="Times New Roman" w:cs="Times New Roman"/>
          <w:sz w:val="24"/>
          <w:szCs w:val="24"/>
          <w:vertAlign w:val="superscript"/>
        </w:rPr>
        <w:t>40</w:t>
      </w:r>
      <w:r w:rsidR="00CC00BE">
        <w:rPr>
          <w:rFonts w:ascii="Times New Roman" w:eastAsia="Times New Roman" w:hAnsi="Times New Roman" w:cs="Times New Roman"/>
          <w:color w:val="000000"/>
          <w:sz w:val="24"/>
          <w:szCs w:val="24"/>
        </w:rPr>
        <w:fldChar w:fldCharType="end"/>
      </w:r>
      <w:r w:rsidR="00CC00BE" w:rsidRPr="00D70D43" w:rsidDel="00CC00BE">
        <w:rPr>
          <w:rFonts w:ascii="Times New Roman" w:eastAsia="Times New Roman" w:hAnsi="Times New Roman" w:cs="Times New Roman"/>
          <w:color w:val="000000"/>
          <w:sz w:val="24"/>
          <w:szCs w:val="24"/>
        </w:rPr>
        <w:t xml:space="preserve"> </w:t>
      </w:r>
      <w:r w:rsidR="00492B05" w:rsidRPr="00D70D43">
        <w:rPr>
          <w:rFonts w:ascii="Times New Roman" w:eastAsia="Times New Roman" w:hAnsi="Times New Roman" w:cs="Times New Roman"/>
          <w:color w:val="000000"/>
          <w:sz w:val="24"/>
          <w:szCs w:val="24"/>
        </w:rPr>
        <w:t xml:space="preserve"> </w:t>
      </w:r>
    </w:p>
    <w:p w14:paraId="1AF64B89" w14:textId="1529E2EF" w:rsidR="009A680B" w:rsidRPr="00D70D43" w:rsidRDefault="00CC5C86" w:rsidP="002E7EE7">
      <w:pPr>
        <w:spacing w:line="360" w:lineRule="auto"/>
        <w:jc w:val="both"/>
        <w:rPr>
          <w:rFonts w:ascii="Times New Roman" w:hAnsi="Times New Roman" w:cs="Times New Roman"/>
          <w:color w:val="000000" w:themeColor="text1"/>
          <w:sz w:val="24"/>
          <w:szCs w:val="24"/>
        </w:rPr>
      </w:pPr>
      <w:r w:rsidRPr="00D70D43">
        <w:rPr>
          <w:rFonts w:ascii="Times New Roman" w:hAnsi="Times New Roman" w:cs="Times New Roman"/>
          <w:sz w:val="24"/>
          <w:szCs w:val="24"/>
        </w:rPr>
        <w:t xml:space="preserve">Meanwhile, the </w:t>
      </w:r>
      <w:r w:rsidRPr="00D70D43">
        <w:rPr>
          <w:rStyle w:val="Accentuation"/>
          <w:rFonts w:ascii="Times New Roman" w:hAnsi="Times New Roman" w:cs="Times New Roman"/>
          <w:color w:val="000000" w:themeColor="text1"/>
          <w:sz w:val="24"/>
          <w:szCs w:val="24"/>
        </w:rPr>
        <w:t>δ</w:t>
      </w:r>
      <w:r w:rsidRPr="00D70D43">
        <w:rPr>
          <w:rFonts w:ascii="Times New Roman" w:hAnsi="Times New Roman" w:cs="Times New Roman"/>
          <w:color w:val="000000" w:themeColor="text1"/>
          <w:sz w:val="24"/>
          <w:szCs w:val="24"/>
          <w:vertAlign w:val="superscript"/>
        </w:rPr>
        <w:t>34</w:t>
      </w:r>
      <w:r w:rsidRPr="00D70D43">
        <w:rPr>
          <w:rFonts w:ascii="Times New Roman" w:hAnsi="Times New Roman" w:cs="Times New Roman"/>
          <w:color w:val="000000" w:themeColor="text1"/>
          <w:sz w:val="24"/>
          <w:szCs w:val="24"/>
        </w:rPr>
        <w:t>S values in the terrestrial values varies from (ca. -20</w:t>
      </w:r>
      <w:r w:rsidRPr="00D70D43">
        <w:rPr>
          <w:rFonts w:ascii="Times New Roman" w:hAnsi="Times New Roman" w:cs="Times New Roman"/>
          <w:sz w:val="24"/>
          <w:szCs w:val="24"/>
        </w:rPr>
        <w:t>‰ to +20‰)</w:t>
      </w:r>
      <w:r w:rsidR="00042ABC" w:rsidRPr="00D70D43">
        <w:rPr>
          <w:rFonts w:ascii="Times New Roman" w:hAnsi="Times New Roman" w:cs="Times New Roman"/>
          <w:sz w:val="24"/>
          <w:szCs w:val="24"/>
        </w:rPr>
        <w:t xml:space="preserve"> and depends on the Sulphur in the local bedrock</w:t>
      </w:r>
      <w:r w:rsidR="00576863" w:rsidRPr="00D70D43">
        <w:rPr>
          <w:rFonts w:ascii="Times New Roman" w:hAnsi="Times New Roman" w:cs="Times New Roman"/>
          <w:sz w:val="24"/>
          <w:szCs w:val="24"/>
        </w:rPr>
        <w:t xml:space="preserve"> </w:t>
      </w:r>
      <w:r w:rsidR="009D4CEF">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{"citationID":"Z6WXKW5e","properties":{"formattedCitation":"\\super 38,41\\nosupersub{}","plainCitation":"38,41","noteIndex":0},"citationItems":[{"id":98,"uris":["http://zotero.org/users/7125028/items/W7J3HQE3"],"itemData":{"id":98,"type":"article-journal","container-title":"New Zealand Journal of Science","ISSN":"ISSN 0028-8365","issue":"4","language":"en","page":"433-440","source":"inis.iaea.org","title":"Sulphur isotopic variations in nature","volume":"19","author":[{"family":"Kusakabe","given":"M."},{"family":"Rafter","given":"T. A."},{"family":"Stout","given":"J. D."},{"family":"Collie","given":"T. W."}],"issued":{"date-parts":[["1976"]]}}},{"id":83,"uris":["http://zotero.org/users/7125028/items/ZWBITGBB"],"itemData":{"id":83,"type":"article-journal","abstract":"Sulphur isotope analysis of archaeological materials provides information on past ecosystems, palaeo-diets, migration and mobility. This review covers the geochemical background, including the variability of sulphur isotope compositions in the geo-, hydro-, and biosphere. Then, a substantive review of archaeological studies is undertaken to introduce this new marker for archaeological sciences and demonstrate its possible applications for future research.","container-title":"Earth-Science Reviews","DOI":"10.1016/j.earscirev.2014.12.002","ISSN":"0012-8252","journalAbbreviation":"Earth-Science Reviews","language":"en","page":"1-17","source":"ScienceDirect","title":"The application of sulphur isotope analyses in archaeological research: A review","title-short":"The application of sulphur isotope analyses in archaeological research","volume":"142","author":[{"family":"Nehlich","given":"Olaf"}],"issued":{"date-parts":[["2015",3,1]]}}}],"schema":"https://github.com/citation-style-language/schema/raw/master/csl-citation.json"} </w:instrText>
      </w:r>
      <w:r w:rsidR="009D4CEF">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38,41</w:t>
      </w:r>
      <w:r w:rsidR="009D4CEF">
        <w:rPr>
          <w:rFonts w:ascii="Times New Roman" w:hAnsi="Times New Roman" w:cs="Times New Roman"/>
          <w:sz w:val="24"/>
          <w:szCs w:val="24"/>
        </w:rPr>
        <w:fldChar w:fldCharType="end"/>
      </w:r>
      <w:r w:rsidR="009656CF" w:rsidRPr="00D70D43">
        <w:rPr>
          <w:rFonts w:ascii="Times New Roman" w:hAnsi="Times New Roman" w:cs="Times New Roman"/>
          <w:color w:val="000000" w:themeColor="text1"/>
          <w:sz w:val="24"/>
          <w:szCs w:val="24"/>
        </w:rPr>
        <w:t xml:space="preserve">. Sulphur is released from rocks by weathering and incorporated into the soil, which will be taken up by primarily producers and then passed through the food web. </w:t>
      </w:r>
      <w:r w:rsidR="00042ABC" w:rsidRPr="00D70D43">
        <w:rPr>
          <w:rFonts w:ascii="Times New Roman" w:eastAsia="Times New Roman" w:hAnsi="Times New Roman" w:cs="Times New Roman"/>
          <w:color w:val="000000"/>
          <w:sz w:val="24"/>
          <w:szCs w:val="24"/>
        </w:rPr>
        <w:t xml:space="preserve">For instance, </w:t>
      </w:r>
      <w:r w:rsidR="009A680B" w:rsidRPr="00D70D43">
        <w:rPr>
          <w:rStyle w:val="Accentuation"/>
          <w:rFonts w:ascii="Times New Roman" w:hAnsi="Times New Roman" w:cs="Times New Roman"/>
          <w:color w:val="000000" w:themeColor="text1"/>
          <w:sz w:val="24"/>
          <w:szCs w:val="24"/>
        </w:rPr>
        <w:t>δ</w:t>
      </w:r>
      <w:r w:rsidR="009A680B" w:rsidRPr="00D70D43">
        <w:rPr>
          <w:rFonts w:ascii="Times New Roman" w:hAnsi="Times New Roman" w:cs="Times New Roman"/>
          <w:color w:val="000000" w:themeColor="text1"/>
          <w:sz w:val="24"/>
          <w:szCs w:val="24"/>
          <w:vertAlign w:val="superscript"/>
        </w:rPr>
        <w:t>34</w:t>
      </w:r>
      <w:r w:rsidR="009A680B" w:rsidRPr="00D70D43">
        <w:rPr>
          <w:rFonts w:ascii="Times New Roman" w:hAnsi="Times New Roman" w:cs="Times New Roman"/>
          <w:color w:val="000000" w:themeColor="text1"/>
          <w:sz w:val="24"/>
          <w:szCs w:val="24"/>
        </w:rPr>
        <w:t xml:space="preserve">S values are found in </w:t>
      </w:r>
      <w:r w:rsidR="00042ABC" w:rsidRPr="00D70D43">
        <w:rPr>
          <w:rFonts w:ascii="Times New Roman" w:eastAsia="Times New Roman" w:hAnsi="Times New Roman" w:cs="Times New Roman"/>
          <w:color w:val="000000"/>
          <w:sz w:val="24"/>
          <w:szCs w:val="24"/>
        </w:rPr>
        <w:t>sedimentary</w:t>
      </w:r>
      <w:r w:rsidR="009A680B" w:rsidRPr="00D70D43">
        <w:rPr>
          <w:rFonts w:ascii="Times New Roman" w:eastAsia="Times New Roman" w:hAnsi="Times New Roman" w:cs="Times New Roman"/>
          <w:color w:val="000000"/>
          <w:sz w:val="24"/>
          <w:szCs w:val="24"/>
        </w:rPr>
        <w:t xml:space="preserve"> </w:t>
      </w:r>
      <w:proofErr w:type="spellStart"/>
      <w:r w:rsidR="009A680B" w:rsidRPr="00D70D43">
        <w:rPr>
          <w:rFonts w:ascii="Times New Roman" w:eastAsia="Times New Roman" w:hAnsi="Times New Roman" w:cs="Times New Roman"/>
          <w:color w:val="000000"/>
          <w:sz w:val="24"/>
          <w:szCs w:val="24"/>
        </w:rPr>
        <w:t>sulphides</w:t>
      </w:r>
      <w:proofErr w:type="spellEnd"/>
      <w:r w:rsidR="00042ABC" w:rsidRPr="00D70D43">
        <w:rPr>
          <w:rFonts w:ascii="Times New Roman" w:eastAsia="Times New Roman" w:hAnsi="Times New Roman" w:cs="Times New Roman"/>
          <w:color w:val="000000"/>
          <w:sz w:val="24"/>
          <w:szCs w:val="24"/>
        </w:rPr>
        <w:t xml:space="preserve"> and </w:t>
      </w:r>
      <w:r w:rsidR="009656CF" w:rsidRPr="00D70D43">
        <w:rPr>
          <w:rFonts w:ascii="Times New Roman" w:eastAsia="Times New Roman" w:hAnsi="Times New Roman" w:cs="Times New Roman"/>
          <w:color w:val="000000"/>
          <w:sz w:val="24"/>
          <w:szCs w:val="24"/>
        </w:rPr>
        <w:t>igneous</w:t>
      </w:r>
      <w:r w:rsidR="00042ABC" w:rsidRPr="00D70D43">
        <w:rPr>
          <w:rFonts w:ascii="Times New Roman" w:eastAsia="Times New Roman" w:hAnsi="Times New Roman" w:cs="Times New Roman"/>
          <w:color w:val="000000"/>
          <w:sz w:val="24"/>
          <w:szCs w:val="24"/>
        </w:rPr>
        <w:t xml:space="preserve"> </w:t>
      </w:r>
      <w:r w:rsidR="009A680B" w:rsidRPr="00D70D43">
        <w:rPr>
          <w:rFonts w:ascii="Times New Roman" w:eastAsia="Times New Roman" w:hAnsi="Times New Roman" w:cs="Times New Roman"/>
          <w:color w:val="000000"/>
          <w:sz w:val="24"/>
          <w:szCs w:val="24"/>
        </w:rPr>
        <w:t xml:space="preserve">minerals, while the values largely increase in geological sulphates </w:t>
      </w:r>
      <w:r w:rsidR="00DB3574">
        <w:rPr>
          <w:rFonts w:ascii="Times New Roman" w:eastAsia="Times New Roman" w:hAnsi="Times New Roman" w:cs="Times New Roman"/>
          <w:color w:val="000000"/>
          <w:sz w:val="24"/>
          <w:szCs w:val="24"/>
        </w:rPr>
        <w:fldChar w:fldCharType="begin"/>
      </w:r>
      <w:r w:rsidR="000475E4">
        <w:rPr>
          <w:rFonts w:ascii="Times New Roman" w:eastAsia="Times New Roman" w:hAnsi="Times New Roman" w:cs="Times New Roman"/>
          <w:color w:val="000000"/>
          <w:sz w:val="24"/>
          <w:szCs w:val="24"/>
        </w:rPr>
        <w:instrText xml:space="preserve"> ADDIN ZOTERO_ITEM CSL_CITATION {"citationID":"VP9Necaq","properties":{"formattedCitation":"\\super 40\\nosupersub{}","plainCitation":"40","noteIndex":0},"citationItems":[{"id":718,"uris":["http://zotero.org/users/7125028/items/LWGBKDRU"],"itemData":{"id":718,"type":"paper-conference","abstract":"By 1931 it had long been suspected that there were differences in the chemical properties of the isotopes of an element, but it was the discovery of the rare heavy isotopes of the light elements, 13C, 15N, 170, and 180, in 1929 and particularly that of deuterium by Urey and his coworkers in 1931 that led to the detection of such differences. It was correctly felt that the 100% difference in the masses of the hydrogen isotopes would give rise to appreciable chemical dissimilarities, and in the succeeding decade, Urey's group and others predicted and measured such differences. An extension of their studies to isotopic compounds of carbon, nitrogen, and oxygen showed that small differences in the chemical properties of the isotopes of these elements existed as well. The laboratory measurement of chemical isotope effects, both equilibrium and kinetic, has developed into an extremely useful tool for the investigation of the mechanisms of chemical reactions. In addition, it has been recognized that isotope effects occur in nature, so that samples of an element will have variable isotope compositions or ratios reflecting differences in their chemical, biological, and geological histories. Over the past 40 years, extensive measurements of the isotope abundance variations of hydrogen, boron, carbon, oxygen, and sulphur have aided in the determination of geochemical properties of these elements and in the solution of many geochemical problems. Sulphur isotope geochemistry has been a particularly rewarding field of investigation because of the relatively large percentage mass difference between the two principal isotopes, the variety of chemical forms of sulphur, and their widespread occurrences in the earth's lithosphere, hydrosphere, and atmosphere. Sulphur isotope geochemistry studies began in the late 1940s (Thode et al., 1949; Trofimov, 1949). Sulphur isotope ratio studies have been concerned with such problems as isotope fractionation in the biological sulphur cycle, the sulphur-bearing","source":"Semantic Scholar","title":"Sulphur Isotopes in Nature and the Environment: An Overview","title-short":"Sulphur Isotopes in Nature and the Environment","URL":"https://www.semanticscholar.org/paper/Sulphur-Isotopes-in-Nature-and-the-Environment%3A-An-G.-Thode/021e4356354f07a54b9e1445d6361c4896272220","author":[{"family":"Thode","given":"G","suffix":"H"}],"accessed":{"date-parts":[["2022",12,27]]},"issued":{"date-parts":[["2005"]]}}}],"schema":"https://github.com/citation-style-language/schema/raw/master/csl-citation.json"} </w:instrText>
      </w:r>
      <w:r w:rsidR="00DB3574">
        <w:rPr>
          <w:rFonts w:ascii="Times New Roman" w:eastAsia="Times New Roman" w:hAnsi="Times New Roman" w:cs="Times New Roman"/>
          <w:color w:val="000000"/>
          <w:sz w:val="24"/>
          <w:szCs w:val="24"/>
        </w:rPr>
        <w:fldChar w:fldCharType="separate"/>
      </w:r>
      <w:r w:rsidR="000475E4" w:rsidRPr="000475E4">
        <w:rPr>
          <w:rFonts w:ascii="Times New Roman" w:hAnsi="Times New Roman" w:cs="Times New Roman"/>
          <w:sz w:val="24"/>
          <w:szCs w:val="24"/>
          <w:vertAlign w:val="superscript"/>
        </w:rPr>
        <w:t>40</w:t>
      </w:r>
      <w:r w:rsidR="00DB3574">
        <w:rPr>
          <w:rFonts w:ascii="Times New Roman" w:eastAsia="Times New Roman" w:hAnsi="Times New Roman" w:cs="Times New Roman"/>
          <w:color w:val="000000"/>
          <w:sz w:val="24"/>
          <w:szCs w:val="24"/>
        </w:rPr>
        <w:fldChar w:fldCharType="end"/>
      </w:r>
    </w:p>
    <w:p w14:paraId="78E308BE" w14:textId="3B3353D2" w:rsidR="00900147" w:rsidRPr="00D70D43" w:rsidRDefault="001975A4" w:rsidP="002E7EE7">
      <w:pPr>
        <w:spacing w:line="360" w:lineRule="auto"/>
        <w:jc w:val="both"/>
        <w:rPr>
          <w:rFonts w:ascii="Times New Roman" w:hAnsi="Times New Roman" w:cs="Times New Roman"/>
          <w:color w:val="000000" w:themeColor="text1"/>
          <w:sz w:val="24"/>
          <w:szCs w:val="24"/>
        </w:rPr>
      </w:pPr>
      <w:r w:rsidRPr="00D70D43">
        <w:rPr>
          <w:rFonts w:ascii="Times New Roman" w:eastAsia="Times New Roman" w:hAnsi="Times New Roman" w:cs="Times New Roman"/>
          <w:color w:val="000000"/>
          <w:sz w:val="24"/>
          <w:szCs w:val="24"/>
        </w:rPr>
        <w:lastRenderedPageBreak/>
        <w:t>The plants are depleted by 1.5</w:t>
      </w:r>
      <w:r w:rsidRPr="00D70D43">
        <w:rPr>
          <w:rFonts w:ascii="Times New Roman" w:hAnsi="Times New Roman" w:cs="Times New Roman"/>
          <w:sz w:val="24"/>
          <w:szCs w:val="24"/>
        </w:rPr>
        <w:t xml:space="preserve">‰ to their sources of sulphates </w:t>
      </w:r>
      <w:r w:rsidR="00DB3574">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{"citationID":"jR6kRzSF","properties":{"formattedCitation":"\\super 42\\nosupersub{}","plainCitation":"42","noteIndex":0},"citationItems":[{"id":720,"uris":["http://zotero.org/users/7125028/items/L9MTTFY3"],"itemData":{"id":720,"type":"article-journal","abstract":"The determination of the natural abundances of stable isotopes has become a useful method by which to study the transformations of elements in biological and ecological studies as well as to investigate the mechanisms of chemical reactions. Unlike carbon and nitrogen isotopes, however, stable sulphur isotopes are used infrequently, and their potential as tracers in biochemical and physiological studies are only beginning to be realized. This review provides an overview of research involving stable sulphur isotopes in studies of plant metabolism and pollution. Topics discussed include the mechanisms and accompanying isotopic fractionations involved during the uptake and assimilation of inorganic sulphur compounds by plants, the utility of plants as bioindicators of environmental sulphur pollution, and the emission of isotopically light H2S by plants in response to high concentations of sulphur. Future advances in the field are proposed.","container-title":"Plant, Cell &amp; Environment","DOI":"10.1111/j.1365-3040.1992.tb01661.x","ISSN":"1365-3040","issue":"9","language":"en","note":"_eprint: https://onlinelibrary.wiley.com/doi/pdf/10.1111/j.1365-3040.1992.tb01661.x","page":"1105-1110","source":"Wiley Online Library","title":"Stable sulphur isotopes in plants: a review","title-short":"Stable sulphur isotopes in plants","volume":"15","author":[{"family":"Trust","given":"B. A."},{"family":"Fry","given":"B."}],"issued":{"date-parts":[["1992"]]}}}],"schema":"https://github.com/citation-style-language/schema/raw/master/csl-citation.json"} </w:instrText>
      </w:r>
      <w:r w:rsidR="00DB3574">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42</w:t>
      </w:r>
      <w:r w:rsidR="00DB3574">
        <w:rPr>
          <w:rFonts w:ascii="Times New Roman" w:hAnsi="Times New Roman" w:cs="Times New Roman"/>
          <w:sz w:val="24"/>
          <w:szCs w:val="24"/>
        </w:rPr>
        <w:fldChar w:fldCharType="end"/>
      </w:r>
      <w:r w:rsidRPr="00D70D43">
        <w:rPr>
          <w:rFonts w:ascii="Times New Roman" w:hAnsi="Times New Roman" w:cs="Times New Roman"/>
          <w:sz w:val="24"/>
          <w:szCs w:val="24"/>
        </w:rPr>
        <w:t xml:space="preserve">. </w:t>
      </w:r>
      <w:r w:rsidR="00861907" w:rsidRPr="00D70D43">
        <w:rPr>
          <w:rFonts w:ascii="Times New Roman" w:hAnsi="Times New Roman" w:cs="Times New Roman"/>
          <w:sz w:val="24"/>
          <w:szCs w:val="24"/>
        </w:rPr>
        <w:t>A</w:t>
      </w:r>
      <w:r w:rsidR="00AA62A3" w:rsidRPr="00D70D43">
        <w:rPr>
          <w:rFonts w:ascii="Times New Roman" w:hAnsi="Times New Roman" w:cs="Times New Roman"/>
          <w:sz w:val="24"/>
          <w:szCs w:val="24"/>
        </w:rPr>
        <w:t xml:space="preserve"> small number of </w:t>
      </w:r>
      <w:r w:rsidR="002E7EE7" w:rsidRPr="00D70D43">
        <w:rPr>
          <w:rFonts w:ascii="Times New Roman" w:hAnsi="Times New Roman" w:cs="Times New Roman"/>
          <w:sz w:val="24"/>
          <w:szCs w:val="24"/>
        </w:rPr>
        <w:t>works</w:t>
      </w:r>
      <w:r w:rsidR="00AA62A3" w:rsidRPr="00D70D43">
        <w:rPr>
          <w:rFonts w:ascii="Times New Roman" w:hAnsi="Times New Roman" w:cs="Times New Roman"/>
          <w:sz w:val="24"/>
          <w:szCs w:val="24"/>
        </w:rPr>
        <w:t xml:space="preserve"> shows that </w:t>
      </w:r>
      <w:r w:rsidRPr="00D70D43">
        <w:rPr>
          <w:rFonts w:ascii="Times New Roman" w:eastAsia="Times New Roman" w:hAnsi="Times New Roman" w:cs="Times New Roman"/>
          <w:color w:val="000000"/>
          <w:sz w:val="24"/>
          <w:szCs w:val="24"/>
        </w:rPr>
        <w:t>the isotopic fractionation between food and the consumer</w:t>
      </w:r>
      <w:r w:rsidR="00861907" w:rsidRPr="00D70D43">
        <w:rPr>
          <w:rFonts w:ascii="Times New Roman" w:eastAsia="Times New Roman" w:hAnsi="Times New Roman" w:cs="Times New Roman"/>
          <w:color w:val="000000"/>
          <w:sz w:val="24"/>
          <w:szCs w:val="24"/>
        </w:rPr>
        <w:t>s tissue</w:t>
      </w:r>
      <w:r w:rsidRPr="00D70D43">
        <w:rPr>
          <w:rFonts w:ascii="Times New Roman" w:eastAsia="Times New Roman" w:hAnsi="Times New Roman" w:cs="Times New Roman"/>
          <w:color w:val="000000"/>
          <w:sz w:val="24"/>
          <w:szCs w:val="24"/>
        </w:rPr>
        <w:t xml:space="preserve"> is generally small</w:t>
      </w:r>
      <w:r w:rsidR="00861907" w:rsidRPr="00D70D43">
        <w:rPr>
          <w:rFonts w:ascii="Times New Roman" w:eastAsia="Times New Roman" w:hAnsi="Times New Roman" w:cs="Times New Roman"/>
          <w:color w:val="000000"/>
          <w:sz w:val="24"/>
          <w:szCs w:val="24"/>
        </w:rPr>
        <w:t xml:space="preserve"> to </w:t>
      </w:r>
      <w:r w:rsidR="008354DC" w:rsidRPr="00D70D43">
        <w:rPr>
          <w:rFonts w:ascii="Times New Roman" w:eastAsia="Times New Roman" w:hAnsi="Times New Roman" w:cs="Times New Roman"/>
          <w:color w:val="000000"/>
          <w:sz w:val="24"/>
          <w:szCs w:val="24"/>
        </w:rPr>
        <w:t>negligible</w:t>
      </w:r>
      <w:r w:rsidRPr="00D70D43">
        <w:rPr>
          <w:rFonts w:ascii="Times New Roman" w:eastAsia="Times New Roman" w:hAnsi="Times New Roman" w:cs="Times New Roman"/>
          <w:color w:val="000000"/>
          <w:sz w:val="24"/>
          <w:szCs w:val="24"/>
        </w:rPr>
        <w:t>.</w:t>
      </w:r>
      <w:r w:rsidR="00900147" w:rsidRPr="00D70D43">
        <w:rPr>
          <w:rFonts w:ascii="Times New Roman" w:eastAsia="Times New Roman" w:hAnsi="Times New Roman" w:cs="Times New Roman"/>
          <w:color w:val="000000"/>
          <w:sz w:val="24"/>
          <w:szCs w:val="24"/>
        </w:rPr>
        <w:t xml:space="preserve"> </w:t>
      </w:r>
      <w:r w:rsidR="00576863" w:rsidRPr="00D70D43">
        <w:rPr>
          <w:rFonts w:ascii="Times New Roman" w:eastAsia="Times New Roman" w:hAnsi="Times New Roman" w:cs="Times New Roman"/>
          <w:color w:val="000000"/>
          <w:sz w:val="24"/>
          <w:szCs w:val="24"/>
        </w:rPr>
        <w:t>Therefore,</w:t>
      </w:r>
      <w:r w:rsidR="009238A1" w:rsidRPr="00D70D43">
        <w:rPr>
          <w:rFonts w:ascii="Times New Roman" w:eastAsia="Times New Roman" w:hAnsi="Times New Roman" w:cs="Times New Roman"/>
          <w:color w:val="000000"/>
          <w:sz w:val="24"/>
          <w:szCs w:val="24"/>
        </w:rPr>
        <w:t xml:space="preserve"> the </w:t>
      </w:r>
      <w:r w:rsidR="009238A1" w:rsidRPr="00D70D43">
        <w:rPr>
          <w:rStyle w:val="Accentuation"/>
          <w:rFonts w:ascii="Times New Roman" w:hAnsi="Times New Roman" w:cs="Times New Roman"/>
          <w:color w:val="000000" w:themeColor="text1"/>
          <w:sz w:val="24"/>
          <w:szCs w:val="24"/>
        </w:rPr>
        <w:t>δ</w:t>
      </w:r>
      <w:r w:rsidR="009238A1" w:rsidRPr="00D70D43">
        <w:rPr>
          <w:rFonts w:ascii="Times New Roman" w:hAnsi="Times New Roman" w:cs="Times New Roman"/>
          <w:color w:val="000000" w:themeColor="text1"/>
          <w:sz w:val="24"/>
          <w:szCs w:val="24"/>
          <w:vertAlign w:val="superscript"/>
        </w:rPr>
        <w:t>34</w:t>
      </w:r>
      <w:r w:rsidR="009238A1" w:rsidRPr="00D70D43">
        <w:rPr>
          <w:rFonts w:ascii="Times New Roman" w:hAnsi="Times New Roman" w:cs="Times New Roman"/>
          <w:color w:val="000000" w:themeColor="text1"/>
          <w:sz w:val="24"/>
          <w:szCs w:val="24"/>
        </w:rPr>
        <w:t>S values reflect the local ecosystem of the individual</w:t>
      </w:r>
      <w:r w:rsidR="008A1853" w:rsidRPr="00D70D43">
        <w:rPr>
          <w:rFonts w:ascii="Times New Roman" w:hAnsi="Times New Roman" w:cs="Times New Roman"/>
          <w:color w:val="000000" w:themeColor="text1"/>
          <w:sz w:val="24"/>
          <w:szCs w:val="24"/>
        </w:rPr>
        <w:t xml:space="preserve"> (Richards et al., 2003)</w:t>
      </w:r>
      <w:r w:rsidR="00C82279" w:rsidRPr="00D70D43">
        <w:rPr>
          <w:rFonts w:ascii="Times New Roman" w:hAnsi="Times New Roman" w:cs="Times New Roman"/>
          <w:color w:val="000000" w:themeColor="text1"/>
          <w:sz w:val="24"/>
          <w:szCs w:val="24"/>
        </w:rPr>
        <w:t xml:space="preserve">. Combining this with carbon and nitrogen, it is possible to detect </w:t>
      </w:r>
      <w:r w:rsidR="001F0849" w:rsidRPr="00D70D43">
        <w:rPr>
          <w:rFonts w:ascii="Times New Roman" w:hAnsi="Times New Roman" w:cs="Times New Roman"/>
          <w:color w:val="000000" w:themeColor="text1"/>
          <w:sz w:val="24"/>
          <w:szCs w:val="24"/>
        </w:rPr>
        <w:t>seafood consumption</w:t>
      </w:r>
      <w:r w:rsidR="00F042D5">
        <w:rPr>
          <w:rFonts w:ascii="Times New Roman" w:hAnsi="Times New Roman" w:cs="Times New Roman"/>
          <w:color w:val="000000" w:themeColor="text1"/>
          <w:sz w:val="24"/>
          <w:szCs w:val="24"/>
        </w:rPr>
        <w:t xml:space="preserve"> </w:t>
      </w:r>
      <w:r w:rsidR="00F042D5">
        <w:rPr>
          <w:rFonts w:ascii="Times New Roman" w:hAnsi="Times New Roman" w:cs="Times New Roman"/>
          <w:color w:val="000000" w:themeColor="text1"/>
          <w:sz w:val="24"/>
          <w:szCs w:val="24"/>
        </w:rPr>
        <w:fldChar w:fldCharType="begin"/>
      </w:r>
      <w:r w:rsidR="000475E4">
        <w:rPr>
          <w:rFonts w:ascii="Times New Roman" w:hAnsi="Times New Roman" w:cs="Times New Roman"/>
          <w:color w:val="000000" w:themeColor="text1"/>
          <w:sz w:val="24"/>
          <w:szCs w:val="24"/>
        </w:rPr>
        <w:instrText xml:space="preserve"> ADDIN ZOTERO_ITEM CSL_CITATION {"citationID":"vVVfgoDE","properties":{"formattedCitation":"\\super 42\\uc0\\u8211{}45\\nosupersub{}","plainCitation":"42–45","noteIndex":0},"citationItems":[{"id":120,"uris":["http://zotero.org/users/7125028/items/QBV7SQ76"],"itemData":{"id":120,"type":"article-journal","abstract":"Recent advances in mass spectrometry now allow relatively routine measurements of sulphur isotopes (δ34S) in small samples (&gt;10 mg) of tissue from archaeological human, plant, and faunal samples. δ34S values of human and faunal bone collagen can indicate residence or migration and can provide palaeodietary information. Here we present a review of applications of sulphur isotopes to archaeological materials, and we also present preliminary results from one of the few controlled feeding experiments undertaken for sulphur isotopes. This study indicates that there is relatively little fractionation (−1‰ ) between diet and body protein (keratin) δ34S values for modern horses on a protein adequate C3 plant diet. In contrast, horses fed a possible low protein C4 feed have a diet to hair fractionation of +4‰ that could be the result of the input of endogenous sulphur from the recycling of body proteins. Copyright © 2003 John Wiley &amp; Sons, Ltd.","container-title":"International Journal of Osteoarchaeology","DOI":"10.1002/oa.654","ISSN":"1099-1212","issue":"1-2","language":"en","note":"_eprint: https://onlinelibrary.wiley.com/doi/pdf/10.1002/oa.654","page":"37-45","source":"Wiley Online Library","title":"Sulphur isotopes in palaeodietary studies: a review and results from a controlled feeding experiment","title-short":"Sulphur isotopes in palaeodietary studies","volume":"13","author":[{"family":"Richards","given":"M. P."},{"family":"Fuller","given":"B. T."},{"family":"Sponheimer","given":"M."},{"family":"Robinson","given":"T."},{"family":"Ayliffe","given":"L."}],"issued":{"date-parts":[["2003"]]}}},{"id":727,"uris":["http://zotero.org/users/7125028/items/Z33NGMU5"],"itemData":{"id":727,"type":"article-journal","abstract":"Sulphur is a crucial microelement for plant metabolism, involved in response mechanisms to oxidative stress, C1 metabolism, electron transfer, secondary metabolism and post-translational peptide modifications. However, relatively little is known about sulphur transport and partitioning in plants. Although key steps of sulphur assimilation have been shown using labelling with radioactive 35S in past decades, the use of a natural tracer, allowing the examination of metabolic commitments and mass balance, is desirable. Sulphur stable isotopes (32S and 34S) have been proven to be useful for the investigation of the origin of sulphur atoms in geochemistry and for the detection of the origin of sulphur atoms. Nevertheless, their use for the study of primary sulphur metabolism has been impeded by our lack of knowledge of 32S/34S isotope fractionations and convenient methods for δ34S analyses. Here, we review documented 32S/34S isotope fractionations that may apply to sulphur metabolism, and explain how they should yield disparities amongst sulphur-containing plant compounds.","container-title":"New Phytologist","DOI":"10.1111/nph.12314","ISSN":"1469-8137","issue":"1","language":"en","note":"_eprint: https://onlinelibrary.wiley.com/doi/pdf/10.1111/nph.12314","page":"44-53","source":"Wiley Online Library","title":"32S/34S isotope fractionation in plant sulphur metabolism","volume":"200","author":[{"family":"Tcherkez","given":"Guillaume"},{"family":"Tea","given":"Illa"}],"issued":{"date-parts":[["2013"]]}}},{"id":720,"uris":["http://zotero.org/users/7125028/items/L9MTTFY3"],"itemData":{"id":720,"type":"article-journal","abstract":"The determination of the natural abundances of stable isotopes has become a useful method by which to study the transformations of elements in biological and ecological studies as well as to investigate the mechanisms of chemical reactions. Unlike carbon and nitrogen isotopes, however, stable sulphur isotopes are used infrequently, and their potential as tracers in biochemical and physiological studies are only beginning to be realized. This review provides an overview of research involving stable sulphur isotopes in studies of plant metabolism and pollution. Topics discussed include the mechanisms and accompanying isotopic fractionations involved during the uptake and assimilation of inorganic sulphur compounds by plants, the utility of plants as bioindicators of environmental sulphur pollution, and the emission of isotopically light H2S by plants in response to high concentations of sulphur. Future advances in the field are proposed.","container-title":"Plant, Cell &amp; Environment","DOI":"10.1111/j.1365-3040.1992.tb01661.x","ISSN":"1365-3040","issue":"9","language":"en","note":"_eprint: https://onlinelibrary.wiley.com/doi/pdf/10.1111/j.1365-3040.1992.tb01661.x","page":"1105-1110","source":"Wiley Online Library","title":"Stable sulphur isotopes in plants: a review","title-short":"Stable sulphur isotopes in plants","volume":"15","author":[{"family":"Trust","given":"B. A."},{"family":"Fry","given":"B."}],"issued":{"date-parts":[["1992"]]}}},{"id":729,"uris":["http://zotero.org/users/7125028/items/8VEYJ8TT"],"itemData":{"id":729,"type":"article-journal","abstract":"Sulphur-isotope determinations are becoming increasingly useful for palaeodietary reconstruction, but knowledge of isotopic discrimination between diet and various tissues remains inadequate. In this study, we explore the sensitivity of δ34Stissue values to changes in δ34Sdiet values, sulphur isotopic discrimination between diet and consumer, and the potential impact of terrestrial vs. marine protein consumption on these discrimination offsets. We present new δ34S values of bone collagen, muscle, liver, hair, milk and faeces from ten mature sows, ten piglets and fifteen adolescent pigs from a controlled feeding study. The δ34Stissue values were found to co-vary with the δ34Sdiet values, the δ34Stissue – δ34Sdiet isotopic offsets (Δ34Stissue-diet) are small but consistent, and dietary protein source does not systematically alter the Δ34Stissue-diet isotopic discrimination. The outcomes of this study are of particular relevance to questions that are difficult to resolve using carbon and nitrogen stable isotopes alone, and will also be useful in regions where terrestrial, freshwater, and marine resources could have all potentially contributed to human diet.","container-title":"STAR: Science &amp; Technology of Archaeological Research","DOI":"10.1080/20548923.2017.1368821","ISSN":"null","issue":"1","note":"publisher: Routledge\n_eprint: https://doi.org/10.1080/20548923.2017.1368821","page":"71-79","source":"Taylor and Francis+NEJM","title":"Sulphur-isotope compositions of pig tissues from a controlled feeding study","volume":"3","author":[{"family":"Webb","given":"Emily C."},{"family":"Newton","given":"Jason"},{"family":"Lewis","given":"Jamie"},{"family":"Stewart","given":"Alan"},{"family":"Miller","given":"Bevis"},{"family":"Tarlton","given":"John F."},{"family":"Evershed","given":"Richard P."}],"issued":{"date-parts":[["2017",1,1]]}}}],"schema":"https://github.com/citation-style-language/schema/raw/master/csl-citation.json"} </w:instrText>
      </w:r>
      <w:r w:rsidR="00F042D5">
        <w:rPr>
          <w:rFonts w:ascii="Times New Roman" w:hAnsi="Times New Roman" w:cs="Times New Roman"/>
          <w:color w:val="000000" w:themeColor="text1"/>
          <w:sz w:val="24"/>
          <w:szCs w:val="24"/>
        </w:rPr>
        <w:fldChar w:fldCharType="separate"/>
      </w:r>
      <w:r w:rsidR="000475E4" w:rsidRPr="000475E4">
        <w:rPr>
          <w:rFonts w:ascii="Times New Roman" w:hAnsi="Times New Roman" w:cs="Times New Roman"/>
          <w:sz w:val="24"/>
          <w:szCs w:val="24"/>
          <w:vertAlign w:val="superscript"/>
        </w:rPr>
        <w:t>42–45</w:t>
      </w:r>
      <w:r w:rsidR="00F042D5">
        <w:rPr>
          <w:rFonts w:ascii="Times New Roman" w:hAnsi="Times New Roman" w:cs="Times New Roman"/>
          <w:color w:val="000000" w:themeColor="text1"/>
          <w:sz w:val="24"/>
          <w:szCs w:val="24"/>
        </w:rPr>
        <w:fldChar w:fldCharType="end"/>
      </w:r>
      <w:r w:rsidR="001F0849" w:rsidRPr="00D70D43">
        <w:rPr>
          <w:rFonts w:ascii="Times New Roman" w:hAnsi="Times New Roman" w:cs="Times New Roman"/>
          <w:color w:val="000000" w:themeColor="text1"/>
          <w:sz w:val="24"/>
          <w:szCs w:val="24"/>
        </w:rPr>
        <w:t>.</w:t>
      </w:r>
    </w:p>
    <w:p w14:paraId="00000039" w14:textId="7C6F892F" w:rsidR="00784AF4" w:rsidRPr="00D70D43" w:rsidRDefault="00784AF4">
      <w:pPr>
        <w:rPr>
          <w:rFonts w:ascii="Times New Roman" w:eastAsia="Times New Roman" w:hAnsi="Times New Roman" w:cs="Times New Roman"/>
          <w:b/>
          <w:color w:val="000000"/>
          <w:sz w:val="24"/>
          <w:szCs w:val="24"/>
        </w:rPr>
      </w:pPr>
    </w:p>
    <w:p w14:paraId="5DEECDA7" w14:textId="2D5469FE" w:rsidR="007E7E79" w:rsidRPr="00D70D43" w:rsidRDefault="007E7E79">
      <w:pPr>
        <w:rPr>
          <w:rFonts w:ascii="Times New Roman" w:eastAsia="Times New Roman" w:hAnsi="Times New Roman" w:cs="Times New Roman"/>
          <w:b/>
          <w:color w:val="000000"/>
          <w:sz w:val="24"/>
          <w:szCs w:val="24"/>
        </w:rPr>
      </w:pPr>
    </w:p>
    <w:p w14:paraId="1A730573" w14:textId="77777777" w:rsidR="007E7E79" w:rsidRPr="00D70D43" w:rsidRDefault="007E7E79">
      <w:pPr>
        <w:rPr>
          <w:rFonts w:ascii="Times New Roman" w:eastAsia="Times New Roman" w:hAnsi="Times New Roman" w:cs="Times New Roman"/>
          <w:b/>
          <w:color w:val="000000"/>
          <w:sz w:val="24"/>
          <w:szCs w:val="24"/>
        </w:rPr>
      </w:pPr>
    </w:p>
    <w:p w14:paraId="0000003A" w14:textId="77777777" w:rsidR="00784AF4" w:rsidRPr="00D70D43" w:rsidRDefault="00784AF4">
      <w:pPr>
        <w:rPr>
          <w:rFonts w:ascii="Times New Roman" w:eastAsia="Times New Roman" w:hAnsi="Times New Roman" w:cs="Times New Roman"/>
          <w:b/>
          <w:color w:val="000000"/>
          <w:sz w:val="24"/>
          <w:szCs w:val="24"/>
        </w:rPr>
      </w:pPr>
    </w:p>
    <w:p w14:paraId="0000003B" w14:textId="77777777" w:rsidR="00784AF4" w:rsidRPr="00D70D43" w:rsidRDefault="00784AF4">
      <w:pPr>
        <w:rPr>
          <w:rFonts w:ascii="Times New Roman" w:eastAsia="Times New Roman" w:hAnsi="Times New Roman" w:cs="Times New Roman"/>
          <w:b/>
          <w:color w:val="000000"/>
          <w:sz w:val="24"/>
          <w:szCs w:val="24"/>
        </w:rPr>
      </w:pPr>
    </w:p>
    <w:p w14:paraId="55B1CEE8" w14:textId="77777777" w:rsidR="00012ABC" w:rsidRDefault="00012ABC">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type="page"/>
      </w:r>
    </w:p>
    <w:p w14:paraId="0000003C" w14:textId="263B8D8B" w:rsidR="00784AF4" w:rsidRPr="00D70D43" w:rsidRDefault="0003068C">
      <w:pPr>
        <w:rPr>
          <w:rFonts w:ascii="Times New Roman" w:eastAsia="Times New Roman" w:hAnsi="Times New Roman" w:cs="Times New Roman"/>
          <w:b/>
          <w:color w:val="000000"/>
          <w:sz w:val="24"/>
          <w:szCs w:val="24"/>
        </w:rPr>
      </w:pPr>
      <w:bookmarkStart w:id="10" w:name="_Hlk137039474"/>
      <w:r w:rsidRPr="00D70D43">
        <w:rPr>
          <w:rFonts w:ascii="Times New Roman" w:eastAsia="Times New Roman" w:hAnsi="Times New Roman" w:cs="Times New Roman"/>
          <w:b/>
          <w:color w:val="000000"/>
          <w:sz w:val="24"/>
          <w:szCs w:val="24"/>
        </w:rPr>
        <w:lastRenderedPageBreak/>
        <w:t>Supplementary Information 3: Material and Methods</w:t>
      </w:r>
    </w:p>
    <w:p w14:paraId="0000003D" w14:textId="77777777" w:rsidR="00784AF4" w:rsidRPr="00D70D43" w:rsidRDefault="00784AF4">
      <w:pPr>
        <w:rPr>
          <w:rFonts w:ascii="Times New Roman" w:eastAsia="Times New Roman" w:hAnsi="Times New Roman" w:cs="Times New Roman"/>
          <w:b/>
          <w:color w:val="000000"/>
          <w:sz w:val="24"/>
          <w:szCs w:val="24"/>
        </w:rPr>
      </w:pPr>
    </w:p>
    <w:p w14:paraId="0000003E" w14:textId="272E5719" w:rsidR="00784AF4" w:rsidRPr="0064579A" w:rsidRDefault="0003068C">
      <w:pPr>
        <w:rPr>
          <w:rFonts w:ascii="Times New Roman" w:eastAsia="Times New Roman" w:hAnsi="Times New Roman" w:cs="Times New Roman"/>
          <w:b/>
          <w:i/>
          <w:color w:val="000000"/>
          <w:sz w:val="24"/>
          <w:szCs w:val="24"/>
        </w:rPr>
      </w:pPr>
      <w:r w:rsidRPr="0064579A">
        <w:rPr>
          <w:rFonts w:ascii="Times New Roman" w:eastAsia="Times New Roman" w:hAnsi="Times New Roman" w:cs="Times New Roman"/>
          <w:b/>
          <w:i/>
          <w:sz w:val="24"/>
          <w:szCs w:val="24"/>
        </w:rPr>
        <w:t>3</w:t>
      </w:r>
      <w:r w:rsidRPr="0064579A">
        <w:rPr>
          <w:rFonts w:ascii="Times New Roman" w:eastAsia="Times New Roman" w:hAnsi="Times New Roman" w:cs="Times New Roman"/>
          <w:b/>
          <w:i/>
          <w:color w:val="000000"/>
          <w:sz w:val="24"/>
          <w:szCs w:val="24"/>
        </w:rPr>
        <w:t xml:space="preserve">.1 </w:t>
      </w:r>
      <w:r w:rsidR="00812589" w:rsidRPr="0064579A">
        <w:rPr>
          <w:rFonts w:ascii="Times New Roman" w:eastAsia="Times New Roman" w:hAnsi="Times New Roman" w:cs="Times New Roman"/>
          <w:b/>
          <w:i/>
          <w:color w:val="000000"/>
          <w:sz w:val="24"/>
          <w:szCs w:val="24"/>
        </w:rPr>
        <w:t>Animal s</w:t>
      </w:r>
      <w:r w:rsidRPr="0064579A">
        <w:rPr>
          <w:rFonts w:ascii="Times New Roman" w:eastAsia="Times New Roman" w:hAnsi="Times New Roman" w:cs="Times New Roman"/>
          <w:b/>
          <w:i/>
          <w:color w:val="000000"/>
          <w:sz w:val="24"/>
          <w:szCs w:val="24"/>
        </w:rPr>
        <w:t>pecies and tooth identification</w:t>
      </w:r>
    </w:p>
    <w:bookmarkEnd w:id="10"/>
    <w:p w14:paraId="2F069BDF" w14:textId="4C590977" w:rsidR="00D07B0D" w:rsidRDefault="00D07B0D" w:rsidP="003C7995">
      <w:pPr>
        <w:spacing w:after="0" w:line="240" w:lineRule="auto"/>
        <w:rPr>
          <w:rFonts w:ascii="Times New Roman" w:eastAsia="Times New Roman" w:hAnsi="Times New Roman" w:cs="Times New Roman"/>
          <w:b/>
          <w:sz w:val="24"/>
          <w:szCs w:val="24"/>
        </w:rPr>
      </w:pPr>
    </w:p>
    <w:p w14:paraId="10F64481" w14:textId="7D842B12" w:rsidR="00FD7645" w:rsidRPr="005E2325" w:rsidRDefault="00333F7C" w:rsidP="00E75134">
      <w:pPr>
        <w:spacing w:after="0" w:line="360" w:lineRule="auto"/>
        <w:rPr>
          <w:rFonts w:ascii="Times New Roman" w:eastAsia="Times New Roman" w:hAnsi="Times New Roman" w:cs="Times New Roman"/>
          <w:sz w:val="24"/>
          <w:szCs w:val="24"/>
        </w:rPr>
      </w:pPr>
      <w:sdt>
        <w:sdtPr>
          <w:tag w:val="goog_rdk_27"/>
          <w:id w:val="-84622513"/>
        </w:sdtPr>
        <w:sdtContent>
          <w:r w:rsidR="004E6042" w:rsidRPr="005E2325">
            <w:rPr>
              <w:rFonts w:ascii="Times New Roman" w:eastAsia="Times New Roman" w:hAnsi="Times New Roman" w:cs="Times New Roman"/>
              <w:sz w:val="24"/>
              <w:szCs w:val="24"/>
            </w:rPr>
            <w:t>Faunal remains</w:t>
          </w:r>
        </w:sdtContent>
      </w:sdt>
      <w:r w:rsidR="004E6042" w:rsidRPr="005E2325">
        <w:rPr>
          <w:rFonts w:ascii="Times New Roman" w:eastAsia="Times New Roman" w:hAnsi="Times New Roman" w:cs="Times New Roman"/>
          <w:sz w:val="24"/>
          <w:szCs w:val="24"/>
        </w:rPr>
        <w:t xml:space="preserve"> were</w:t>
      </w:r>
      <w:sdt>
        <w:sdtPr>
          <w:tag w:val="goog_rdk_29"/>
          <w:id w:val="299730640"/>
        </w:sdtPr>
        <w:sdtContent>
          <w:r w:rsidR="004E6042" w:rsidRPr="005E2325">
            <w:rPr>
              <w:rFonts w:ascii="Times New Roman" w:eastAsia="Times New Roman" w:hAnsi="Times New Roman" w:cs="Times New Roman"/>
              <w:sz w:val="24"/>
              <w:szCs w:val="24"/>
            </w:rPr>
            <w:t xml:space="preserve"> taxonomically</w:t>
          </w:r>
        </w:sdtContent>
      </w:sdt>
      <w:r w:rsidR="004E6042" w:rsidRPr="005E2325">
        <w:rPr>
          <w:rFonts w:ascii="Times New Roman" w:eastAsia="Times New Roman" w:hAnsi="Times New Roman" w:cs="Times New Roman"/>
          <w:sz w:val="24"/>
          <w:szCs w:val="24"/>
        </w:rPr>
        <w:t xml:space="preserve"> identified using both traditional zooarcha</w:t>
      </w:r>
      <w:sdt>
        <w:sdtPr>
          <w:tag w:val="goog_rdk_30"/>
          <w:id w:val="790552845"/>
        </w:sdtPr>
        <w:sdtContent>
          <w:r w:rsidR="004E6042" w:rsidRPr="005E2325">
            <w:rPr>
              <w:rFonts w:ascii="Times New Roman" w:eastAsia="Times New Roman" w:hAnsi="Times New Roman" w:cs="Times New Roman"/>
              <w:sz w:val="24"/>
              <w:szCs w:val="24"/>
            </w:rPr>
            <w:t>e</w:t>
          </w:r>
        </w:sdtContent>
      </w:sdt>
      <w:r w:rsidR="004E6042" w:rsidRPr="005E2325">
        <w:rPr>
          <w:rFonts w:ascii="Times New Roman" w:eastAsia="Times New Roman" w:hAnsi="Times New Roman" w:cs="Times New Roman"/>
          <w:sz w:val="24"/>
          <w:szCs w:val="24"/>
        </w:rPr>
        <w:t>ology</w:t>
      </w:r>
      <w:r w:rsidR="004E6042" w:rsidRPr="005E2325">
        <w:rPr>
          <w:rFonts w:ascii="Times New Roman" w:eastAsia="Times New Roman" w:hAnsi="Times New Roman" w:cs="Times New Roman"/>
          <w:sz w:val="24"/>
          <w:szCs w:val="24"/>
        </w:rPr>
        <w:fldChar w:fldCharType="begin"/>
      </w:r>
      <w:r w:rsidR="000475E4" w:rsidRPr="005E2325">
        <w:rPr>
          <w:rFonts w:ascii="Times New Roman" w:eastAsia="Times New Roman" w:hAnsi="Times New Roman" w:cs="Times New Roman"/>
          <w:sz w:val="24"/>
          <w:szCs w:val="24"/>
        </w:rPr>
        <w:instrText xml:space="preserve"> ADDIN ZOTERO_ITEM CSL_CITATION {"citationID":"HbWyITZK","properties":{"formattedCitation":"\\super 11\\nosupersub{}","plainCitation":"11","noteIndex":0},"citationItems":[{"id":886,"uris":["http://zotero.org/users/7125028/items/7MST7AGM"],"itemData":{"id":886,"type":"chapter","collection-title":"Monographien des Römisch-Germanischen Zentralmuseums","container-title":"Cemeteries and Sedentism in the Later Stone Age of NW Africa: Excavations at Grotte des Pigeons, Taforalt, Morocco","language":"en","note":"publisher: University Library Heidelberg\nversion: 1","page":"239-308","publisher":"Monographien des Römisch-Germanischen Zentralmuseums","source":"Zotero","title":"Large mammalian faunal assemblages","author":[{"family":"Turner","given":"E"}],"issued":{"date-parts":[["2019"]]}}}],"schema":"https://github.com/citation-style-language/schema/raw/master/csl-citation.json"} </w:instrText>
      </w:r>
      <w:r w:rsidR="004E6042" w:rsidRPr="005E2325">
        <w:rPr>
          <w:rFonts w:ascii="Times New Roman" w:eastAsia="Times New Roman" w:hAnsi="Times New Roman" w:cs="Times New Roman"/>
          <w:sz w:val="24"/>
          <w:szCs w:val="24"/>
        </w:rPr>
        <w:fldChar w:fldCharType="separate"/>
      </w:r>
      <w:r w:rsidR="000475E4" w:rsidRPr="005E2325">
        <w:rPr>
          <w:rFonts w:ascii="Times New Roman" w:hAnsi="Times New Roman" w:cs="Times New Roman"/>
          <w:sz w:val="24"/>
          <w:szCs w:val="24"/>
          <w:vertAlign w:val="superscript"/>
        </w:rPr>
        <w:t>11</w:t>
      </w:r>
      <w:r w:rsidR="004E6042" w:rsidRPr="005E2325">
        <w:rPr>
          <w:rFonts w:ascii="Times New Roman" w:eastAsia="Times New Roman" w:hAnsi="Times New Roman" w:cs="Times New Roman"/>
          <w:sz w:val="24"/>
          <w:szCs w:val="24"/>
        </w:rPr>
        <w:fldChar w:fldCharType="end"/>
      </w:r>
      <w:r w:rsidR="004E6042" w:rsidRPr="005E2325">
        <w:rPr>
          <w:rFonts w:ascii="Times New Roman" w:eastAsia="Times New Roman" w:hAnsi="Times New Roman" w:cs="Times New Roman"/>
          <w:sz w:val="24"/>
          <w:szCs w:val="24"/>
        </w:rPr>
        <w:t xml:space="preserve"> and </w:t>
      </w:r>
      <w:sdt>
        <w:sdtPr>
          <w:tag w:val="goog_rdk_31"/>
          <w:id w:val="4562655"/>
        </w:sdtPr>
        <w:sdtContent>
          <w:sdt>
            <w:sdtPr>
              <w:tag w:val="goog_rdk_32"/>
              <w:id w:val="129988889"/>
            </w:sdtPr>
            <w:sdtContent/>
          </w:sdt>
          <w:r w:rsidR="004E6042" w:rsidRPr="005E2325">
            <w:rPr>
              <w:rFonts w:ascii="Times New Roman" w:eastAsia="Times New Roman" w:hAnsi="Times New Roman" w:cs="Times New Roman"/>
              <w:sz w:val="24"/>
              <w:szCs w:val="24"/>
            </w:rPr>
            <w:t>Zooarchaeology by mass spectrometry</w:t>
          </w:r>
        </w:sdtContent>
      </w:sdt>
      <w:r w:rsidR="00657DF9" w:rsidRPr="005E2325">
        <w:rPr>
          <w:rFonts w:ascii="Times New Roman" w:eastAsia="Times New Roman" w:hAnsi="Times New Roman" w:cs="Times New Roman"/>
          <w:sz w:val="24"/>
          <w:szCs w:val="24"/>
        </w:rPr>
        <w:fldChar w:fldCharType="begin"/>
      </w:r>
      <w:r w:rsidR="000475E4" w:rsidRPr="005E2325">
        <w:rPr>
          <w:rFonts w:ascii="Times New Roman" w:eastAsia="Times New Roman" w:hAnsi="Times New Roman" w:cs="Times New Roman"/>
          <w:sz w:val="24"/>
          <w:szCs w:val="24"/>
        </w:rPr>
        <w:instrText xml:space="preserve"> ADDIN ZOTERO_ITEM CSL_CITATION {"citationID":"nQRNwc82","properties":{"formattedCitation":"\\super 46\\nosupersub{}","plainCitation":"46","noteIndex":0},"citationItems":[{"id":896,"uris":["http://zotero.org/users/7125028/items/ZZNA35NJ"],"itemData":{"id":896,"type":"article-journal","abstract":"Species identification of fragmentary bone, such as in rendered meat and bone meal or from archaeological sites, is often difficult in the absence of clear morphological markers. Here we present a robust method of analysing genus-specific collagen peptides by mass spectrometry simply by using solid-phase extraction (a C18 ZipTip) for peptide purification, rather than liquid chromatography/mass spectrometry (LC/MS). Analysis of the collagen from 32 different mammal species identified a total of 92 peptide markers that could be used for species identification, for example, in processed food and animal feed. A set of ancient (&gt;100 ka@10 degrees C) bone samples was also analysed to show that the proposed method has applications to archaeological bone identification.","container-title":"Rapid communications in mass spectrometry: RCM","DOI":"10.1002/rcm.4316","ISSN":"1097-0231","issue":"23","journalAbbreviation":"Rapid Commun Mass Spectrom","language":"eng","note":"PMID: 19899187","page":"3843-3854","source":"PubMed","title":"Species identification by analysis of bone collagen using matrix-assisted laser desorption/ionisation time-of-flight mass spectrometry","volume":"23","author":[{"family":"Buckley","given":"Michael"},{"family":"Collins","given":"Matthew"},{"family":"Thomas-Oates","given":"Jane"},{"family":"Wilson","given":"Julie C."}],"issued":{"date-parts":[["2009",12]]}}}],"schema":"https://github.com/citation-style-language/schema/raw/master/csl-citation.json"} </w:instrText>
      </w:r>
      <w:r w:rsidR="00657DF9" w:rsidRPr="005E2325">
        <w:rPr>
          <w:rFonts w:ascii="Times New Roman" w:eastAsia="Times New Roman" w:hAnsi="Times New Roman" w:cs="Times New Roman"/>
          <w:sz w:val="24"/>
          <w:szCs w:val="24"/>
        </w:rPr>
        <w:fldChar w:fldCharType="separate"/>
      </w:r>
      <w:r w:rsidR="000475E4" w:rsidRPr="005E2325">
        <w:rPr>
          <w:rFonts w:ascii="Times New Roman" w:hAnsi="Times New Roman" w:cs="Times New Roman"/>
          <w:sz w:val="24"/>
          <w:szCs w:val="24"/>
          <w:vertAlign w:val="superscript"/>
        </w:rPr>
        <w:t>46</w:t>
      </w:r>
      <w:r w:rsidR="00657DF9" w:rsidRPr="005E2325">
        <w:rPr>
          <w:rFonts w:ascii="Times New Roman" w:eastAsia="Times New Roman" w:hAnsi="Times New Roman" w:cs="Times New Roman"/>
          <w:sz w:val="24"/>
          <w:szCs w:val="24"/>
        </w:rPr>
        <w:fldChar w:fldCharType="end"/>
      </w:r>
      <w:r w:rsidR="004E6042" w:rsidRPr="005E2325">
        <w:rPr>
          <w:rFonts w:ascii="Times New Roman" w:eastAsia="Times New Roman" w:hAnsi="Times New Roman" w:cs="Times New Roman"/>
          <w:sz w:val="24"/>
          <w:szCs w:val="24"/>
        </w:rPr>
        <w:t xml:space="preserve"> (</w:t>
      </w:r>
      <w:proofErr w:type="spellStart"/>
      <w:r w:rsidR="004E6042" w:rsidRPr="005E2325">
        <w:rPr>
          <w:rFonts w:ascii="Times New Roman" w:eastAsia="Times New Roman" w:hAnsi="Times New Roman" w:cs="Times New Roman"/>
          <w:sz w:val="24"/>
          <w:szCs w:val="24"/>
        </w:rPr>
        <w:t>ZooMS</w:t>
      </w:r>
      <w:proofErr w:type="spellEnd"/>
      <w:sdt>
        <w:sdtPr>
          <w:tag w:val="goog_rdk_33"/>
          <w:id w:val="699601641"/>
        </w:sdtPr>
        <w:sdtContent>
          <w:r w:rsidR="004E6042" w:rsidRPr="005E2325">
            <w:rPr>
              <w:rFonts w:ascii="Times New Roman" w:eastAsia="Times New Roman" w:hAnsi="Times New Roman" w:cs="Times New Roman"/>
              <w:sz w:val="24"/>
              <w:szCs w:val="24"/>
            </w:rPr>
            <w:t>)</w:t>
          </w:r>
        </w:sdtContent>
      </w:sdt>
      <w:r w:rsidR="004E6042" w:rsidRPr="005E2325">
        <w:rPr>
          <w:rFonts w:ascii="Times New Roman" w:eastAsia="Times New Roman" w:hAnsi="Times New Roman" w:cs="Times New Roman"/>
          <w:sz w:val="24"/>
          <w:szCs w:val="24"/>
        </w:rPr>
        <w:t xml:space="preserve"> </w:t>
      </w:r>
      <w:r w:rsidR="002E7EE7" w:rsidRPr="005E2325">
        <w:rPr>
          <w:rFonts w:ascii="Times New Roman" w:eastAsia="Times New Roman" w:hAnsi="Times New Roman" w:cs="Times New Roman"/>
          <w:sz w:val="24"/>
          <w:szCs w:val="24"/>
        </w:rPr>
        <w:t>(Table 3.1)</w:t>
      </w:r>
      <w:r w:rsidR="00572753" w:rsidRPr="005E2325">
        <w:rPr>
          <w:rFonts w:ascii="Times New Roman" w:eastAsia="Times New Roman" w:hAnsi="Times New Roman" w:cs="Times New Roman"/>
          <w:sz w:val="24"/>
          <w:szCs w:val="24"/>
        </w:rPr>
        <w:t>.</w:t>
      </w:r>
      <w:r w:rsidR="002E7EE7" w:rsidRPr="005E2325">
        <w:rPr>
          <w:rFonts w:ascii="Times New Roman" w:eastAsia="Times New Roman" w:hAnsi="Times New Roman" w:cs="Times New Roman"/>
          <w:sz w:val="24"/>
          <w:szCs w:val="24"/>
        </w:rPr>
        <w:t xml:space="preserve"> </w:t>
      </w:r>
      <w:sdt>
        <w:sdtPr>
          <w:tag w:val="goog_rdk_35"/>
          <w:id w:val="115718079"/>
        </w:sdtPr>
        <w:sdtContent>
          <w:r w:rsidR="001F7697" w:rsidRPr="005E2325">
            <w:rPr>
              <w:rFonts w:ascii="Times New Roman" w:eastAsia="Times New Roman" w:hAnsi="Times New Roman" w:cs="Times New Roman"/>
              <w:sz w:val="24"/>
              <w:szCs w:val="24"/>
            </w:rPr>
            <w:t>Only a</w:t>
          </w:r>
        </w:sdtContent>
      </w:sdt>
      <w:r w:rsidR="001F7697" w:rsidRPr="005E2325">
        <w:rPr>
          <w:rFonts w:ascii="Times New Roman" w:eastAsia="Times New Roman" w:hAnsi="Times New Roman" w:cs="Times New Roman"/>
          <w:sz w:val="24"/>
          <w:szCs w:val="24"/>
        </w:rPr>
        <w:t xml:space="preserve"> small </w:t>
      </w:r>
      <w:sdt>
        <w:sdtPr>
          <w:tag w:val="goog_rdk_37"/>
          <w:id w:val="2142770119"/>
        </w:sdtPr>
        <w:sdtContent>
          <w:r w:rsidR="001F7697" w:rsidRPr="005E2325">
            <w:rPr>
              <w:rFonts w:ascii="Times New Roman" w:eastAsia="Times New Roman" w:hAnsi="Times New Roman" w:cs="Times New Roman"/>
              <w:sz w:val="24"/>
              <w:szCs w:val="24"/>
            </w:rPr>
            <w:t>number</w:t>
          </w:r>
        </w:sdtContent>
      </w:sdt>
      <w:r w:rsidR="001F7697" w:rsidRPr="005E2325">
        <w:rPr>
          <w:rFonts w:ascii="Times New Roman" w:eastAsia="Times New Roman" w:hAnsi="Times New Roman" w:cs="Times New Roman"/>
          <w:sz w:val="24"/>
          <w:szCs w:val="24"/>
        </w:rPr>
        <w:t xml:space="preserve"> of </w:t>
      </w:r>
      <w:sdt>
        <w:sdtPr>
          <w:tag w:val="goog_rdk_39"/>
          <w:id w:val="391089754"/>
        </w:sdtPr>
        <w:sdtContent/>
      </w:sdt>
      <w:r w:rsidR="001F7697" w:rsidRPr="005E2325">
        <w:rPr>
          <w:rFonts w:ascii="Times New Roman" w:eastAsia="Times New Roman" w:hAnsi="Times New Roman" w:cs="Times New Roman"/>
          <w:sz w:val="24"/>
          <w:szCs w:val="24"/>
        </w:rPr>
        <w:t>carnivore remains were available at the site</w:t>
      </w:r>
      <w:r w:rsidR="005A51F3" w:rsidRPr="005E2325">
        <w:rPr>
          <w:rFonts w:ascii="Times New Roman" w:eastAsia="Times New Roman" w:hAnsi="Times New Roman" w:cs="Times New Roman"/>
          <w:sz w:val="24"/>
          <w:szCs w:val="24"/>
        </w:rPr>
        <w:t xml:space="preserve"> (NISP= 9)</w:t>
      </w:r>
      <w:r w:rsidR="001F7697" w:rsidRPr="005E2325">
        <w:rPr>
          <w:rFonts w:ascii="Times New Roman" w:eastAsia="Times New Roman" w:hAnsi="Times New Roman" w:cs="Times New Roman"/>
          <w:sz w:val="24"/>
          <w:szCs w:val="24"/>
        </w:rPr>
        <w:t xml:space="preserve"> (Table S1.1) and we </w:t>
      </w:r>
      <w:sdt>
        <w:sdtPr>
          <w:tag w:val="goog_rdk_40"/>
          <w:id w:val="2120867881"/>
        </w:sdtPr>
        <w:sdtContent/>
      </w:sdt>
      <w:r w:rsidR="001F7697" w:rsidRPr="005E2325">
        <w:rPr>
          <w:rFonts w:ascii="Times New Roman" w:eastAsia="Times New Roman" w:hAnsi="Times New Roman" w:cs="Times New Roman"/>
          <w:sz w:val="24"/>
          <w:szCs w:val="24"/>
        </w:rPr>
        <w:t>sampled all teeth available</w:t>
      </w:r>
      <w:r w:rsidR="00F860BF" w:rsidRPr="005E2325">
        <w:rPr>
          <w:rFonts w:ascii="Times New Roman" w:eastAsia="Times New Roman" w:hAnsi="Times New Roman" w:cs="Times New Roman"/>
          <w:sz w:val="24"/>
          <w:szCs w:val="24"/>
        </w:rPr>
        <w:t xml:space="preserve"> for the isotopic analysis</w:t>
      </w:r>
      <w:r w:rsidR="001F7697" w:rsidRPr="005E2325">
        <w:rPr>
          <w:rFonts w:ascii="Times New Roman" w:eastAsia="Times New Roman" w:hAnsi="Times New Roman" w:cs="Times New Roman"/>
          <w:sz w:val="24"/>
          <w:szCs w:val="24"/>
        </w:rPr>
        <w:t>.</w:t>
      </w:r>
      <w:sdt>
        <w:sdtPr>
          <w:tag w:val="goog_rdk_41"/>
          <w:id w:val="1413821748"/>
        </w:sdtPr>
        <w:sdtContent>
          <w:r w:rsidR="001F7697" w:rsidRPr="005E2325">
            <w:rPr>
              <w:rFonts w:ascii="Times New Roman" w:eastAsia="Times New Roman" w:hAnsi="Times New Roman" w:cs="Times New Roman"/>
              <w:sz w:val="24"/>
              <w:szCs w:val="24"/>
            </w:rPr>
            <w:t xml:space="preserve"> However,</w:t>
          </w:r>
        </w:sdtContent>
      </w:sdt>
      <w:r w:rsidR="001F7697" w:rsidRPr="005E2325">
        <w:rPr>
          <w:rFonts w:ascii="Times New Roman" w:eastAsia="Times New Roman" w:hAnsi="Times New Roman" w:cs="Times New Roman"/>
          <w:sz w:val="24"/>
          <w:szCs w:val="24"/>
        </w:rPr>
        <w:t xml:space="preserve"> </w:t>
      </w:r>
      <w:sdt>
        <w:sdtPr>
          <w:tag w:val="goog_rdk_43"/>
          <w:id w:val="-946693404"/>
        </w:sdtPr>
        <w:sdtContent>
          <w:r w:rsidR="001F7697" w:rsidRPr="005E2325">
            <w:rPr>
              <w:rFonts w:ascii="Times New Roman" w:eastAsia="Times New Roman" w:hAnsi="Times New Roman" w:cs="Times New Roman"/>
              <w:sz w:val="24"/>
              <w:szCs w:val="24"/>
            </w:rPr>
            <w:t>t</w:t>
          </w:r>
        </w:sdtContent>
      </w:sdt>
      <w:r w:rsidR="001F7697" w:rsidRPr="005E2325">
        <w:rPr>
          <w:rFonts w:ascii="Times New Roman" w:eastAsia="Times New Roman" w:hAnsi="Times New Roman" w:cs="Times New Roman"/>
          <w:sz w:val="24"/>
          <w:szCs w:val="24"/>
        </w:rPr>
        <w:t>hose carnivores might not have a pure carnivorous diet, since many canid species can feed on a variable amount of p</w:t>
      </w:r>
      <w:r w:rsidR="002E7EE7" w:rsidRPr="005E2325">
        <w:rPr>
          <w:rFonts w:ascii="Times New Roman" w:eastAsia="Times New Roman" w:hAnsi="Times New Roman" w:cs="Times New Roman"/>
          <w:sz w:val="24"/>
          <w:szCs w:val="24"/>
        </w:rPr>
        <w:t>lants</w:t>
      </w:r>
      <w:r w:rsidR="00485D36" w:rsidRPr="005E2325">
        <w:rPr>
          <w:rFonts w:ascii="Times New Roman" w:eastAsia="Times New Roman" w:hAnsi="Times New Roman" w:cs="Times New Roman"/>
          <w:sz w:val="24"/>
          <w:szCs w:val="24"/>
        </w:rPr>
        <w:fldChar w:fldCharType="begin"/>
      </w:r>
      <w:r w:rsidR="000475E4" w:rsidRPr="005E2325">
        <w:rPr>
          <w:rFonts w:ascii="Times New Roman" w:eastAsia="Times New Roman" w:hAnsi="Times New Roman" w:cs="Times New Roman"/>
          <w:sz w:val="24"/>
          <w:szCs w:val="24"/>
        </w:rPr>
        <w:instrText xml:space="preserve"> ADDIN ZOTERO_ITEM CSL_CITATION {"citationID":"pDB6Mc8u","properties":{"formattedCitation":"\\super 47\\nosupersub{}","plainCitation":"47","noteIndex":0},"citationItems":[{"id":639,"uris":["http://zotero.org/users/7125028/items/CXS5YKHS"],"itemData":{"id":639,"type":"article-journal","abstract":"Species are characterized by physiological, behavioral, and ecological attributes that are all subject to varying evolutionary and ecological constraints and jointly determine species' role and function in ecosystems. Attributes such as diet, foraging strata, foraging time, and body size, in particular, characterize a large portion of the “Eltonian” niches of species. Here we present a global species-level compilation of these key attributes for all 9993 and 5400 extant bird and mammal species derived from key literature sources. Global handbooks and monographs allowed the consistent sourcing of attributes for most species. For diet and foraging stratum we followed a defined protocol to translate the verbal descriptions into standardized, semiquantitative information about relative importance of different categories. Together with body size (continuous) and activity time (categorical) this enables a much finer distinction of species' foraging ecology than typical categorical guild assignments allow. Attributes lacking information for specific species are flagged, and interpolated values based on taxonomy are provided instead. The presented data set is limited by, among others, these select cases missing observed data, by errors and uncertainty in the expert assessment as presented in the literature, and by the lack of intraspecific information. However, the standardized and transparent nature and complete global coverage of the data set should support an array of potential studies in biogeography, community ecology, macroevolution, global change biology, and conservation. Potential uses include comparative work involving these traits as focal or secondary variables, ecological research on the trait or trophic structure of communities, or conservation science concerned with the loss of function among species or in ecosystems in a changing world. We hope that this publication will spur the sharing, collaborative curation, and extension of data to the benefit of a more integrative, rigorous, and global biodiversity science.","container-title":"Ecology","DOI":"10.1890/13-1917.1","journalAbbreviation":"Ecology","page":"2027-2027","source":"ResearchGate","title":"EltonTraits 1.0: Species-level foraging attributes of the world's birds and mammals","title-short":"EltonTraits 1.0","volume":"95","author":[{"family":"Wilman","given":"Hamish"},{"family":"Belmaker","given":"Jonathan"},{"family":"Simpson","given":"Jennifer"},{"family":"Rosa","given":"Carolina"},{"family":"Rivadeneira","given":"Marcelo"},{"family":"Jetz","given":"Walter"}],"issued":{"date-parts":[["2014",7,1]]}}}],"schema":"https://github.com/citation-style-language/schema/raw/master/csl-citation.json"} </w:instrText>
      </w:r>
      <w:r w:rsidR="00485D36" w:rsidRPr="005E2325">
        <w:rPr>
          <w:rFonts w:ascii="Times New Roman" w:eastAsia="Times New Roman" w:hAnsi="Times New Roman" w:cs="Times New Roman"/>
          <w:sz w:val="24"/>
          <w:szCs w:val="24"/>
        </w:rPr>
        <w:fldChar w:fldCharType="separate"/>
      </w:r>
      <w:r w:rsidR="000475E4" w:rsidRPr="005E2325">
        <w:rPr>
          <w:rFonts w:ascii="Times New Roman" w:hAnsi="Times New Roman" w:cs="Times New Roman"/>
          <w:sz w:val="24"/>
          <w:szCs w:val="24"/>
          <w:vertAlign w:val="superscript"/>
        </w:rPr>
        <w:t>47</w:t>
      </w:r>
      <w:r w:rsidR="00485D36" w:rsidRPr="005E2325">
        <w:rPr>
          <w:rFonts w:ascii="Times New Roman" w:eastAsia="Times New Roman" w:hAnsi="Times New Roman" w:cs="Times New Roman"/>
          <w:sz w:val="24"/>
          <w:szCs w:val="24"/>
        </w:rPr>
        <w:fldChar w:fldCharType="end"/>
      </w:r>
      <w:r w:rsidR="00DA2EEF" w:rsidRPr="005E2325">
        <w:rPr>
          <w:rFonts w:ascii="Times New Roman" w:eastAsia="Times New Roman" w:hAnsi="Times New Roman" w:cs="Times New Roman"/>
          <w:sz w:val="24"/>
          <w:szCs w:val="24"/>
        </w:rPr>
        <w:t>.</w:t>
      </w:r>
    </w:p>
    <w:p w14:paraId="05E3E6F3" w14:textId="672ADD74" w:rsidR="00C51DB6" w:rsidRPr="0032041F" w:rsidRDefault="00FD7645" w:rsidP="0032041F">
      <w:pPr>
        <w:spacing w:line="360" w:lineRule="auto"/>
        <w:rPr>
          <w:rFonts w:asciiTheme="majorBidi" w:eastAsia="Times New Roman" w:hAnsiTheme="majorBidi" w:cstheme="majorBidi"/>
          <w:sz w:val="20"/>
          <w:szCs w:val="20"/>
          <w:lang w:eastAsia="en-US"/>
        </w:rPr>
      </w:pPr>
      <w:r w:rsidRPr="007C355D">
        <w:rPr>
          <w:rFonts w:asciiTheme="majorBidi" w:hAnsiTheme="majorBidi" w:cstheme="majorBidi"/>
          <w:sz w:val="24"/>
          <w:szCs w:val="24"/>
        </w:rPr>
        <w:t xml:space="preserve">One carnivore (SEVA 35834, Table 3.1) was identified by </w:t>
      </w:r>
      <w:proofErr w:type="spellStart"/>
      <w:r w:rsidRPr="007C355D">
        <w:rPr>
          <w:rFonts w:asciiTheme="majorBidi" w:hAnsiTheme="majorBidi" w:cstheme="majorBidi"/>
          <w:sz w:val="24"/>
          <w:szCs w:val="24"/>
        </w:rPr>
        <w:t>ZooMS</w:t>
      </w:r>
      <w:proofErr w:type="spellEnd"/>
      <w:r w:rsidRPr="007C355D">
        <w:rPr>
          <w:rFonts w:asciiTheme="majorBidi" w:hAnsiTheme="majorBidi" w:cstheme="majorBidi"/>
          <w:sz w:val="24"/>
          <w:szCs w:val="24"/>
        </w:rPr>
        <w:t xml:space="preserve"> as a Canidae (although the identification and combination of peptide markers for this sample </w:t>
      </w:r>
      <w:r>
        <w:rPr>
          <w:rFonts w:asciiTheme="majorBidi" w:hAnsiTheme="majorBidi" w:cstheme="majorBidi"/>
          <w:sz w:val="24"/>
          <w:szCs w:val="24"/>
        </w:rPr>
        <w:t>exclude</w:t>
      </w:r>
      <w:r w:rsidRPr="007C355D">
        <w:rPr>
          <w:rFonts w:asciiTheme="majorBidi" w:hAnsiTheme="majorBidi" w:cstheme="majorBidi"/>
          <w:sz w:val="24"/>
          <w:szCs w:val="24"/>
        </w:rPr>
        <w:t xml:space="preserve"> the possibility of a red fox (</w:t>
      </w:r>
      <w:r w:rsidRPr="0012107E">
        <w:rPr>
          <w:rFonts w:asciiTheme="majorBidi" w:hAnsiTheme="majorBidi" w:cstheme="majorBidi"/>
          <w:i/>
          <w:iCs/>
          <w:sz w:val="24"/>
          <w:szCs w:val="24"/>
        </w:rPr>
        <w:t xml:space="preserve">Vulpes </w:t>
      </w:r>
      <w:proofErr w:type="spellStart"/>
      <w:r w:rsidR="0012107E">
        <w:rPr>
          <w:rFonts w:asciiTheme="majorBidi" w:hAnsiTheme="majorBidi" w:cstheme="majorBidi"/>
          <w:i/>
          <w:iCs/>
          <w:sz w:val="24"/>
          <w:szCs w:val="24"/>
        </w:rPr>
        <w:t>v</w:t>
      </w:r>
      <w:r w:rsidRPr="0012107E">
        <w:rPr>
          <w:rFonts w:asciiTheme="majorBidi" w:hAnsiTheme="majorBidi" w:cstheme="majorBidi"/>
          <w:i/>
          <w:iCs/>
          <w:sz w:val="24"/>
          <w:szCs w:val="24"/>
        </w:rPr>
        <w:t>ulpes</w:t>
      </w:r>
      <w:proofErr w:type="spellEnd"/>
      <w:r w:rsidR="0012107E">
        <w:rPr>
          <w:rFonts w:asciiTheme="majorBidi" w:hAnsiTheme="majorBidi" w:cstheme="majorBidi"/>
          <w:sz w:val="24"/>
          <w:szCs w:val="24"/>
        </w:rPr>
        <w:t>)</w:t>
      </w:r>
      <w:r w:rsidRPr="007C355D">
        <w:rPr>
          <w:rFonts w:asciiTheme="majorBidi" w:hAnsiTheme="majorBidi" w:cstheme="majorBidi"/>
          <w:sz w:val="24"/>
          <w:szCs w:val="24"/>
        </w:rPr>
        <w:t xml:space="preserve"> (Table S3.1). This means that this specimen more likely belongs to the </w:t>
      </w:r>
      <w:proofErr w:type="spellStart"/>
      <w:r w:rsidRPr="007C355D">
        <w:rPr>
          <w:rFonts w:asciiTheme="majorBidi" w:hAnsiTheme="majorBidi" w:cstheme="majorBidi"/>
          <w:sz w:val="24"/>
          <w:szCs w:val="24"/>
        </w:rPr>
        <w:t>Caninae</w:t>
      </w:r>
      <w:proofErr w:type="spellEnd"/>
      <w:r w:rsidRPr="007C355D">
        <w:rPr>
          <w:rFonts w:asciiTheme="majorBidi" w:hAnsiTheme="majorBidi" w:cstheme="majorBidi"/>
          <w:sz w:val="24"/>
          <w:szCs w:val="24"/>
        </w:rPr>
        <w:t xml:space="preserve"> subfamily</w:t>
      </w:r>
      <w:r>
        <w:rPr>
          <w:rFonts w:asciiTheme="majorBidi" w:hAnsiTheme="majorBidi" w:cstheme="majorBidi"/>
          <w:sz w:val="24"/>
          <w:szCs w:val="24"/>
        </w:rPr>
        <w:t>.</w:t>
      </w:r>
      <w:r w:rsidR="00C54AF5">
        <w:rPr>
          <w:rFonts w:asciiTheme="majorBidi" w:hAnsiTheme="majorBidi" w:cstheme="majorBidi"/>
          <w:sz w:val="24"/>
          <w:szCs w:val="24"/>
        </w:rPr>
        <w:t xml:space="preserve"> Another carnivore (SEVA </w:t>
      </w:r>
      <w:r w:rsidR="00C54AF5" w:rsidRPr="00A05E4F">
        <w:rPr>
          <w:rFonts w:asciiTheme="majorBidi" w:eastAsia="Times New Roman" w:hAnsiTheme="majorBidi" w:cstheme="majorBidi"/>
          <w:sz w:val="24"/>
          <w:szCs w:val="24"/>
          <w:lang w:eastAsia="en-US"/>
        </w:rPr>
        <w:t>35828) was identified using traditional zooarchaeology as a red fox (</w:t>
      </w:r>
      <w:r w:rsidR="00C54AF5" w:rsidRPr="00671186">
        <w:rPr>
          <w:rFonts w:asciiTheme="majorBidi" w:eastAsia="Times New Roman" w:hAnsiTheme="majorBidi" w:cstheme="majorBidi"/>
          <w:i/>
          <w:iCs/>
          <w:sz w:val="24"/>
          <w:szCs w:val="24"/>
          <w:lang w:eastAsia="en-US"/>
        </w:rPr>
        <w:t xml:space="preserve">Vulpes </w:t>
      </w:r>
      <w:proofErr w:type="spellStart"/>
      <w:r w:rsidR="00671186">
        <w:rPr>
          <w:rFonts w:asciiTheme="majorBidi" w:eastAsia="Times New Roman" w:hAnsiTheme="majorBidi" w:cstheme="majorBidi"/>
          <w:i/>
          <w:iCs/>
          <w:sz w:val="24"/>
          <w:szCs w:val="24"/>
          <w:lang w:eastAsia="en-US"/>
        </w:rPr>
        <w:t>v</w:t>
      </w:r>
      <w:r w:rsidR="00C54AF5" w:rsidRPr="00671186">
        <w:rPr>
          <w:rFonts w:asciiTheme="majorBidi" w:eastAsia="Times New Roman" w:hAnsiTheme="majorBidi" w:cstheme="majorBidi"/>
          <w:i/>
          <w:iCs/>
          <w:sz w:val="24"/>
          <w:szCs w:val="24"/>
          <w:lang w:eastAsia="en-US"/>
        </w:rPr>
        <w:t>ulpes</w:t>
      </w:r>
      <w:proofErr w:type="spellEnd"/>
      <w:r w:rsidR="00C54AF5" w:rsidRPr="00A05E4F">
        <w:rPr>
          <w:rFonts w:asciiTheme="majorBidi" w:eastAsia="Times New Roman" w:hAnsiTheme="majorBidi" w:cstheme="majorBidi"/>
          <w:sz w:val="24"/>
          <w:szCs w:val="24"/>
          <w:lang w:eastAsia="en-US"/>
        </w:rPr>
        <w:t>)</w:t>
      </w:r>
      <w:r w:rsidR="00C54AF5">
        <w:rPr>
          <w:rFonts w:asciiTheme="majorBidi" w:eastAsia="Times New Roman" w:hAnsiTheme="majorBidi" w:cstheme="majorBidi"/>
          <w:sz w:val="20"/>
          <w:szCs w:val="20"/>
          <w:lang w:eastAsia="en-US"/>
        </w:rPr>
        <w:fldChar w:fldCharType="begin"/>
      </w:r>
      <w:r w:rsidR="00C54AF5">
        <w:rPr>
          <w:rFonts w:asciiTheme="majorBidi" w:eastAsia="Times New Roman" w:hAnsiTheme="majorBidi" w:cstheme="majorBidi"/>
          <w:sz w:val="20"/>
          <w:szCs w:val="20"/>
          <w:lang w:eastAsia="en-US"/>
        </w:rPr>
        <w:instrText xml:space="preserve"> ADDIN ZOTERO_ITEM CSL_CITATION {"citationID":"a1o4p8vptfc","properties":{"formattedCitation":"\\super 11\\nosupersub{}","plainCitation":"11","noteIndex":0},"citationItems":[{"id":886,"uris":["http://zotero.org/users/7125028/items/7MST7AGM"],"itemData":{"id":886,"type":"chapter","collection-title":"Monographien des Römisch-Germanischen Zentralmuseums","container-title":"Cemeteries and Sedentism in the Later Stone Age of NW Africa: Excavations at Grotte des Pigeons, Taforalt, Morocco","language":"en","note":"publisher: University Library Heidelberg\nversion: 1","page":"239-308","publisher":"Monographien des Römisch-Germanischen Zentralmuseums","source":"Zotero","title":"Large mammalian faunal assemblages","author":[{"family":"Turner","given":"E"}],"issued":{"date-parts":[["2019"]]}}}],"schema":"https://github.com/citation-style-language/schema/raw/master/csl-citation.json"} </w:instrText>
      </w:r>
      <w:r w:rsidR="00C54AF5">
        <w:rPr>
          <w:rFonts w:asciiTheme="majorBidi" w:eastAsia="Times New Roman" w:hAnsiTheme="majorBidi" w:cstheme="majorBidi"/>
          <w:sz w:val="20"/>
          <w:szCs w:val="20"/>
          <w:lang w:eastAsia="en-US"/>
        </w:rPr>
        <w:fldChar w:fldCharType="separate"/>
      </w:r>
      <w:r w:rsidR="00C54AF5" w:rsidRPr="00C54AF5">
        <w:rPr>
          <w:rFonts w:ascii="Times New Roman" w:hAnsi="Times New Roman" w:cs="Times New Roman"/>
          <w:sz w:val="20"/>
          <w:szCs w:val="24"/>
          <w:vertAlign w:val="superscript"/>
        </w:rPr>
        <w:t>11</w:t>
      </w:r>
      <w:r w:rsidR="00C54AF5">
        <w:rPr>
          <w:rFonts w:asciiTheme="majorBidi" w:eastAsia="Times New Roman" w:hAnsiTheme="majorBidi" w:cstheme="majorBidi"/>
          <w:sz w:val="20"/>
          <w:szCs w:val="20"/>
          <w:lang w:eastAsia="en-US"/>
        </w:rPr>
        <w:fldChar w:fldCharType="end"/>
      </w:r>
      <w:r w:rsidR="00C54AF5">
        <w:rPr>
          <w:rFonts w:asciiTheme="majorBidi" w:eastAsia="Times New Roman" w:hAnsiTheme="majorBidi" w:cstheme="majorBidi"/>
          <w:sz w:val="20"/>
          <w:szCs w:val="20"/>
          <w:lang w:eastAsia="en-US"/>
        </w:rPr>
        <w:t>.</w:t>
      </w:r>
      <w:r w:rsidR="0032041F">
        <w:rPr>
          <w:rFonts w:asciiTheme="majorBidi" w:hAnsiTheme="majorBidi" w:cstheme="majorBidi"/>
          <w:sz w:val="24"/>
          <w:szCs w:val="24"/>
        </w:rPr>
        <w:t xml:space="preserve"> </w:t>
      </w:r>
      <w:r w:rsidR="00C51DB6">
        <w:rPr>
          <w:rFonts w:ascii="Times New Roman" w:eastAsia="Times New Roman" w:hAnsi="Times New Roman" w:cs="Times New Roman"/>
          <w:sz w:val="24"/>
          <w:szCs w:val="24"/>
        </w:rPr>
        <w:t xml:space="preserve">Among the herbivore </w:t>
      </w:r>
      <w:r w:rsidR="0032041F">
        <w:rPr>
          <w:rFonts w:ascii="Times New Roman" w:eastAsia="Times New Roman" w:hAnsi="Times New Roman" w:cs="Times New Roman"/>
          <w:sz w:val="24"/>
          <w:szCs w:val="24"/>
        </w:rPr>
        <w:t>taxa</w:t>
      </w:r>
      <w:r w:rsidR="00C51DB6">
        <w:rPr>
          <w:rFonts w:ascii="Times New Roman" w:eastAsia="Times New Roman" w:hAnsi="Times New Roman" w:cs="Times New Roman"/>
          <w:sz w:val="24"/>
          <w:szCs w:val="24"/>
        </w:rPr>
        <w:t>, most of them are expected to be grazers but Barbary sheep and gazelles can be mixed-feeders</w:t>
      </w:r>
      <w:r w:rsidR="00C62309">
        <w:rPr>
          <w:rFonts w:ascii="Times New Roman" w:eastAsia="Times New Roman" w:hAnsi="Times New Roman" w:cs="Times New Roman"/>
          <w:sz w:val="24"/>
          <w:szCs w:val="24"/>
        </w:rPr>
        <w:fldChar w:fldCharType="begin"/>
      </w:r>
      <w:r w:rsidR="002D01B1">
        <w:rPr>
          <w:rFonts w:ascii="Times New Roman" w:eastAsia="Times New Roman" w:hAnsi="Times New Roman" w:cs="Times New Roman"/>
          <w:sz w:val="24"/>
          <w:szCs w:val="24"/>
        </w:rPr>
        <w:instrText xml:space="preserve"> ADDIN ZOTERO_ITEM CSL_CITATION {"citationID":"al4osmdap9","properties":{"formattedCitation":"\\super 48,49\\nosupersub{}","plainCitation":"48,49","noteIndex":0},"citationItems":[{"id":826,"uris":["http://zotero.org/users/7125028/items/QXRGGDQF"],"itemData":{"id":826,"type":"article-journal","abstract":"A micro-histological analysis of composite faecal samples was used to determine the food plants consumed by the aoudad Ammotragus lervia (Barbary sheep) in the mountains of Bou Hedma National Park, as well as to study food preferences and seasonal variation of the diet of this ungulate. A total of 19 plant species was identified in the faecal samples: 8 grasses, 6 browse types and 5 forbs. The annual diet of this ungulate is composed of approximately 67% grasses, 17% browse and 16% forbs. Two grass species, Stipa parviflora and Stipa tenacissima, comprised 97% of grasses consumed and 63% of the annual diet, and were eaten in the year with considerably greater frequency than any other plant species. The diet of the aoudad at Bou Hedma National Park showed a seasonal variation. For example, grasses were consumed the entire year with a preference in spring (72.57%) and summer (78.31%), but their occurrence in the diet dropped in winter(38.7%). Browse was eaten preferentially in autumn (21.86%) and forbs were utilised most during winter(43.22%) and least during summer (7.53%). Our results show the plasticity of the Tunisian aoudad’s diet andidentify it predominantly as a grazer.","container-title":"South African Journal of Science","DOI":"10.17159/sajs.2015/20140448","journalAbbreviation":"South African Journal of Science","source":"ResearchGate","title":"Food habits of the aoudad Ammotragus lervia in the Bou Hedma mountains, Tunisia","volume":"Volume 111","author":[{"family":"Mimoun","given":"Jamel"},{"family":"Nouira","given":"Saïd"}],"issued":{"date-parts":[["2015",11,23]]}}},{"id":931,"uris":["http://zotero.org/users/7125028/items/M2KZZLMW"],"itemData":{"id":931,"type":"article-journal","abstract":"Article Forage availability versus seasonal diets, as determined by fecal analysis, of dorcas gazelles in Morocco was published on January 1, 1991 in the journal Mammalia (volume 55, issue 2).","DOI":"10.1515/mamm.1991.55.2.255","ISSN":"1864-1547","issue":"2","language":"en","note":"publisher: De Gruyter\nsection: Mammalia","page":"255-268","source":"www.degruyter.com","title":"Forage availability versus seasonal diets, as determined by fecal analysis, of dorcas gazelles in Morocco","volume":"55","author":[{"family":"Loggers","given":"C."}],"issued":{"date-parts":[["1991",1,1]]}}}],"schema":"https://github.com/citation-style-language/schema/raw/master/csl-citation.json"} </w:instrText>
      </w:r>
      <w:r w:rsidR="00C62309">
        <w:rPr>
          <w:rFonts w:ascii="Times New Roman" w:eastAsia="Times New Roman" w:hAnsi="Times New Roman" w:cs="Times New Roman"/>
          <w:sz w:val="24"/>
          <w:szCs w:val="24"/>
        </w:rPr>
        <w:fldChar w:fldCharType="separate"/>
      </w:r>
      <w:r w:rsidR="002D01B1" w:rsidRPr="002D01B1">
        <w:rPr>
          <w:rFonts w:ascii="Times New Roman" w:hAnsi="Times New Roman" w:cs="Times New Roman"/>
          <w:sz w:val="24"/>
          <w:szCs w:val="24"/>
          <w:vertAlign w:val="superscript"/>
        </w:rPr>
        <w:t>48,49</w:t>
      </w:r>
      <w:r w:rsidR="00C62309">
        <w:rPr>
          <w:rFonts w:ascii="Times New Roman" w:eastAsia="Times New Roman" w:hAnsi="Times New Roman" w:cs="Times New Roman"/>
          <w:sz w:val="24"/>
          <w:szCs w:val="24"/>
        </w:rPr>
        <w:fldChar w:fldCharType="end"/>
      </w:r>
      <w:r w:rsidR="00C51DB6">
        <w:rPr>
          <w:rFonts w:ascii="Times New Roman" w:eastAsia="Times New Roman" w:hAnsi="Times New Roman" w:cs="Times New Roman"/>
          <w:sz w:val="24"/>
          <w:szCs w:val="24"/>
        </w:rPr>
        <w:t>. Gazelles, Hartebeest</w:t>
      </w:r>
      <w:r w:rsidR="009147FF">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{"citationID":"a9tlklmqsb","properties":{"formattedCitation":"\\super 50\\nosupersub{}","plainCitation":"50","noteIndex":0},"citationItems":[{"id":941,"uris":["http://zotero.org/users/7125028/items/I2R38ISS"],"itemData":{"id":941,"type":"book","abstract":"\"A Wake Forest studium book\"--Title page verso; Includes bibliographical references (pages 567-601) and index; 1. Hoofed Mammals : Antelopes and Other Ruminants -- 2. Hoofed Mammals : Nonruminants -- 3. Carnivores -- 4. Primates -- Glossary -- Bibliography -- Additional References -- Index","ISBN":"978-0-520-05831-6","language":"eng","number-of-pages":"646","publisher":"Berkeley : University of California Press","source":"Internet Archive","title":"The behavior guide to African mammals : including hoofed mammals, carnivores, primates","title-short":"The behavior guide to African mammals","URL":"http://archive.org/details/isbn_0520080858","author":[{"family":"Estes","given":"Richard"}],"contributor":[{"literal":"Internet Archive"}],"accessed":{"date-parts":[["2023",6,7]]},"issued":{"date-parts":[["1991"]]}}}],"schema":"https://github.com/citation-style-language/schema/raw/master/csl-citation.json"} </w:instrText>
      </w:r>
      <w:r w:rsidR="009147FF">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50</w:t>
      </w:r>
      <w:r w:rsidR="009147FF">
        <w:rPr>
          <w:rFonts w:ascii="Times New Roman" w:eastAsia="Times New Roman" w:hAnsi="Times New Roman" w:cs="Times New Roman"/>
          <w:sz w:val="24"/>
          <w:szCs w:val="24"/>
        </w:rPr>
        <w:fldChar w:fldCharType="end"/>
      </w:r>
      <w:r w:rsidR="00C51DB6">
        <w:rPr>
          <w:rFonts w:ascii="Times New Roman" w:eastAsia="Times New Roman" w:hAnsi="Times New Roman" w:cs="Times New Roman"/>
          <w:sz w:val="24"/>
          <w:szCs w:val="24"/>
        </w:rPr>
        <w:t xml:space="preserve"> and Barbary sheep</w:t>
      </w:r>
      <w:r w:rsidR="009147FF">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{"citationID":"a2c9ah7s4il","properties":{"formattedCitation":"\\super 51\\nosupersub{}","plainCitation":"51","noteIndex":0},"citationItems":[{"id":939,"uris":["http://zotero.org/users/7125028/items/ZUT33IQ9"],"itemData":{"id":939,"type":"article-journal","container-title":"Mammalian Species","DOI":"10.2307/3504009","ISSN":"0076-3519","issue":"144","note":"publisher: [American Society of Mammalogists, Oxford University Press]","page":"1-7","source":"JSTOR","title":"Ammotragus lervia","author":[{"family":"Gray","given":"Gary G."},{"family":"Simpson","given":"C. David"}],"issued":{"date-parts":[["1980"]]}}}],"schema":"https://github.com/citation-style-language/schema/raw/master/csl-citation.json"} </w:instrText>
      </w:r>
      <w:r w:rsidR="009147FF">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51</w:t>
      </w:r>
      <w:r w:rsidR="009147FF">
        <w:rPr>
          <w:rFonts w:ascii="Times New Roman" w:eastAsia="Times New Roman" w:hAnsi="Times New Roman" w:cs="Times New Roman"/>
          <w:sz w:val="24"/>
          <w:szCs w:val="24"/>
        </w:rPr>
        <w:fldChar w:fldCharType="end"/>
      </w:r>
      <w:r w:rsidR="00C51DB6">
        <w:rPr>
          <w:rFonts w:ascii="Times New Roman" w:eastAsia="Times New Roman" w:hAnsi="Times New Roman" w:cs="Times New Roman"/>
          <w:sz w:val="24"/>
          <w:szCs w:val="24"/>
        </w:rPr>
        <w:t xml:space="preserve"> are also drought tolerant. </w:t>
      </w:r>
    </w:p>
    <w:p w14:paraId="081C727E" w14:textId="4BA9767B" w:rsidR="002E7EE7" w:rsidRDefault="002E7EE7" w:rsidP="0032041F">
      <w:pPr>
        <w:spacing w:after="0" w:line="360" w:lineRule="auto"/>
        <w:rPr>
          <w:rFonts w:ascii="Times New Roman" w:eastAsia="Times New Roman" w:hAnsi="Times New Roman" w:cs="Times New Roman"/>
          <w:sz w:val="24"/>
          <w:szCs w:val="24"/>
        </w:rPr>
      </w:pPr>
    </w:p>
    <w:bookmarkStart w:id="11" w:name="_Hlk137039483" w:displacedByCustomXml="next"/>
    <w:sdt>
      <w:sdtPr>
        <w:tag w:val="goog_rdk_73"/>
        <w:id w:val="941571592"/>
      </w:sdtPr>
      <w:sdtContent>
        <w:sdt>
          <w:sdtPr>
            <w:rPr>
              <w:rFonts w:ascii="Times New Roman" w:eastAsia="Times New Roman" w:hAnsi="Times New Roman" w:cs="Times New Roman"/>
              <w:b/>
              <w:i/>
              <w:color w:val="000000"/>
              <w:sz w:val="24"/>
              <w:szCs w:val="24"/>
            </w:rPr>
            <w:tag w:val="goog_rdk_71"/>
            <w:id w:val="-321128610"/>
          </w:sdtPr>
          <w:sdtContent>
            <w:p w14:paraId="5FD329D6" w14:textId="6E0487DB" w:rsidR="00981799" w:rsidRDefault="00981799" w:rsidP="00981799">
              <w:pPr>
                <w:rPr>
                  <w:rFonts w:ascii="Times New Roman" w:eastAsia="Times New Roman" w:hAnsi="Times New Roman" w:cs="Times New Roman"/>
                  <w:b/>
                  <w:i/>
                  <w:color w:val="000000"/>
                  <w:sz w:val="24"/>
                  <w:szCs w:val="24"/>
                </w:rPr>
              </w:pPr>
              <w:r w:rsidRPr="00981799">
                <w:rPr>
                  <w:rFonts w:ascii="Times New Roman" w:eastAsia="Times New Roman" w:hAnsi="Times New Roman" w:cs="Times New Roman"/>
                  <w:b/>
                  <w:i/>
                  <w:color w:val="000000"/>
                  <w:sz w:val="24"/>
                  <w:szCs w:val="24"/>
                </w:rPr>
                <w:t>3.</w:t>
              </w:r>
              <w:sdt>
                <w:sdtPr>
                  <w:rPr>
                    <w:rFonts w:ascii="Times New Roman" w:eastAsia="Times New Roman" w:hAnsi="Times New Roman" w:cs="Times New Roman"/>
                    <w:b/>
                    <w:i/>
                    <w:color w:val="000000"/>
                    <w:sz w:val="24"/>
                    <w:szCs w:val="24"/>
                  </w:rPr>
                  <w:tag w:val="goog_rdk_72"/>
                  <w:id w:val="849372531"/>
                </w:sdtPr>
                <w:sdtContent>
                  <w:r w:rsidRPr="00981799">
                    <w:rPr>
                      <w:rFonts w:ascii="Times New Roman" w:eastAsia="Times New Roman" w:hAnsi="Times New Roman" w:cs="Times New Roman"/>
                      <w:b/>
                      <w:i/>
                      <w:color w:val="000000"/>
                      <w:sz w:val="24"/>
                      <w:szCs w:val="24"/>
                    </w:rPr>
                    <w:t>1.1</w:t>
                  </w:r>
                  <w:r w:rsidR="00EE5615">
                    <w:rPr>
                      <w:rFonts w:ascii="Times New Roman" w:eastAsia="Times New Roman" w:hAnsi="Times New Roman" w:cs="Times New Roman"/>
                      <w:b/>
                      <w:i/>
                      <w:color w:val="000000"/>
                      <w:sz w:val="24"/>
                      <w:szCs w:val="24"/>
                    </w:rPr>
                    <w:t xml:space="preserve"> </w:t>
                  </w:r>
                </w:sdtContent>
              </w:sdt>
              <w:r w:rsidRPr="00981799">
                <w:rPr>
                  <w:rFonts w:ascii="Times New Roman" w:eastAsia="Times New Roman" w:hAnsi="Times New Roman" w:cs="Times New Roman"/>
                  <w:b/>
                  <w:i/>
                  <w:color w:val="000000"/>
                  <w:sz w:val="24"/>
                  <w:szCs w:val="24"/>
                </w:rPr>
                <w:t>Zooarchaeology by mass spectrometry</w:t>
              </w:r>
            </w:p>
            <w:p w14:paraId="7914FA8C" w14:textId="48903878" w:rsidR="00981799" w:rsidRDefault="00333F7C" w:rsidP="00981799">
              <w:pPr>
                <w:rPr>
                  <w:rFonts w:ascii="Times New Roman" w:eastAsia="Times New Roman" w:hAnsi="Times New Roman" w:cs="Times New Roman"/>
                  <w:sz w:val="24"/>
                  <w:szCs w:val="24"/>
                </w:rPr>
              </w:pPr>
            </w:p>
          </w:sdtContent>
        </w:sdt>
      </w:sdtContent>
    </w:sdt>
    <w:bookmarkEnd w:id="11" w:displacedByCustomXml="prev"/>
    <w:sdt>
      <w:sdtPr>
        <w:tag w:val="goog_rdk_80"/>
        <w:id w:val="-1177412748"/>
      </w:sdtPr>
      <w:sdtEndPr>
        <w:rPr>
          <w:rFonts w:asciiTheme="majorBidi" w:hAnsiTheme="majorBidi" w:cstheme="majorBidi"/>
          <w:sz w:val="24"/>
          <w:szCs w:val="24"/>
        </w:rPr>
      </w:sdtEndPr>
      <w:sdtContent>
        <w:p w14:paraId="34DCB888" w14:textId="61B2AC45" w:rsidR="00981799" w:rsidRPr="00EE5615" w:rsidRDefault="00333F7C" w:rsidP="00EE5615">
          <w:pPr>
            <w:spacing w:line="360" w:lineRule="auto"/>
            <w:ind w:firstLine="720"/>
            <w:jc w:val="both"/>
            <w:rPr>
              <w:rFonts w:asciiTheme="majorBidi" w:hAnsiTheme="majorBidi" w:cstheme="majorBidi"/>
              <w:sz w:val="24"/>
              <w:szCs w:val="24"/>
            </w:rPr>
          </w:pPr>
          <w:sdt>
            <w:sdtPr>
              <w:tag w:val="goog_rdk_74"/>
              <w:id w:val="883298814"/>
            </w:sdtPr>
            <w:sdtEndPr>
              <w:rPr>
                <w:rFonts w:asciiTheme="majorBidi" w:hAnsiTheme="majorBidi" w:cstheme="majorBidi"/>
                <w:sz w:val="24"/>
                <w:szCs w:val="24"/>
              </w:rPr>
            </w:sdtEndPr>
            <w:sdtContent>
              <w:proofErr w:type="spellStart"/>
              <w:r w:rsidR="00981799" w:rsidRPr="00981799">
                <w:rPr>
                  <w:rFonts w:asciiTheme="majorBidi" w:eastAsia="Times New Roman" w:hAnsiTheme="majorBidi" w:cstheme="majorBidi"/>
                  <w:sz w:val="24"/>
                  <w:szCs w:val="24"/>
                </w:rPr>
                <w:t>ZooMS</w:t>
              </w:r>
              <w:proofErr w:type="spellEnd"/>
              <w:r w:rsidR="00981799" w:rsidRPr="00981799">
                <w:rPr>
                  <w:rFonts w:asciiTheme="majorBidi" w:eastAsia="Times New Roman" w:hAnsiTheme="majorBidi" w:cstheme="majorBidi"/>
                  <w:sz w:val="24"/>
                  <w:szCs w:val="24"/>
                </w:rPr>
                <w:t xml:space="preserve"> is a minimally destructive proteomic method that focuses on unidentifiable bone fragments. Through the analysis of bone collagen protein type I, it provides</w:t>
              </w:r>
              <w:r w:rsidR="0032041F">
                <w:rPr>
                  <w:rFonts w:asciiTheme="majorBidi" w:eastAsia="Times New Roman" w:hAnsiTheme="majorBidi" w:cstheme="majorBidi"/>
                  <w:sz w:val="24"/>
                  <w:szCs w:val="24"/>
                </w:rPr>
                <w:t xml:space="preserve"> a taxonomic </w:t>
              </w:r>
              <w:r w:rsidR="00981799" w:rsidRPr="00981799">
                <w:rPr>
                  <w:rFonts w:asciiTheme="majorBidi" w:eastAsia="Times New Roman" w:hAnsiTheme="majorBidi" w:cstheme="majorBidi"/>
                  <w:sz w:val="24"/>
                  <w:szCs w:val="24"/>
                </w:rPr>
                <w:t xml:space="preserve">identification based on protein amino acid sequence variation. </w:t>
              </w:r>
              <w:proofErr w:type="spellStart"/>
              <w:r w:rsidR="00981799" w:rsidRPr="00981799">
                <w:rPr>
                  <w:rFonts w:asciiTheme="majorBidi" w:eastAsia="Times New Roman" w:hAnsiTheme="majorBidi" w:cstheme="majorBidi"/>
                  <w:sz w:val="24"/>
                  <w:szCs w:val="24"/>
                </w:rPr>
                <w:t>ZooMS</w:t>
              </w:r>
              <w:proofErr w:type="spellEnd"/>
              <w:r w:rsidR="00981799" w:rsidRPr="00981799">
                <w:rPr>
                  <w:rFonts w:asciiTheme="majorBidi" w:eastAsia="Times New Roman" w:hAnsiTheme="majorBidi" w:cstheme="majorBidi"/>
                  <w:sz w:val="24"/>
                  <w:szCs w:val="24"/>
                </w:rPr>
                <w:t xml:space="preserve"> analysis followed extraction protocols detailed elsewhere</w:t>
              </w:r>
            </w:sdtContent>
          </w:sdt>
          <w:r w:rsidR="006840F0">
            <w:rPr>
              <w:rFonts w:asciiTheme="majorBidi" w:eastAsia="Times New Roman" w:hAnsiTheme="majorBidi" w:cstheme="majorBidi"/>
              <w:sz w:val="24"/>
              <w:szCs w:val="24"/>
            </w:rPr>
            <w:fldChar w:fldCharType="begin"/>
          </w:r>
          <w:r w:rsidR="000E7E53">
            <w:rPr>
              <w:rFonts w:asciiTheme="majorBidi" w:eastAsia="Times New Roman" w:hAnsiTheme="majorBidi" w:cstheme="majorBidi"/>
              <w:sz w:val="24"/>
              <w:szCs w:val="24"/>
            </w:rPr>
            <w:instrText xml:space="preserve"> ADDIN ZOTERO_ITEM CSL_CITATION {"citationID":"Bn9AEO6m","properties":{"formattedCitation":"\\super 46,52,53\\nosupersub{}","plainCitation":"46,52,53","noteIndex":0},"citationItems":[{"id":896,"uris":["http://zotero.org/users/7125028/items/ZZNA35NJ"],"itemData":{"id":896,"type":"article-journal","abstract":"Species identification of fragmentary bone, such as in rendered meat and bone meal or from archaeological sites, is often difficult in the absence of clear morphological markers. Here we present a robust method of analysing genus-specific collagen peptides by mass spectrometry simply by using solid-phase extraction (a C18 ZipTip) for peptide purification, rather than liquid chromatography/mass spectrometry (LC/MS). Analysis of the collagen from 32 different mammal species identified a total of 92 peptide markers that could be used for species identification, for example, in processed food and animal feed. A set of ancient (&gt;100 ka@10 degrees C) bone samples was also analysed to show that the proposed method has applications to archaeological bone identification.","container-title":"Rapid communications in mass spectrometry: RCM","DOI":"10.1002/rcm.4316","ISSN":"1097-0231","issue":"23","journalAbbreviation":"Rapid Commun Mass Spectrom","language":"eng","note":"PMID: 19899187","page":"3843-3854","source":"PubMed","title":"Species identification by analysis of bone collagen using matrix-assisted laser desorption/ionisation time-of-flight mass spectrometry","volume":"23","author":[{"family":"Buckley","given":"Michael"},{"family":"Collins","given":"Matthew"},{"family":"Thomas-Oates","given":"Jane"},{"family":"Wilson","given":"Julie C."}],"issued":{"date-parts":[["2009",12]]}}},{"id":898,"uris":["http://zotero.org/users/7125028/items/U9LAPUJ9"],"itemData":{"id":898,"type":"article-journal","abstract":"In Western Europe, the Middle to Upper Paleolithic transition is associated with the disappearance of Neandertals and the spread of anatomically modern humans (AMHs). Current chronological, behavioral, and biological models of this transitional period hinge on the Châtelperronian technocomplex. At the site of the Grotte du Renne, Arcy-sur-Cure, morphological Neandertal specimens are not directly dated but are contextually associated with the Châtelperronian, which contains bone points and beads. The association between Neandertals and this \"transitional\" assemblage has been controversial because of the lack either of a direct hominin radiocarbon date or of molecular confirmation of the Neandertal affiliation. Here we provide further evidence for a Neandertal-Châtelperronian association at the Grotte du Renne through biomolecular and chronological analysis. We identified 28 additional hominin specimens through zooarchaeology by mass spectrometry (ZooMS) screening of morphologically uninformative bone specimens from Châtelperronian layers at the Grotte du Renne. Next, we obtain an ancient hominin bone proteome through liquid chromatography-MS/MS analysis and error-tolerant amino acid sequence analysis. Analysis of this palaeoproteome allows us to provide phylogenetic and physiological information on these ancient hominin specimens. We distinguish Late Pleistocene clades within the genus Homo based on ancient protein evidence through the identification of an archaic-derived amino acid sequence for the collagen type X, alpha-1 (COL10α1) protein. We support this by obtaining ancient mtDNA sequences, which indicate a Neandertal ancestry for these specimens. Direct accelerator mass spectometry radiocarbon dating and Bayesian modeling confirm that the hominin specimens date to the Châtelperronian at the Grotte du Renne.","container-title":"Proceedings of the National Academy of Sciences of the United States of America","DOI":"10.1073/pnas.1605834113","ISSN":"1091-6490","issue":"40","journalAbbreviation":"Proc Natl Acad Sci U S A","language":"eng","note":"PMID: 27638212\nPMCID: PMC5056053","page":"11162-11167","source":"PubMed","title":"Palaeoproteomic evidence identifies archaic hominins associated with the Châtelperronian at the Grotte du Renne","volume":"113","author":[{"family":"Welker","given":"Frido"},{"family":"Hajdinjak","given":"Mateja"},{"family":"Talamo","given":"Sahra"},{"family":"Jaouen","given":"Klervia"},{"family":"Dannemann","given":"Michael"},{"family":"David","given":"Francine"},{"family":"Julien","given":"Michèle"},{"family":"Meyer","given":"Matthias"},{"family":"Kelso","given":"Janet"},{"family":"Barnes","given":"Ian"},{"family":"Brace","given":"Selina"},{"family":"Kamminga","given":"Pepijn"},{"family":"Fischer","given":"Roman"},{"family":"Kessler","given":"Benedikt M."},{"family":"Stewart","given":"John R."},{"family":"Pääbo","given":"Svante"},{"family":"Collins","given":"Matthew J."},{"family":"Hublin","given":"Jean-Jacques"}],"issued":{"date-parts":[["2016",10,4]]}}},{"id":901,"uris":["http://zotero.org/users/7125028/items/HPR7ACJ3"],"itemData":{"id":901,"type":"article-journal","abstract":"Bone collagen is found throughout most of the archaeological record. Under experimental conditions, collagen is apparently preserved as an intact molecule, with amino acid compositions and isotopic profiles only changing when almost all of the protein is lost. The ubiquity of collagen in archaeological bone has lead to the development of the use of collagen peptide mass fingerprints for the identification of bone fragments—Zooarchaeology by Mass Spectrometry (ZooMS). We report a novel, but a simple method for the partial extraction of collagen for ZooMS that uses ammonium bicarbonate buffer but avoids demineralisation. We compared conventional acid demineralisation with ammonium bicarbonate buffer extraction to test ZooMS in a range of modern and archaeological bone samples. The sensitivity of the current generation of mass spectrometers is high enough for the non-destructive buffer method to extract sufficient collagen for ZooMS. We envisage that a particular advantage of this method is that it leaves worked bone artefacts effectively undamaged post-treatment, suitable for subsequent analysis or museum storage or display. Furthermore, it may have potential as a screening tool to aid curators in the selection of material for more advanced molecular analysis—such as DNA sequencing.","container-title":"Archaeological and Anthropological Sciences","DOI":"10.1007/s12520-011-0067-y","ISSN":"1866-9565","issue":"3","journalAbbreviation":"Archaeol Anthropol Sci","language":"en","page":"281-289","source":"Springer Link","title":"A novel and non-destructive approach for ZooMS analysis: ammonium bicarbonate buffer extraction","title-short":"A novel and non-destructive approach for ZooMS analysis","volume":"3","author":[{"family":"Doorn","given":"Nienke Laura","non-dropping-particle":"van"},{"family":"Hollund","given":"Hege"},{"family":"Collins","given":"Matthew J."}],"issued":{"date-parts":[["2011",9,1]]}}}],"schema":"https://github.com/citation-style-language/schema/raw/master/csl-citation.json"} </w:instrText>
          </w:r>
          <w:r w:rsidR="006840F0">
            <w:rPr>
              <w:rFonts w:asciiTheme="majorBidi" w:eastAsia="Times New Roman" w:hAnsiTheme="majorBidi" w:cstheme="majorBidi"/>
              <w:sz w:val="24"/>
              <w:szCs w:val="24"/>
            </w:rPr>
            <w:fldChar w:fldCharType="separate"/>
          </w:r>
          <w:r w:rsidR="000E7E53" w:rsidRPr="000E7E53">
            <w:rPr>
              <w:rFonts w:ascii="Times New Roman" w:hAnsi="Times New Roman" w:cs="Times New Roman"/>
              <w:sz w:val="24"/>
              <w:szCs w:val="24"/>
              <w:vertAlign w:val="superscript"/>
            </w:rPr>
            <w:t>46,52,53</w:t>
          </w:r>
          <w:r w:rsidR="006840F0">
            <w:rPr>
              <w:rFonts w:asciiTheme="majorBidi" w:eastAsia="Times New Roman" w:hAnsiTheme="majorBidi" w:cstheme="majorBidi"/>
              <w:sz w:val="24"/>
              <w:szCs w:val="24"/>
            </w:rPr>
            <w:fldChar w:fldCharType="end"/>
          </w:r>
          <w:r w:rsidR="00981799" w:rsidRPr="001C7BE2">
            <w:rPr>
              <w:rFonts w:asciiTheme="majorBidi" w:eastAsia="Times New Roman" w:hAnsiTheme="majorBidi" w:cstheme="majorBidi"/>
              <w:sz w:val="24"/>
              <w:szCs w:val="24"/>
            </w:rPr>
            <w:t xml:space="preserve">. </w:t>
          </w:r>
          <w:r w:rsidR="00981799" w:rsidRPr="00981799">
            <w:rPr>
              <w:rFonts w:asciiTheme="majorBidi" w:eastAsia="Times New Roman" w:hAnsiTheme="majorBidi" w:cstheme="majorBidi"/>
              <w:sz w:val="24"/>
              <w:szCs w:val="24"/>
            </w:rPr>
            <w:t xml:space="preserve">Selected faunal specimens from Taforalt were </w:t>
          </w:r>
          <w:proofErr w:type="spellStart"/>
          <w:r w:rsidR="00981799" w:rsidRPr="00981799">
            <w:rPr>
              <w:rFonts w:asciiTheme="majorBidi" w:eastAsia="Times New Roman" w:hAnsiTheme="majorBidi" w:cstheme="majorBidi"/>
              <w:sz w:val="24"/>
              <w:szCs w:val="24"/>
            </w:rPr>
            <w:t>analysed</w:t>
          </w:r>
          <w:proofErr w:type="spellEnd"/>
          <w:r w:rsidR="00981799" w:rsidRPr="00981799">
            <w:rPr>
              <w:rFonts w:asciiTheme="majorBidi" w:eastAsia="Times New Roman" w:hAnsiTheme="majorBidi" w:cstheme="majorBidi"/>
              <w:sz w:val="24"/>
              <w:szCs w:val="24"/>
            </w:rPr>
            <w:t xml:space="preserve"> through </w:t>
          </w:r>
          <w:proofErr w:type="spellStart"/>
          <w:r w:rsidR="00981799" w:rsidRPr="00981799">
            <w:rPr>
              <w:rFonts w:asciiTheme="majorBidi" w:eastAsia="Times New Roman" w:hAnsiTheme="majorBidi" w:cstheme="majorBidi"/>
              <w:sz w:val="24"/>
              <w:szCs w:val="24"/>
            </w:rPr>
            <w:t>ZooMS</w:t>
          </w:r>
          <w:proofErr w:type="spellEnd"/>
          <w:r w:rsidR="00981799" w:rsidRPr="00981799">
            <w:rPr>
              <w:rFonts w:asciiTheme="majorBidi" w:eastAsia="Times New Roman" w:hAnsiTheme="majorBidi" w:cstheme="majorBidi"/>
              <w:sz w:val="24"/>
              <w:szCs w:val="24"/>
            </w:rPr>
            <w:t xml:space="preserve"> and sampled using pliers (10-20mg). Soluble collagen was first extracted through incubation in 100µl of 50mM ammonium-bicarbonate (</w:t>
          </w:r>
          <w:proofErr w:type="spellStart"/>
          <w:r w:rsidR="00981799" w:rsidRPr="00981799">
            <w:rPr>
              <w:rFonts w:asciiTheme="majorBidi" w:eastAsia="Times New Roman" w:hAnsiTheme="majorBidi" w:cstheme="majorBidi"/>
              <w:sz w:val="24"/>
              <w:szCs w:val="24"/>
            </w:rPr>
            <w:t>AmBic</w:t>
          </w:r>
          <w:proofErr w:type="spellEnd"/>
          <w:r w:rsidR="00981799" w:rsidRPr="00981799">
            <w:rPr>
              <w:rFonts w:asciiTheme="majorBidi" w:eastAsia="Times New Roman" w:hAnsiTheme="majorBidi" w:cstheme="majorBidi"/>
              <w:sz w:val="24"/>
              <w:szCs w:val="24"/>
            </w:rPr>
            <w:t xml:space="preserve">) buffer at 65°C for one hour. In order to improve the taxonomic identity obtained from soluble collagen, each bone sample was </w:t>
          </w:r>
          <w:proofErr w:type="spellStart"/>
          <w:r w:rsidR="00981799" w:rsidRPr="00981799">
            <w:rPr>
              <w:rFonts w:asciiTheme="majorBidi" w:eastAsia="Times New Roman" w:hAnsiTheme="majorBidi" w:cstheme="majorBidi"/>
              <w:sz w:val="24"/>
              <w:szCs w:val="24"/>
            </w:rPr>
            <w:t>demineralised</w:t>
          </w:r>
          <w:proofErr w:type="spellEnd"/>
          <w:r w:rsidR="00981799" w:rsidRPr="00981799">
            <w:rPr>
              <w:rFonts w:asciiTheme="majorBidi" w:eastAsia="Times New Roman" w:hAnsiTheme="majorBidi" w:cstheme="majorBidi"/>
              <w:sz w:val="24"/>
              <w:szCs w:val="24"/>
            </w:rPr>
            <w:t xml:space="preserve"> in 250µl 0.6M hydrochloric acid (HCL) at 4°C for 20h. Samples were then centrifuged for 1 min at 10k rpm and the supernatant was removed. The demineralized collagen was rinsed three times in 200µl of 50mM </w:t>
          </w:r>
          <w:proofErr w:type="spellStart"/>
          <w:r w:rsidR="00981799" w:rsidRPr="00981799">
            <w:rPr>
              <w:rFonts w:asciiTheme="majorBidi" w:eastAsia="Times New Roman" w:hAnsiTheme="majorBidi" w:cstheme="majorBidi"/>
              <w:sz w:val="24"/>
              <w:szCs w:val="24"/>
            </w:rPr>
            <w:t>AmBic</w:t>
          </w:r>
          <w:proofErr w:type="spellEnd"/>
          <w:r w:rsidR="00981799" w:rsidRPr="00981799">
            <w:rPr>
              <w:rFonts w:asciiTheme="majorBidi" w:eastAsia="Times New Roman" w:hAnsiTheme="majorBidi" w:cstheme="majorBidi"/>
              <w:sz w:val="24"/>
              <w:szCs w:val="24"/>
            </w:rPr>
            <w:t xml:space="preserve"> to be neutralized to pH 7, and 100µl of 50mM </w:t>
          </w:r>
          <w:proofErr w:type="spellStart"/>
          <w:r w:rsidR="00981799" w:rsidRPr="00981799">
            <w:rPr>
              <w:rFonts w:asciiTheme="majorBidi" w:eastAsia="Times New Roman" w:hAnsiTheme="majorBidi" w:cstheme="majorBidi"/>
              <w:sz w:val="24"/>
              <w:szCs w:val="24"/>
            </w:rPr>
            <w:t>Ambic</w:t>
          </w:r>
          <w:proofErr w:type="spellEnd"/>
          <w:r w:rsidR="00981799" w:rsidRPr="00981799">
            <w:rPr>
              <w:rFonts w:asciiTheme="majorBidi" w:eastAsia="Times New Roman" w:hAnsiTheme="majorBidi" w:cstheme="majorBidi"/>
              <w:sz w:val="24"/>
              <w:szCs w:val="24"/>
            </w:rPr>
            <w:t xml:space="preserve"> was added to each sample. Next, samples were incubated at 65°C for 1h. Then, 50µl of the resulting supernatant was digested with trypsin (0.5µg/µl, Promega) at 37°C overnight, acidified </w:t>
          </w:r>
          <w:r w:rsidR="00981799" w:rsidRPr="00981799">
            <w:rPr>
              <w:rFonts w:asciiTheme="majorBidi" w:eastAsia="Times New Roman" w:hAnsiTheme="majorBidi" w:cstheme="majorBidi"/>
              <w:sz w:val="24"/>
              <w:szCs w:val="24"/>
            </w:rPr>
            <w:lastRenderedPageBreak/>
            <w:t xml:space="preserve">using 1µl of trifluoroacetic acid (20% TFA), and cleaned on C18 </w:t>
          </w:r>
          <w:proofErr w:type="spellStart"/>
          <w:r w:rsidR="00981799" w:rsidRPr="00981799">
            <w:rPr>
              <w:rFonts w:asciiTheme="majorBidi" w:eastAsia="Times New Roman" w:hAnsiTheme="majorBidi" w:cstheme="majorBidi"/>
              <w:sz w:val="24"/>
              <w:szCs w:val="24"/>
            </w:rPr>
            <w:t>ZipTips</w:t>
          </w:r>
          <w:proofErr w:type="spellEnd"/>
          <w:r w:rsidR="00981799" w:rsidRPr="00981799">
            <w:rPr>
              <w:rFonts w:asciiTheme="majorBidi" w:eastAsia="Times New Roman" w:hAnsiTheme="majorBidi" w:cstheme="majorBidi"/>
              <w:sz w:val="24"/>
              <w:szCs w:val="24"/>
            </w:rPr>
            <w:t xml:space="preserve"> (Thermo Scientific). Digested peptides were spotted in triplicate on a MALDI Bruker plate with the addition of α-cyano-4-hydroxycinnamic acid (CHCA, Sigma) matrix. MALDI-TOF-MS analysis was conducted at the Fraunhofer IZI in Leipzig (Germany), using an </w:t>
          </w:r>
          <w:proofErr w:type="spellStart"/>
          <w:r w:rsidR="00981799" w:rsidRPr="00981799">
            <w:rPr>
              <w:rFonts w:asciiTheme="majorBidi" w:eastAsia="Times New Roman" w:hAnsiTheme="majorBidi" w:cstheme="majorBidi"/>
              <w:sz w:val="24"/>
              <w:szCs w:val="24"/>
            </w:rPr>
            <w:t>autoflex</w:t>
          </w:r>
          <w:proofErr w:type="spellEnd"/>
          <w:r w:rsidR="00981799" w:rsidRPr="00981799">
            <w:rPr>
              <w:rFonts w:asciiTheme="majorBidi" w:eastAsia="Times New Roman" w:hAnsiTheme="majorBidi" w:cstheme="majorBidi"/>
              <w:sz w:val="24"/>
              <w:szCs w:val="24"/>
            </w:rPr>
            <w:t xml:space="preserve"> speed LRF MALDI-TOF (Bruker) in reflector mode, positive polarity, matrix suppression up to 590 Da and collected in the mass-to-charge range 700-3500 m/z. Triplicates were merged for each sample and taxonomic identifications were made </w:t>
          </w:r>
          <w:r w:rsidR="0032041F">
            <w:rPr>
              <w:rFonts w:asciiTheme="majorBidi" w:eastAsia="Times New Roman" w:hAnsiTheme="majorBidi" w:cstheme="majorBidi"/>
              <w:sz w:val="24"/>
              <w:szCs w:val="24"/>
            </w:rPr>
            <w:t xml:space="preserve">manually </w:t>
          </w:r>
          <w:r w:rsidR="00981799" w:rsidRPr="00981799">
            <w:rPr>
              <w:rFonts w:asciiTheme="majorBidi" w:eastAsia="Times New Roman" w:hAnsiTheme="majorBidi" w:cstheme="majorBidi"/>
              <w:sz w:val="24"/>
              <w:szCs w:val="24"/>
            </w:rPr>
            <w:t>through peptide marker mass identification in comparison to a database of peptide marker series for medium to larger sized Pleistocene mammalian species</w:t>
          </w:r>
          <w:r w:rsidR="001C7BE2">
            <w:rPr>
              <w:rFonts w:asciiTheme="majorBidi" w:eastAsia="Times New Roman" w:hAnsiTheme="majorBidi" w:cstheme="majorBidi"/>
              <w:sz w:val="24"/>
              <w:szCs w:val="24"/>
            </w:rPr>
            <w:fldChar w:fldCharType="begin"/>
          </w:r>
          <w:r w:rsidR="000E7E53">
            <w:rPr>
              <w:rFonts w:asciiTheme="majorBidi" w:eastAsia="Times New Roman" w:hAnsiTheme="majorBidi" w:cstheme="majorBidi"/>
              <w:sz w:val="24"/>
              <w:szCs w:val="24"/>
            </w:rPr>
            <w:instrText xml:space="preserve"> ADDIN ZOTERO_ITEM CSL_CITATION {"citationID":"AZEyX9Jl","properties":{"formattedCitation":"\\super 52,54\\nosupersub{}","plainCitation":"52,54","noteIndex":0},"citationItems":[{"id":898,"uris":["http://zotero.org/users/7125028/items/U9LAPUJ9"],"itemData":{"id":898,"type":"article-journal","abstract":"In Western Europe, the Middle to Upper Paleolithic transition is associated with the disappearance of Neandertals and the spread of anatomically modern humans (AMHs). Current chronological, behavioral, and biological models of this transitional period hinge on the Châtelperronian technocomplex. At the site of the Grotte du Renne, Arcy-sur-Cure, morphological Neandertal specimens are not directly dated but are contextually associated with the Châtelperronian, which contains bone points and beads. The association between Neandertals and this \"transitional\" assemblage has been controversial because of the lack either of a direct hominin radiocarbon date or of molecular confirmation of the Neandertal affiliation. Here we provide further evidence for a Neandertal-Châtelperronian association at the Grotte du Renne through biomolecular and chronological analysis. We identified 28 additional hominin specimens through zooarchaeology by mass spectrometry (ZooMS) screening of morphologically uninformative bone specimens from Châtelperronian layers at the Grotte du Renne. Next, we obtain an ancient hominin bone proteome through liquid chromatography-MS/MS analysis and error-tolerant amino acid sequence analysis. Analysis of this palaeoproteome allows us to provide phylogenetic and physiological information on these ancient hominin specimens. We distinguish Late Pleistocene clades within the genus Homo based on ancient protein evidence through the identification of an archaic-derived amino acid sequence for the collagen type X, alpha-1 (COL10α1) protein. We support this by obtaining ancient mtDNA sequences, which indicate a Neandertal ancestry for these specimens. Direct accelerator mass spectometry radiocarbon dating and Bayesian modeling confirm that the hominin specimens date to the Châtelperronian at the Grotte du Renne.","container-title":"Proceedings of the National Academy of Sciences of the United States of America","DOI":"10.1073/pnas.1605834113","ISSN":"1091-6490","issue":"40","journalAbbreviation":"Proc Natl Acad Sci U S A","language":"eng","note":"PMID: 27638212\nPMCID: PMC5056053","page":"11162-11167","source":"PubMed","title":"Palaeoproteomic evidence identifies archaic hominins associated with the Châtelperronian at the Grotte du Renne","volume":"113","author":[{"family":"Welker","given":"Frido"},{"family":"Hajdinjak","given":"Mateja"},{"family":"Talamo","given":"Sahra"},{"family":"Jaouen","given":"Klervia"},{"family":"Dannemann","given":"Michael"},{"family":"David","given":"Francine"},{"family":"Julien","given":"Michèle"},{"family":"Meyer","given":"Matthias"},{"family":"Kelso","given":"Janet"},{"family":"Barnes","given":"Ian"},{"family":"Brace","given":"Selina"},{"family":"Kamminga","given":"Pepijn"},{"family":"Fischer","given":"Roman"},{"family":"Kessler","given":"Benedikt M."},{"family":"Stewart","given":"John R."},{"family":"Pääbo","given":"Svante"},{"family":"Collins","given":"Matthew J."},{"family":"Hublin","given":"Jean-Jacques"}],"issued":{"date-parts":[["2016",10,4]]}}},{"id":905,"uris":["http://zotero.org/users/7125028/items/UAHEIZE5"],"itemData":{"id":905,"type":"article-journal","abstract":"Assessing past foodways, subsistence strategies, and environments depends on the accurate identification of animals in the archaeological record. The high rates of fragmentation and often poor preservation of animal bones at many archaeological sites across sub-Saharan Africa have rendered archaeofaunal specimens unidentifiable beyond broad categories, such as “large mammal” or “medium bovid”. Identification of archaeofaunal specimens through Zooarchaeology by Mass Spectrometry (ZooMS), or peptide mass fingerprinting of bone collagen, offers an avenue for identification of morphologically ambiguous or unidentifiable bone fragments from such assemblages. However, application of ZooMS analysis has been hindered by a lack of complete reference peptide markers for African taxa, particularly bovids. Here we present the complete set of confirmed ZooMS peptide markers for members of all African bovid tribes. We also identify two novel peptide markers that can be used to further distinguish between bovid groups. We demonstrate that nearly all African bovid subfamilies are distinguishable using ZooMS methods, and some differences exist between tribes or sub-tribes, as is the case for Bovina (cattle) vs. Bubalina (African buffalo) within the subfamily Bovinae. We use ZooMS analysis to identify specimens from extremely fragmented faunal assemblages from six Late Holocene archaeological sites in Zambia. ZooMS-based identifications reveal greater taxonomic richness than analyses based solely on morphology, and these new identifications illuminate Iron Age subsistence economies c. 2200–500 cal BP. While the Iron Age in Zambia is associated with the transition from hunting and foraging to the development of farming and herding, our results demonstrate the continued reliance on wild bovids among Iron Age communities in central and southwestern Zambia Iron Age and herding focused primarily on cattle. We also outline further potential applications of ZooMS in African archaeology.","container-title":"PLOS ONE","DOI":"10.1371/journal.pone.0251061","ISSN":"1932-6203","issue":"5","journalAbbreviation":"PLOS ONE","language":"en","note":"publisher: Public Library of Science","page":"e0251061","source":"PLoS Journals","title":"Distinguishing African bovids using Zooarchaeology by Mass Spectrometry (ZooMS): New peptide markers and insights into Iron Age economies in Zambia","title-short":"Distinguishing African bovids using Zooarchaeology by Mass Spectrometry (ZooMS)","volume":"16","author":[{"family":"Janzen","given":"Anneke"},{"family":"Richter","given":"Kristine Korzow"},{"family":"Mwebi","given":"Ogeto"},{"family":"Brown","given":"Samantha"},{"family":"Onduso","given":"Veronicah"},{"family":"Gatwiri","given":"Filia"},{"family":"Ndiema","given":"Emmanuel"},{"family":"Katongo","given":"Maggie"},{"family":"Goldstein","given":"Steven T."},{"family":"Douka","given":"Katerina"},{"family":"Boivin","given":"Nicole"}],"issued":{"date-parts":[["2021",5,18]]}}}],"schema":"https://github.com/citation-style-language/schema/raw/master/csl-citation.json"} </w:instrText>
          </w:r>
          <w:r w:rsidR="001C7BE2">
            <w:rPr>
              <w:rFonts w:asciiTheme="majorBidi" w:eastAsia="Times New Roman" w:hAnsiTheme="majorBidi" w:cstheme="majorBidi"/>
              <w:sz w:val="24"/>
              <w:szCs w:val="24"/>
            </w:rPr>
            <w:fldChar w:fldCharType="separate"/>
          </w:r>
          <w:r w:rsidR="000E7E53" w:rsidRPr="000E7E53">
            <w:rPr>
              <w:rFonts w:ascii="Times New Roman" w:hAnsi="Times New Roman" w:cs="Times New Roman"/>
              <w:sz w:val="24"/>
              <w:szCs w:val="24"/>
              <w:vertAlign w:val="superscript"/>
            </w:rPr>
            <w:t>52,54</w:t>
          </w:r>
          <w:r w:rsidR="001C7BE2">
            <w:rPr>
              <w:rFonts w:asciiTheme="majorBidi" w:eastAsia="Times New Roman" w:hAnsiTheme="majorBidi" w:cstheme="majorBidi"/>
              <w:sz w:val="24"/>
              <w:szCs w:val="24"/>
            </w:rPr>
            <w:fldChar w:fldCharType="end"/>
          </w:r>
          <w:r w:rsidR="00981799" w:rsidRPr="00981799">
            <w:rPr>
              <w:rFonts w:asciiTheme="majorBidi" w:eastAsia="Times New Roman" w:hAnsiTheme="majorBidi" w:cstheme="majorBidi"/>
              <w:sz w:val="24"/>
              <w:szCs w:val="24"/>
            </w:rPr>
            <w:t>. We performed laboratory blanks alongside the samples in order to assess any potential contamination by non-endogenous peptides. These remained empty of collagenous peptides, excluding the possibility of modern laboratory or storage contamination.</w:t>
          </w:r>
          <w:sdt>
            <w:sdtPr>
              <w:rPr>
                <w:rFonts w:asciiTheme="majorBidi" w:hAnsiTheme="majorBidi" w:cstheme="majorBidi"/>
                <w:sz w:val="24"/>
                <w:szCs w:val="24"/>
              </w:rPr>
              <w:tag w:val="goog_rdk_79"/>
              <w:id w:val="-1837448552"/>
            </w:sdtPr>
            <w:sdtContent/>
          </w:sdt>
        </w:p>
      </w:sdtContent>
    </w:sdt>
    <w:p w14:paraId="3F332087" w14:textId="1BD73E2E" w:rsidR="00E10A1F" w:rsidRPr="00981799" w:rsidRDefault="00E10A1F" w:rsidP="00981799">
      <w:pPr>
        <w:spacing w:after="0" w:line="360" w:lineRule="auto"/>
        <w:rPr>
          <w:rFonts w:asciiTheme="majorBidi" w:eastAsia="Times New Roman" w:hAnsiTheme="majorBidi" w:cstheme="majorBidi"/>
          <w:sz w:val="24"/>
          <w:szCs w:val="24"/>
        </w:rPr>
      </w:pPr>
    </w:p>
    <w:p w14:paraId="2B7922FC" w14:textId="4DC0F656" w:rsidR="00E10A1F" w:rsidRDefault="00E10A1F" w:rsidP="003C7995">
      <w:pPr>
        <w:spacing w:after="0" w:line="360" w:lineRule="auto"/>
        <w:rPr>
          <w:rFonts w:ascii="Times New Roman" w:eastAsia="Times New Roman" w:hAnsi="Times New Roman" w:cs="Times New Roman"/>
          <w:sz w:val="24"/>
          <w:szCs w:val="24"/>
        </w:rPr>
      </w:pPr>
    </w:p>
    <w:p w14:paraId="7EB72259" w14:textId="0651FD86" w:rsidR="00E10A1F" w:rsidRDefault="00E10A1F" w:rsidP="003C7995">
      <w:pPr>
        <w:spacing w:after="0" w:line="360" w:lineRule="auto"/>
        <w:rPr>
          <w:rFonts w:ascii="Times New Roman" w:eastAsia="Times New Roman" w:hAnsi="Times New Roman" w:cs="Times New Roman"/>
          <w:sz w:val="24"/>
          <w:szCs w:val="24"/>
        </w:rPr>
      </w:pPr>
    </w:p>
    <w:p w14:paraId="1277AE29" w14:textId="4E1FA11F" w:rsidR="00E10A1F" w:rsidRDefault="00E10A1F" w:rsidP="003C7995">
      <w:pPr>
        <w:spacing w:after="0" w:line="360" w:lineRule="auto"/>
        <w:rPr>
          <w:rFonts w:ascii="Times New Roman" w:eastAsia="Times New Roman" w:hAnsi="Times New Roman" w:cs="Times New Roman"/>
          <w:sz w:val="24"/>
          <w:szCs w:val="24"/>
        </w:rPr>
      </w:pPr>
    </w:p>
    <w:p w14:paraId="2E74FBF4" w14:textId="643587B1" w:rsidR="00E10A1F" w:rsidRDefault="00E10A1F" w:rsidP="003C7995">
      <w:pPr>
        <w:spacing w:after="0" w:line="360" w:lineRule="auto"/>
        <w:rPr>
          <w:rFonts w:ascii="Times New Roman" w:eastAsia="Times New Roman" w:hAnsi="Times New Roman" w:cs="Times New Roman"/>
          <w:sz w:val="24"/>
          <w:szCs w:val="24"/>
        </w:rPr>
      </w:pPr>
    </w:p>
    <w:p w14:paraId="74A37554" w14:textId="77777777" w:rsidR="00E10A1F" w:rsidRDefault="00E10A1F" w:rsidP="003C7995">
      <w:pPr>
        <w:spacing w:after="0" w:line="360" w:lineRule="auto"/>
        <w:rPr>
          <w:rFonts w:ascii="Times New Roman" w:eastAsia="Times New Roman" w:hAnsi="Times New Roman" w:cs="Times New Roman"/>
          <w:sz w:val="24"/>
          <w:szCs w:val="24"/>
        </w:rPr>
      </w:pPr>
    </w:p>
    <w:p w14:paraId="14607294" w14:textId="12CDD973" w:rsidR="002E7EE7" w:rsidRDefault="002E7EE7" w:rsidP="003C7995">
      <w:pPr>
        <w:spacing w:after="0" w:line="360" w:lineRule="auto"/>
        <w:rPr>
          <w:rFonts w:ascii="Times New Roman" w:eastAsia="Times New Roman" w:hAnsi="Times New Roman" w:cs="Times New Roman"/>
          <w:sz w:val="24"/>
          <w:szCs w:val="24"/>
        </w:rPr>
      </w:pPr>
    </w:p>
    <w:p w14:paraId="7E1BC9A5" w14:textId="3BE93591" w:rsidR="00E10A1F" w:rsidRDefault="00E10A1F" w:rsidP="003C7995">
      <w:pPr>
        <w:spacing w:after="0" w:line="360" w:lineRule="auto"/>
        <w:rPr>
          <w:rFonts w:ascii="Times New Roman" w:eastAsia="Times New Roman" w:hAnsi="Times New Roman" w:cs="Times New Roman"/>
          <w:sz w:val="24"/>
          <w:szCs w:val="24"/>
        </w:rPr>
      </w:pPr>
    </w:p>
    <w:p w14:paraId="7CB8BE82" w14:textId="0A446E6E" w:rsidR="00E10A1F" w:rsidRDefault="00E10A1F" w:rsidP="003C7995">
      <w:pPr>
        <w:spacing w:after="0" w:line="360" w:lineRule="auto"/>
        <w:rPr>
          <w:rFonts w:ascii="Times New Roman" w:eastAsia="Times New Roman" w:hAnsi="Times New Roman" w:cs="Times New Roman"/>
          <w:sz w:val="24"/>
          <w:szCs w:val="24"/>
        </w:rPr>
      </w:pPr>
    </w:p>
    <w:p w14:paraId="7E4D2EB9" w14:textId="693CFC21" w:rsidR="00E10A1F" w:rsidRDefault="00E10A1F" w:rsidP="003C7995">
      <w:pPr>
        <w:spacing w:after="0" w:line="360" w:lineRule="auto"/>
        <w:rPr>
          <w:rFonts w:ascii="Times New Roman" w:eastAsia="Times New Roman" w:hAnsi="Times New Roman" w:cs="Times New Roman"/>
          <w:sz w:val="24"/>
          <w:szCs w:val="24"/>
        </w:rPr>
      </w:pPr>
    </w:p>
    <w:p w14:paraId="63A17D84" w14:textId="17F74414" w:rsidR="00E10A1F" w:rsidRDefault="00E10A1F" w:rsidP="003C7995">
      <w:pPr>
        <w:spacing w:after="0" w:line="360" w:lineRule="auto"/>
        <w:rPr>
          <w:rFonts w:ascii="Times New Roman" w:eastAsia="Times New Roman" w:hAnsi="Times New Roman" w:cs="Times New Roman"/>
          <w:sz w:val="24"/>
          <w:szCs w:val="24"/>
        </w:rPr>
      </w:pPr>
    </w:p>
    <w:p w14:paraId="03FB817F" w14:textId="29706432" w:rsidR="00E10A1F" w:rsidRDefault="00E10A1F" w:rsidP="003C7995">
      <w:pPr>
        <w:spacing w:after="0" w:line="360" w:lineRule="auto"/>
        <w:rPr>
          <w:rFonts w:ascii="Times New Roman" w:eastAsia="Times New Roman" w:hAnsi="Times New Roman" w:cs="Times New Roman"/>
          <w:sz w:val="24"/>
          <w:szCs w:val="24"/>
        </w:rPr>
      </w:pPr>
    </w:p>
    <w:p w14:paraId="20514A74" w14:textId="77777777" w:rsidR="00E10A1F" w:rsidRDefault="00E10A1F" w:rsidP="003C7995">
      <w:pPr>
        <w:spacing w:after="0" w:line="360" w:lineRule="auto"/>
        <w:rPr>
          <w:rFonts w:ascii="Times New Roman" w:eastAsia="Times New Roman" w:hAnsi="Times New Roman" w:cs="Times New Roman"/>
          <w:sz w:val="24"/>
          <w:szCs w:val="24"/>
        </w:rPr>
        <w:sectPr w:rsidR="00E10A1F" w:rsidSect="00EC7861">
          <w:footerReference w:type="even" r:id="rId20"/>
          <w:footerReference w:type="default" r:id="rId21"/>
          <w:pgSz w:w="12240" w:h="15840"/>
          <w:pgMar w:top="1440" w:right="1440" w:bottom="1440" w:left="1440" w:header="720" w:footer="720" w:gutter="0"/>
          <w:lnNumType w:countBy="1" w:restart="continuous"/>
          <w:pgNumType w:start="1"/>
          <w:cols w:space="720"/>
          <w:docGrid w:linePitch="299"/>
        </w:sectPr>
      </w:pPr>
    </w:p>
    <w:p w14:paraId="57DC6DB9" w14:textId="427E30B7" w:rsidR="00300B40" w:rsidRDefault="00300B40" w:rsidP="003A41F1">
      <w:pPr>
        <w:spacing w:after="0" w:line="360" w:lineRule="auto"/>
        <w:rPr>
          <w:rFonts w:ascii="Times New Roman" w:eastAsia="Times New Roman" w:hAnsi="Times New Roman" w:cs="Times New Roman"/>
          <w:sz w:val="24"/>
          <w:szCs w:val="24"/>
        </w:rPr>
      </w:pPr>
      <w:bookmarkStart w:id="12" w:name="_Hlk137039490"/>
      <w:r w:rsidRPr="0064579A">
        <w:rPr>
          <w:rFonts w:ascii="Times New Roman" w:eastAsia="Times New Roman" w:hAnsi="Times New Roman" w:cs="Times New Roman"/>
          <w:b/>
          <w:sz w:val="24"/>
          <w:szCs w:val="24"/>
        </w:rPr>
        <w:lastRenderedPageBreak/>
        <w:t>Table S3.1</w:t>
      </w:r>
      <w:r>
        <w:rPr>
          <w:rFonts w:ascii="Times New Roman" w:eastAsia="Times New Roman" w:hAnsi="Times New Roman" w:cs="Times New Roman"/>
          <w:sz w:val="24"/>
          <w:szCs w:val="24"/>
        </w:rPr>
        <w:t xml:space="preserve">: </w:t>
      </w:r>
      <w:r w:rsidRPr="002E7EE7">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morphological</w:t>
      </w:r>
      <w:r w:rsidRPr="002E7EE7">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ZooM</w:t>
      </w:r>
      <w:sdt>
        <w:sdtPr>
          <w:rPr>
            <w:rFonts w:ascii="Times New Roman" w:eastAsia="Times New Roman" w:hAnsi="Times New Roman" w:cs="Times New Roman"/>
            <w:sz w:val="24"/>
            <w:szCs w:val="24"/>
          </w:rPr>
          <w:tag w:val="goog_rdk_64"/>
          <w:id w:val="-649291295"/>
        </w:sdtPr>
        <w:sdtContent>
          <w:r w:rsidRPr="00A05E4F">
            <w:rPr>
              <w:rFonts w:ascii="Times New Roman" w:eastAsia="Times New Roman" w:hAnsi="Times New Roman" w:cs="Times New Roman"/>
              <w:sz w:val="24"/>
              <w:szCs w:val="24"/>
            </w:rPr>
            <w:t>S</w:t>
          </w:r>
          <w:proofErr w:type="spellEnd"/>
        </w:sdtContent>
      </w:sdt>
      <w:r w:rsidR="004237C5" w:rsidRPr="00A05E4F">
        <w:rPr>
          <w:rFonts w:ascii="Times New Roman" w:eastAsia="Times New Roman" w:hAnsi="Times New Roman" w:cs="Times New Roman"/>
          <w:sz w:val="24"/>
          <w:szCs w:val="24"/>
        </w:rPr>
        <w:t xml:space="preserve"> </w:t>
      </w:r>
      <w:proofErr w:type="spellStart"/>
      <w:r w:rsidR="004237C5" w:rsidRPr="00A05E4F">
        <w:rPr>
          <w:rFonts w:ascii="Times New Roman" w:eastAsia="Times New Roman" w:hAnsi="Times New Roman" w:cs="Times New Roman"/>
          <w:sz w:val="24"/>
          <w:szCs w:val="24"/>
        </w:rPr>
        <w:t>taxinomic</w:t>
      </w:r>
      <w:proofErr w:type="spellEnd"/>
      <w:r w:rsidRPr="002E7EE7">
        <w:rPr>
          <w:rFonts w:ascii="Times New Roman" w:eastAsia="Times New Roman" w:hAnsi="Times New Roman" w:cs="Times New Roman"/>
          <w:sz w:val="24"/>
          <w:szCs w:val="24"/>
        </w:rPr>
        <w:t xml:space="preserve"> identification of the animal </w:t>
      </w:r>
      <w:r>
        <w:rPr>
          <w:rFonts w:ascii="Times New Roman" w:eastAsia="Times New Roman" w:hAnsi="Times New Roman" w:cs="Times New Roman"/>
          <w:sz w:val="24"/>
          <w:szCs w:val="24"/>
        </w:rPr>
        <w:t>remains included in this study.</w:t>
      </w:r>
      <w:r w:rsidR="003A41F1">
        <w:rPr>
          <w:rFonts w:ascii="Times New Roman" w:eastAsia="Times New Roman" w:hAnsi="Times New Roman" w:cs="Times New Roman"/>
          <w:sz w:val="24"/>
          <w:szCs w:val="24"/>
        </w:rPr>
        <w:t xml:space="preserve"> S-EVA numbers are the ID giving to each sample in the Max Planck Institute for Evolutionary Anthropology</w:t>
      </w:r>
      <w:r w:rsidR="003A42AB">
        <w:rPr>
          <w:rFonts w:ascii="Times New Roman" w:eastAsia="Times New Roman" w:hAnsi="Times New Roman" w:cs="Times New Roman"/>
          <w:sz w:val="24"/>
          <w:szCs w:val="24"/>
        </w:rPr>
        <w:t>.</w:t>
      </w:r>
    </w:p>
    <w:bookmarkEnd w:id="12"/>
    <w:p w14:paraId="2C04C4E8" w14:textId="45C48C90" w:rsidR="00E10A1F" w:rsidRDefault="00E10A1F" w:rsidP="003C7995">
      <w:pPr>
        <w:spacing w:after="0" w:line="360" w:lineRule="auto"/>
        <w:rPr>
          <w:rFonts w:ascii="Times New Roman" w:eastAsia="Times New Roman" w:hAnsi="Times New Roman" w:cs="Times New Roman"/>
          <w:sz w:val="24"/>
          <w:szCs w:val="24"/>
        </w:rPr>
      </w:pPr>
    </w:p>
    <w:tbl>
      <w:tblPr>
        <w:tblW w:w="13819" w:type="dxa"/>
        <w:tblLook w:val="04A0" w:firstRow="1" w:lastRow="0" w:firstColumn="1" w:lastColumn="0" w:noHBand="0" w:noVBand="1"/>
      </w:tblPr>
      <w:tblGrid>
        <w:gridCol w:w="988"/>
        <w:gridCol w:w="761"/>
        <w:gridCol w:w="917"/>
        <w:gridCol w:w="2877"/>
        <w:gridCol w:w="1245"/>
        <w:gridCol w:w="3132"/>
        <w:gridCol w:w="1844"/>
        <w:gridCol w:w="2055"/>
      </w:tblGrid>
      <w:tr w:rsidR="006C3B4E" w:rsidRPr="006C3B4E" w14:paraId="5D63F513" w14:textId="77777777" w:rsidTr="00A04EA7">
        <w:trPr>
          <w:trHeight w:val="600"/>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C64B64" w14:textId="77777777"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r w:rsidRPr="006C3B4E">
              <w:rPr>
                <w:rFonts w:asciiTheme="majorBidi" w:eastAsia="Times New Roman" w:hAnsiTheme="majorBidi" w:cstheme="majorBidi"/>
                <w:b/>
                <w:bCs/>
                <w:color w:val="000000"/>
                <w:sz w:val="20"/>
                <w:szCs w:val="20"/>
                <w:lang w:eastAsia="en-US"/>
              </w:rPr>
              <w:t>ID</w:t>
            </w:r>
          </w:p>
        </w:tc>
        <w:tc>
          <w:tcPr>
            <w:tcW w:w="761" w:type="dxa"/>
            <w:tcBorders>
              <w:top w:val="single" w:sz="4" w:space="0" w:color="auto"/>
              <w:left w:val="nil"/>
              <w:bottom w:val="single" w:sz="4" w:space="0" w:color="auto"/>
              <w:right w:val="single" w:sz="4" w:space="0" w:color="auto"/>
            </w:tcBorders>
            <w:shd w:val="clear" w:color="auto" w:fill="auto"/>
            <w:noWrap/>
            <w:vAlign w:val="center"/>
            <w:hideMark/>
          </w:tcPr>
          <w:p w14:paraId="4E46F9BE" w14:textId="77777777"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r w:rsidRPr="006C3B4E">
              <w:rPr>
                <w:rFonts w:asciiTheme="majorBidi" w:eastAsia="Times New Roman" w:hAnsiTheme="majorBidi" w:cstheme="majorBidi"/>
                <w:b/>
                <w:bCs/>
                <w:color w:val="000000"/>
                <w:sz w:val="20"/>
                <w:szCs w:val="20"/>
                <w:lang w:eastAsia="en-US"/>
              </w:rPr>
              <w:t>Sector</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13E7D3A1" w14:textId="77777777"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r w:rsidRPr="006C3B4E">
              <w:rPr>
                <w:rFonts w:asciiTheme="majorBidi" w:eastAsia="Times New Roman" w:hAnsiTheme="majorBidi" w:cstheme="majorBidi"/>
                <w:b/>
                <w:bCs/>
                <w:color w:val="000000"/>
                <w:sz w:val="20"/>
                <w:szCs w:val="20"/>
                <w:lang w:eastAsia="en-US"/>
              </w:rPr>
              <w:t>S-EVA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FAE86A7" w14:textId="77777777"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proofErr w:type="spellStart"/>
            <w:r w:rsidRPr="006C3B4E">
              <w:rPr>
                <w:rFonts w:asciiTheme="majorBidi" w:eastAsia="Times New Roman" w:hAnsiTheme="majorBidi" w:cstheme="majorBidi"/>
                <w:b/>
                <w:bCs/>
                <w:color w:val="000000"/>
                <w:sz w:val="20"/>
                <w:szCs w:val="20"/>
                <w:lang w:eastAsia="en-US"/>
              </w:rPr>
              <w:t>Zooarchaological</w:t>
            </w:r>
            <w:proofErr w:type="spellEnd"/>
            <w:r w:rsidRPr="006C3B4E">
              <w:rPr>
                <w:rFonts w:asciiTheme="majorBidi" w:eastAsia="Times New Roman" w:hAnsiTheme="majorBidi" w:cstheme="majorBidi"/>
                <w:b/>
                <w:bCs/>
                <w:color w:val="000000"/>
                <w:sz w:val="20"/>
                <w:szCs w:val="20"/>
                <w:lang w:eastAsia="en-US"/>
              </w:rPr>
              <w:t xml:space="preserve"> identification</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70933B" w14:textId="77777777"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r w:rsidRPr="006C3B4E">
              <w:rPr>
                <w:rFonts w:asciiTheme="majorBidi" w:eastAsia="Times New Roman" w:hAnsiTheme="majorBidi" w:cstheme="majorBidi"/>
                <w:b/>
                <w:bCs/>
                <w:color w:val="000000"/>
                <w:sz w:val="20"/>
                <w:szCs w:val="20"/>
                <w:lang w:eastAsia="en-US"/>
              </w:rPr>
              <w:t>Tissue Type</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ACCFAC0" w14:textId="2FF8C4D5"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proofErr w:type="spellStart"/>
            <w:r w:rsidRPr="006C3B4E">
              <w:rPr>
                <w:rFonts w:asciiTheme="majorBidi" w:eastAsia="Times New Roman" w:hAnsiTheme="majorBidi" w:cstheme="majorBidi"/>
                <w:b/>
                <w:bCs/>
                <w:color w:val="000000"/>
                <w:sz w:val="20"/>
                <w:szCs w:val="20"/>
                <w:lang w:eastAsia="en-US"/>
              </w:rPr>
              <w:t>ZooMS</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4BC7A0E" w14:textId="77777777"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r w:rsidRPr="006C3B4E">
              <w:rPr>
                <w:rFonts w:asciiTheme="majorBidi" w:eastAsia="Times New Roman" w:hAnsiTheme="majorBidi" w:cstheme="majorBidi"/>
                <w:b/>
                <w:bCs/>
                <w:color w:val="000000"/>
                <w:sz w:val="20"/>
                <w:szCs w:val="20"/>
                <w:lang w:eastAsia="en-US"/>
              </w:rPr>
              <w:t>Final identification</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DA350E9" w14:textId="77777777" w:rsidR="005B7508" w:rsidRPr="006C3B4E" w:rsidRDefault="005B7508" w:rsidP="00A04EA7">
            <w:pPr>
              <w:spacing w:after="0" w:line="240" w:lineRule="auto"/>
              <w:jc w:val="center"/>
              <w:rPr>
                <w:rFonts w:asciiTheme="majorBidi" w:eastAsia="Times New Roman" w:hAnsiTheme="majorBidi" w:cstheme="majorBidi"/>
                <w:b/>
                <w:bCs/>
                <w:color w:val="000000"/>
                <w:sz w:val="20"/>
                <w:szCs w:val="20"/>
                <w:lang w:eastAsia="en-US"/>
              </w:rPr>
            </w:pPr>
            <w:r w:rsidRPr="006C3B4E">
              <w:rPr>
                <w:rFonts w:asciiTheme="majorBidi" w:eastAsia="Times New Roman" w:hAnsiTheme="majorBidi" w:cstheme="majorBidi"/>
                <w:b/>
                <w:bCs/>
                <w:color w:val="000000"/>
                <w:sz w:val="20"/>
                <w:szCs w:val="20"/>
                <w:lang w:eastAsia="en-US"/>
              </w:rPr>
              <w:t>Latin name</w:t>
            </w:r>
          </w:p>
        </w:tc>
      </w:tr>
      <w:tr w:rsidR="006C3B4E" w:rsidRPr="006C3B4E" w14:paraId="16D7282E"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5EBDD276"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10- 11408</w:t>
            </w:r>
          </w:p>
        </w:tc>
        <w:tc>
          <w:tcPr>
            <w:tcW w:w="761" w:type="dxa"/>
            <w:tcBorders>
              <w:top w:val="nil"/>
              <w:left w:val="nil"/>
              <w:bottom w:val="single" w:sz="4" w:space="0" w:color="auto"/>
              <w:right w:val="single" w:sz="4" w:space="0" w:color="auto"/>
            </w:tcBorders>
            <w:shd w:val="clear" w:color="auto" w:fill="auto"/>
            <w:vAlign w:val="center"/>
            <w:hideMark/>
          </w:tcPr>
          <w:p w14:paraId="333FDCAC" w14:textId="75A3DEC4"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p>
        </w:tc>
        <w:tc>
          <w:tcPr>
            <w:tcW w:w="917" w:type="dxa"/>
            <w:tcBorders>
              <w:top w:val="nil"/>
              <w:left w:val="nil"/>
              <w:bottom w:val="single" w:sz="4" w:space="0" w:color="auto"/>
              <w:right w:val="single" w:sz="4" w:space="0" w:color="auto"/>
            </w:tcBorders>
            <w:shd w:val="clear" w:color="auto" w:fill="auto"/>
            <w:vAlign w:val="center"/>
            <w:hideMark/>
          </w:tcPr>
          <w:p w14:paraId="34018A3A"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34565</w:t>
            </w:r>
          </w:p>
        </w:tc>
        <w:tc>
          <w:tcPr>
            <w:tcW w:w="0" w:type="auto"/>
            <w:tcBorders>
              <w:top w:val="nil"/>
              <w:left w:val="nil"/>
              <w:bottom w:val="single" w:sz="4" w:space="0" w:color="auto"/>
              <w:right w:val="single" w:sz="4" w:space="0" w:color="auto"/>
            </w:tcBorders>
            <w:shd w:val="clear" w:color="auto" w:fill="auto"/>
            <w:vAlign w:val="center"/>
            <w:hideMark/>
          </w:tcPr>
          <w:p w14:paraId="3A20A172"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vAlign w:val="center"/>
            <w:hideMark/>
          </w:tcPr>
          <w:p w14:paraId="10DE6C1B"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w:t>
            </w:r>
          </w:p>
        </w:tc>
        <w:tc>
          <w:tcPr>
            <w:tcW w:w="0" w:type="auto"/>
            <w:tcBorders>
              <w:top w:val="nil"/>
              <w:left w:val="nil"/>
              <w:bottom w:val="single" w:sz="4" w:space="0" w:color="auto"/>
              <w:right w:val="single" w:sz="4" w:space="0" w:color="auto"/>
            </w:tcBorders>
            <w:shd w:val="clear" w:color="auto" w:fill="auto"/>
            <w:vAlign w:val="center"/>
            <w:hideMark/>
          </w:tcPr>
          <w:p w14:paraId="3FE60B8B" w14:textId="2AA5F8AB"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p>
        </w:tc>
        <w:tc>
          <w:tcPr>
            <w:tcW w:w="0" w:type="auto"/>
            <w:tcBorders>
              <w:top w:val="nil"/>
              <w:left w:val="nil"/>
              <w:bottom w:val="single" w:sz="4" w:space="0" w:color="auto"/>
              <w:right w:val="single" w:sz="4" w:space="0" w:color="auto"/>
            </w:tcBorders>
            <w:shd w:val="clear" w:color="auto" w:fill="auto"/>
            <w:vAlign w:val="center"/>
            <w:hideMark/>
          </w:tcPr>
          <w:p w14:paraId="7755B520"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noWrap/>
            <w:vAlign w:val="center"/>
            <w:hideMark/>
          </w:tcPr>
          <w:p w14:paraId="2E128077" w14:textId="77777777" w:rsidR="005B7508" w:rsidRPr="006C3B4E" w:rsidRDefault="005B7508"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Equidae</w:t>
            </w:r>
          </w:p>
        </w:tc>
      </w:tr>
      <w:tr w:rsidR="006C3B4E" w:rsidRPr="006C3B4E" w14:paraId="0B6B84BB"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572D231C"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05- 3475</w:t>
            </w:r>
          </w:p>
        </w:tc>
        <w:tc>
          <w:tcPr>
            <w:tcW w:w="761" w:type="dxa"/>
            <w:tcBorders>
              <w:top w:val="nil"/>
              <w:left w:val="nil"/>
              <w:bottom w:val="single" w:sz="4" w:space="0" w:color="auto"/>
              <w:right w:val="single" w:sz="4" w:space="0" w:color="auto"/>
            </w:tcBorders>
            <w:shd w:val="clear" w:color="auto" w:fill="auto"/>
            <w:vAlign w:val="center"/>
            <w:hideMark/>
          </w:tcPr>
          <w:p w14:paraId="79A8BE10"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5990644C"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34566</w:t>
            </w:r>
          </w:p>
        </w:tc>
        <w:tc>
          <w:tcPr>
            <w:tcW w:w="0" w:type="auto"/>
            <w:tcBorders>
              <w:top w:val="nil"/>
              <w:left w:val="nil"/>
              <w:bottom w:val="single" w:sz="4" w:space="0" w:color="auto"/>
              <w:right w:val="single" w:sz="4" w:space="0" w:color="auto"/>
            </w:tcBorders>
            <w:shd w:val="clear" w:color="auto" w:fill="auto"/>
            <w:vAlign w:val="center"/>
            <w:hideMark/>
          </w:tcPr>
          <w:p w14:paraId="13649473"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vAlign w:val="center"/>
            <w:hideMark/>
          </w:tcPr>
          <w:p w14:paraId="149FB547" w14:textId="3C418E84"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p>
        </w:tc>
        <w:tc>
          <w:tcPr>
            <w:tcW w:w="0" w:type="auto"/>
            <w:tcBorders>
              <w:top w:val="nil"/>
              <w:left w:val="nil"/>
              <w:bottom w:val="single" w:sz="4" w:space="0" w:color="auto"/>
              <w:right w:val="single" w:sz="4" w:space="0" w:color="auto"/>
            </w:tcBorders>
            <w:shd w:val="clear" w:color="auto" w:fill="auto"/>
            <w:vAlign w:val="center"/>
            <w:hideMark/>
          </w:tcPr>
          <w:p w14:paraId="4DFA32CB" w14:textId="3A0521FD"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p>
        </w:tc>
        <w:tc>
          <w:tcPr>
            <w:tcW w:w="0" w:type="auto"/>
            <w:tcBorders>
              <w:top w:val="nil"/>
              <w:left w:val="nil"/>
              <w:bottom w:val="single" w:sz="4" w:space="0" w:color="auto"/>
              <w:right w:val="single" w:sz="4" w:space="0" w:color="auto"/>
            </w:tcBorders>
            <w:shd w:val="clear" w:color="auto" w:fill="auto"/>
            <w:vAlign w:val="center"/>
            <w:hideMark/>
          </w:tcPr>
          <w:p w14:paraId="127B72F6"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noWrap/>
            <w:vAlign w:val="center"/>
            <w:hideMark/>
          </w:tcPr>
          <w:p w14:paraId="24F5F959" w14:textId="77777777" w:rsidR="005B7508" w:rsidRPr="006C3B4E" w:rsidRDefault="005B7508"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Ammotragus</w:t>
            </w:r>
            <w:proofErr w:type="spellEnd"/>
            <w:r w:rsidRPr="006C3B4E">
              <w:rPr>
                <w:rFonts w:asciiTheme="majorBidi" w:eastAsia="Times New Roman" w:hAnsiTheme="majorBidi" w:cstheme="majorBidi"/>
                <w:i/>
                <w:iCs/>
                <w:sz w:val="20"/>
                <w:szCs w:val="20"/>
                <w:lang w:eastAsia="en-US"/>
              </w:rPr>
              <w:t xml:space="preserve"> </w:t>
            </w:r>
            <w:proofErr w:type="spellStart"/>
            <w:r w:rsidRPr="006C3B4E">
              <w:rPr>
                <w:rFonts w:asciiTheme="majorBidi" w:eastAsia="Times New Roman" w:hAnsiTheme="majorBidi" w:cstheme="majorBidi"/>
                <w:i/>
                <w:iCs/>
                <w:sz w:val="20"/>
                <w:szCs w:val="20"/>
                <w:lang w:eastAsia="en-US"/>
              </w:rPr>
              <w:t>lervia</w:t>
            </w:r>
            <w:proofErr w:type="spellEnd"/>
          </w:p>
        </w:tc>
      </w:tr>
      <w:tr w:rsidR="006C3B4E" w:rsidRPr="006C3B4E" w14:paraId="4AE2212E"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36CFB2A8"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TAF.13-12280</w:t>
            </w:r>
          </w:p>
        </w:tc>
        <w:tc>
          <w:tcPr>
            <w:tcW w:w="761" w:type="dxa"/>
            <w:tcBorders>
              <w:top w:val="nil"/>
              <w:left w:val="nil"/>
              <w:bottom w:val="single" w:sz="4" w:space="0" w:color="auto"/>
              <w:right w:val="single" w:sz="4" w:space="0" w:color="auto"/>
            </w:tcBorders>
            <w:shd w:val="clear" w:color="auto" w:fill="auto"/>
            <w:vAlign w:val="center"/>
            <w:hideMark/>
          </w:tcPr>
          <w:p w14:paraId="59059DC3"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47822DA9"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35819</w:t>
            </w:r>
          </w:p>
        </w:tc>
        <w:tc>
          <w:tcPr>
            <w:tcW w:w="0" w:type="auto"/>
            <w:tcBorders>
              <w:top w:val="nil"/>
              <w:left w:val="nil"/>
              <w:bottom w:val="single" w:sz="4" w:space="0" w:color="auto"/>
              <w:right w:val="single" w:sz="4" w:space="0" w:color="auto"/>
            </w:tcBorders>
            <w:shd w:val="clear" w:color="auto" w:fill="auto"/>
            <w:vAlign w:val="center"/>
            <w:hideMark/>
          </w:tcPr>
          <w:p w14:paraId="681E94D8"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vAlign w:val="center"/>
            <w:hideMark/>
          </w:tcPr>
          <w:p w14:paraId="7841043F"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M3</w:t>
            </w:r>
          </w:p>
        </w:tc>
        <w:tc>
          <w:tcPr>
            <w:tcW w:w="0" w:type="auto"/>
            <w:tcBorders>
              <w:top w:val="nil"/>
              <w:left w:val="nil"/>
              <w:bottom w:val="single" w:sz="4" w:space="0" w:color="auto"/>
              <w:right w:val="single" w:sz="4" w:space="0" w:color="auto"/>
            </w:tcBorders>
            <w:shd w:val="clear" w:color="auto" w:fill="auto"/>
            <w:noWrap/>
            <w:vAlign w:val="center"/>
            <w:hideMark/>
          </w:tcPr>
          <w:p w14:paraId="714CE6A9"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Unidentifiable</w:t>
            </w:r>
          </w:p>
        </w:tc>
        <w:tc>
          <w:tcPr>
            <w:tcW w:w="0" w:type="auto"/>
            <w:tcBorders>
              <w:top w:val="nil"/>
              <w:left w:val="nil"/>
              <w:bottom w:val="single" w:sz="4" w:space="0" w:color="auto"/>
              <w:right w:val="single" w:sz="4" w:space="0" w:color="auto"/>
            </w:tcBorders>
            <w:shd w:val="clear" w:color="auto" w:fill="auto"/>
            <w:vAlign w:val="center"/>
            <w:hideMark/>
          </w:tcPr>
          <w:p w14:paraId="2E39D250"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noWrap/>
            <w:vAlign w:val="center"/>
            <w:hideMark/>
          </w:tcPr>
          <w:p w14:paraId="7B4616B5" w14:textId="77777777" w:rsidR="005B7508" w:rsidRPr="006C3B4E" w:rsidRDefault="005B7508"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Ammotragus</w:t>
            </w:r>
            <w:proofErr w:type="spellEnd"/>
            <w:r w:rsidRPr="006C3B4E">
              <w:rPr>
                <w:rFonts w:asciiTheme="majorBidi" w:eastAsia="Times New Roman" w:hAnsiTheme="majorBidi" w:cstheme="majorBidi"/>
                <w:i/>
                <w:iCs/>
                <w:sz w:val="20"/>
                <w:szCs w:val="20"/>
                <w:lang w:eastAsia="en-US"/>
              </w:rPr>
              <w:t xml:space="preserve"> </w:t>
            </w:r>
            <w:proofErr w:type="spellStart"/>
            <w:r w:rsidRPr="006C3B4E">
              <w:rPr>
                <w:rFonts w:asciiTheme="majorBidi" w:eastAsia="Times New Roman" w:hAnsiTheme="majorBidi" w:cstheme="majorBidi"/>
                <w:i/>
                <w:iCs/>
                <w:sz w:val="20"/>
                <w:szCs w:val="20"/>
                <w:lang w:eastAsia="en-US"/>
              </w:rPr>
              <w:t>lervia</w:t>
            </w:r>
            <w:proofErr w:type="spellEnd"/>
          </w:p>
        </w:tc>
      </w:tr>
      <w:tr w:rsidR="006C3B4E" w:rsidRPr="006C3B4E" w14:paraId="053C9159"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601FAC43"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TAF.04-379</w:t>
            </w:r>
          </w:p>
        </w:tc>
        <w:tc>
          <w:tcPr>
            <w:tcW w:w="761" w:type="dxa"/>
            <w:tcBorders>
              <w:top w:val="nil"/>
              <w:left w:val="nil"/>
              <w:bottom w:val="single" w:sz="4" w:space="0" w:color="auto"/>
              <w:right w:val="single" w:sz="4" w:space="0" w:color="auto"/>
            </w:tcBorders>
            <w:shd w:val="clear" w:color="auto" w:fill="auto"/>
            <w:vAlign w:val="center"/>
            <w:hideMark/>
          </w:tcPr>
          <w:p w14:paraId="3A207C47"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8</w:t>
            </w:r>
          </w:p>
        </w:tc>
        <w:tc>
          <w:tcPr>
            <w:tcW w:w="917" w:type="dxa"/>
            <w:tcBorders>
              <w:top w:val="nil"/>
              <w:left w:val="nil"/>
              <w:bottom w:val="single" w:sz="4" w:space="0" w:color="auto"/>
              <w:right w:val="single" w:sz="4" w:space="0" w:color="auto"/>
            </w:tcBorders>
            <w:shd w:val="clear" w:color="auto" w:fill="auto"/>
            <w:vAlign w:val="center"/>
            <w:hideMark/>
          </w:tcPr>
          <w:p w14:paraId="0B4C85E4"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35820</w:t>
            </w:r>
          </w:p>
        </w:tc>
        <w:tc>
          <w:tcPr>
            <w:tcW w:w="0" w:type="auto"/>
            <w:tcBorders>
              <w:top w:val="nil"/>
              <w:left w:val="nil"/>
              <w:bottom w:val="single" w:sz="4" w:space="0" w:color="auto"/>
              <w:right w:val="single" w:sz="4" w:space="0" w:color="auto"/>
            </w:tcBorders>
            <w:shd w:val="clear" w:color="auto" w:fill="auto"/>
            <w:vAlign w:val="center"/>
            <w:hideMark/>
          </w:tcPr>
          <w:p w14:paraId="11B923FE"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vAlign w:val="center"/>
            <w:hideMark/>
          </w:tcPr>
          <w:p w14:paraId="06A6888A"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M1 /2</w:t>
            </w:r>
          </w:p>
        </w:tc>
        <w:tc>
          <w:tcPr>
            <w:tcW w:w="0" w:type="auto"/>
            <w:tcBorders>
              <w:top w:val="nil"/>
              <w:left w:val="nil"/>
              <w:bottom w:val="single" w:sz="4" w:space="0" w:color="auto"/>
              <w:right w:val="single" w:sz="4" w:space="0" w:color="auto"/>
            </w:tcBorders>
            <w:shd w:val="clear" w:color="auto" w:fill="auto"/>
            <w:noWrap/>
            <w:vAlign w:val="center"/>
            <w:hideMark/>
          </w:tcPr>
          <w:p w14:paraId="3DD0D1A0"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Equidae</w:t>
            </w:r>
          </w:p>
        </w:tc>
        <w:tc>
          <w:tcPr>
            <w:tcW w:w="0" w:type="auto"/>
            <w:tcBorders>
              <w:top w:val="nil"/>
              <w:left w:val="nil"/>
              <w:bottom w:val="single" w:sz="4" w:space="0" w:color="auto"/>
              <w:right w:val="single" w:sz="4" w:space="0" w:color="auto"/>
            </w:tcBorders>
            <w:shd w:val="clear" w:color="auto" w:fill="auto"/>
            <w:vAlign w:val="center"/>
            <w:hideMark/>
          </w:tcPr>
          <w:p w14:paraId="0F06C982"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noWrap/>
            <w:vAlign w:val="center"/>
            <w:hideMark/>
          </w:tcPr>
          <w:p w14:paraId="126D46AA" w14:textId="77777777" w:rsidR="005B7508" w:rsidRPr="006C3B4E" w:rsidRDefault="005B7508"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Equidae</w:t>
            </w:r>
          </w:p>
        </w:tc>
      </w:tr>
      <w:tr w:rsidR="006C3B4E" w:rsidRPr="006C3B4E" w14:paraId="2B37F23F"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7FA0AF89"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TAF.13-11819</w:t>
            </w:r>
          </w:p>
        </w:tc>
        <w:tc>
          <w:tcPr>
            <w:tcW w:w="761" w:type="dxa"/>
            <w:tcBorders>
              <w:top w:val="nil"/>
              <w:left w:val="nil"/>
              <w:bottom w:val="single" w:sz="4" w:space="0" w:color="auto"/>
              <w:right w:val="single" w:sz="4" w:space="0" w:color="auto"/>
            </w:tcBorders>
            <w:shd w:val="clear" w:color="auto" w:fill="auto"/>
            <w:vAlign w:val="center"/>
            <w:hideMark/>
          </w:tcPr>
          <w:p w14:paraId="527B216A"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58BDC915"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35821</w:t>
            </w:r>
          </w:p>
        </w:tc>
        <w:tc>
          <w:tcPr>
            <w:tcW w:w="0" w:type="auto"/>
            <w:tcBorders>
              <w:top w:val="nil"/>
              <w:left w:val="nil"/>
              <w:bottom w:val="single" w:sz="4" w:space="0" w:color="auto"/>
              <w:right w:val="single" w:sz="4" w:space="0" w:color="auto"/>
            </w:tcBorders>
            <w:shd w:val="clear" w:color="auto" w:fill="auto"/>
            <w:vAlign w:val="center"/>
            <w:hideMark/>
          </w:tcPr>
          <w:p w14:paraId="03D801D9"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vAlign w:val="center"/>
            <w:hideMark/>
          </w:tcPr>
          <w:p w14:paraId="10CBA5CC"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dm3</w:t>
            </w:r>
          </w:p>
        </w:tc>
        <w:tc>
          <w:tcPr>
            <w:tcW w:w="0" w:type="auto"/>
            <w:tcBorders>
              <w:top w:val="nil"/>
              <w:left w:val="nil"/>
              <w:bottom w:val="single" w:sz="4" w:space="0" w:color="auto"/>
              <w:right w:val="single" w:sz="4" w:space="0" w:color="auto"/>
            </w:tcBorders>
            <w:shd w:val="clear" w:color="auto" w:fill="auto"/>
            <w:noWrap/>
            <w:vAlign w:val="center"/>
            <w:hideMark/>
          </w:tcPr>
          <w:p w14:paraId="6FA42CEB" w14:textId="77777777" w:rsidR="005B7508" w:rsidRPr="006C3B4E" w:rsidRDefault="005B7508" w:rsidP="00A04EA7">
            <w:pPr>
              <w:spacing w:after="0" w:line="240" w:lineRule="auto"/>
              <w:jc w:val="center"/>
              <w:rPr>
                <w:rFonts w:asciiTheme="majorBidi" w:eastAsia="Times New Roman" w:hAnsiTheme="majorBidi" w:cstheme="majorBidi"/>
                <w:color w:val="000000"/>
                <w:sz w:val="20"/>
                <w:szCs w:val="20"/>
                <w:lang w:eastAsia="en-US"/>
              </w:rPr>
            </w:pPr>
            <w:proofErr w:type="spellStart"/>
            <w:r w:rsidRPr="006C3B4E">
              <w:rPr>
                <w:rFonts w:asciiTheme="majorBidi" w:eastAsia="Times New Roman" w:hAnsiTheme="majorBidi" w:cstheme="majorBidi"/>
                <w:color w:val="000000"/>
                <w:sz w:val="20"/>
                <w:szCs w:val="20"/>
                <w:lang w:eastAsia="en-US"/>
              </w:rPr>
              <w:t>Caprinae</w:t>
            </w:r>
            <w:proofErr w:type="spellEnd"/>
            <w:r w:rsidRPr="006C3B4E">
              <w:rPr>
                <w:rFonts w:asciiTheme="majorBidi" w:eastAsia="Times New Roman" w:hAnsiTheme="majorBidi" w:cstheme="majorBidi"/>
                <w:color w:val="000000"/>
                <w:sz w:val="20"/>
                <w:szCs w:val="20"/>
                <w:lang w:eastAsia="en-US"/>
              </w:rPr>
              <w:t xml:space="preserve"> (</w:t>
            </w:r>
            <w:proofErr w:type="spellStart"/>
            <w:r w:rsidRPr="006C3B4E">
              <w:rPr>
                <w:rFonts w:asciiTheme="majorBidi" w:eastAsia="Times New Roman" w:hAnsiTheme="majorBidi" w:cstheme="majorBidi"/>
                <w:color w:val="000000"/>
                <w:sz w:val="20"/>
                <w:szCs w:val="20"/>
                <w:lang w:eastAsia="en-US"/>
              </w:rPr>
              <w:t>Ovis</w:t>
            </w:r>
            <w:proofErr w:type="spellEnd"/>
            <w:r w:rsidRPr="006C3B4E">
              <w:rPr>
                <w:rFonts w:asciiTheme="majorBidi" w:eastAsia="Times New Roman" w:hAnsiTheme="majorBidi" w:cstheme="majorBidi"/>
                <w:color w:val="000000"/>
                <w:sz w:val="20"/>
                <w:szCs w:val="20"/>
                <w:lang w:eastAsia="en-US"/>
              </w:rPr>
              <w:t>)</w:t>
            </w:r>
          </w:p>
        </w:tc>
        <w:tc>
          <w:tcPr>
            <w:tcW w:w="0" w:type="auto"/>
            <w:tcBorders>
              <w:top w:val="nil"/>
              <w:left w:val="nil"/>
              <w:bottom w:val="single" w:sz="4" w:space="0" w:color="auto"/>
              <w:right w:val="single" w:sz="4" w:space="0" w:color="auto"/>
            </w:tcBorders>
            <w:shd w:val="clear" w:color="auto" w:fill="auto"/>
            <w:vAlign w:val="center"/>
            <w:hideMark/>
          </w:tcPr>
          <w:p w14:paraId="085C1ADA"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noWrap/>
            <w:vAlign w:val="center"/>
            <w:hideMark/>
          </w:tcPr>
          <w:p w14:paraId="507ECAD3" w14:textId="77777777" w:rsidR="005B7508" w:rsidRPr="006C3B4E" w:rsidRDefault="005B7508"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Ammotragus</w:t>
            </w:r>
            <w:proofErr w:type="spellEnd"/>
            <w:r w:rsidRPr="006C3B4E">
              <w:rPr>
                <w:rFonts w:asciiTheme="majorBidi" w:eastAsia="Times New Roman" w:hAnsiTheme="majorBidi" w:cstheme="majorBidi"/>
                <w:i/>
                <w:iCs/>
                <w:sz w:val="20"/>
                <w:szCs w:val="20"/>
                <w:lang w:eastAsia="en-US"/>
              </w:rPr>
              <w:t xml:space="preserve"> </w:t>
            </w:r>
            <w:proofErr w:type="spellStart"/>
            <w:r w:rsidRPr="006C3B4E">
              <w:rPr>
                <w:rFonts w:asciiTheme="majorBidi" w:eastAsia="Times New Roman" w:hAnsiTheme="majorBidi" w:cstheme="majorBidi"/>
                <w:i/>
                <w:iCs/>
                <w:sz w:val="20"/>
                <w:szCs w:val="20"/>
                <w:lang w:eastAsia="en-US"/>
              </w:rPr>
              <w:t>lervia</w:t>
            </w:r>
            <w:proofErr w:type="spellEnd"/>
          </w:p>
        </w:tc>
      </w:tr>
      <w:tr w:rsidR="006C3B4E" w:rsidRPr="006C3B4E" w14:paraId="2C81571C"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1C551C74"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TAF.13-11617</w:t>
            </w:r>
          </w:p>
        </w:tc>
        <w:tc>
          <w:tcPr>
            <w:tcW w:w="761" w:type="dxa"/>
            <w:tcBorders>
              <w:top w:val="nil"/>
              <w:left w:val="nil"/>
              <w:bottom w:val="single" w:sz="4" w:space="0" w:color="auto"/>
              <w:right w:val="single" w:sz="4" w:space="0" w:color="auto"/>
            </w:tcBorders>
            <w:shd w:val="clear" w:color="auto" w:fill="auto"/>
            <w:vAlign w:val="center"/>
            <w:hideMark/>
          </w:tcPr>
          <w:p w14:paraId="08313F26"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64504056"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35822</w:t>
            </w:r>
          </w:p>
        </w:tc>
        <w:tc>
          <w:tcPr>
            <w:tcW w:w="0" w:type="auto"/>
            <w:tcBorders>
              <w:top w:val="nil"/>
              <w:left w:val="nil"/>
              <w:bottom w:val="single" w:sz="4" w:space="0" w:color="auto"/>
              <w:right w:val="single" w:sz="4" w:space="0" w:color="auto"/>
            </w:tcBorders>
            <w:shd w:val="clear" w:color="auto" w:fill="auto"/>
            <w:vAlign w:val="center"/>
            <w:hideMark/>
          </w:tcPr>
          <w:p w14:paraId="75C11189"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vAlign w:val="center"/>
            <w:hideMark/>
          </w:tcPr>
          <w:p w14:paraId="0ACA9D00"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I</w:t>
            </w:r>
          </w:p>
        </w:tc>
        <w:tc>
          <w:tcPr>
            <w:tcW w:w="0" w:type="auto"/>
            <w:tcBorders>
              <w:top w:val="nil"/>
              <w:left w:val="nil"/>
              <w:bottom w:val="single" w:sz="4" w:space="0" w:color="auto"/>
              <w:right w:val="single" w:sz="4" w:space="0" w:color="auto"/>
            </w:tcBorders>
            <w:shd w:val="clear" w:color="auto" w:fill="auto"/>
            <w:noWrap/>
            <w:vAlign w:val="center"/>
            <w:hideMark/>
          </w:tcPr>
          <w:p w14:paraId="19F5AF97"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Equidae</w:t>
            </w:r>
          </w:p>
        </w:tc>
        <w:tc>
          <w:tcPr>
            <w:tcW w:w="0" w:type="auto"/>
            <w:tcBorders>
              <w:top w:val="nil"/>
              <w:left w:val="nil"/>
              <w:bottom w:val="single" w:sz="4" w:space="0" w:color="auto"/>
              <w:right w:val="single" w:sz="4" w:space="0" w:color="auto"/>
            </w:tcBorders>
            <w:shd w:val="clear" w:color="auto" w:fill="auto"/>
            <w:vAlign w:val="center"/>
            <w:hideMark/>
          </w:tcPr>
          <w:p w14:paraId="015DFC3E"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noWrap/>
            <w:vAlign w:val="center"/>
            <w:hideMark/>
          </w:tcPr>
          <w:p w14:paraId="0DA27579" w14:textId="77777777" w:rsidR="005B7508" w:rsidRPr="006C3B4E" w:rsidRDefault="005B7508"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Equidae</w:t>
            </w:r>
          </w:p>
        </w:tc>
      </w:tr>
      <w:tr w:rsidR="006C3B4E" w:rsidRPr="006C3B4E" w14:paraId="1ED959CF"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78F79C55"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05-2907</w:t>
            </w:r>
          </w:p>
        </w:tc>
        <w:tc>
          <w:tcPr>
            <w:tcW w:w="761" w:type="dxa"/>
            <w:tcBorders>
              <w:top w:val="nil"/>
              <w:left w:val="nil"/>
              <w:bottom w:val="single" w:sz="4" w:space="0" w:color="auto"/>
              <w:right w:val="single" w:sz="4" w:space="0" w:color="auto"/>
            </w:tcBorders>
            <w:shd w:val="clear" w:color="auto" w:fill="auto"/>
            <w:vAlign w:val="center"/>
            <w:hideMark/>
          </w:tcPr>
          <w:p w14:paraId="4E355231"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6E9EF3D8"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35823</w:t>
            </w:r>
          </w:p>
        </w:tc>
        <w:tc>
          <w:tcPr>
            <w:tcW w:w="0" w:type="auto"/>
            <w:tcBorders>
              <w:top w:val="nil"/>
              <w:left w:val="nil"/>
              <w:bottom w:val="single" w:sz="4" w:space="0" w:color="auto"/>
              <w:right w:val="single" w:sz="4" w:space="0" w:color="auto"/>
            </w:tcBorders>
            <w:shd w:val="clear" w:color="auto" w:fill="auto"/>
            <w:vAlign w:val="center"/>
            <w:hideMark/>
          </w:tcPr>
          <w:p w14:paraId="62FDA1B3"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Hare</w:t>
            </w:r>
          </w:p>
        </w:tc>
        <w:tc>
          <w:tcPr>
            <w:tcW w:w="0" w:type="auto"/>
            <w:tcBorders>
              <w:top w:val="nil"/>
              <w:left w:val="nil"/>
              <w:bottom w:val="single" w:sz="4" w:space="0" w:color="auto"/>
              <w:right w:val="single" w:sz="4" w:space="0" w:color="auto"/>
            </w:tcBorders>
            <w:shd w:val="clear" w:color="auto" w:fill="auto"/>
            <w:vAlign w:val="center"/>
            <w:hideMark/>
          </w:tcPr>
          <w:p w14:paraId="37313029"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bone</w:t>
            </w:r>
          </w:p>
        </w:tc>
        <w:tc>
          <w:tcPr>
            <w:tcW w:w="0" w:type="auto"/>
            <w:tcBorders>
              <w:top w:val="nil"/>
              <w:left w:val="nil"/>
              <w:bottom w:val="single" w:sz="4" w:space="0" w:color="auto"/>
              <w:right w:val="single" w:sz="4" w:space="0" w:color="auto"/>
            </w:tcBorders>
            <w:shd w:val="clear" w:color="auto" w:fill="auto"/>
            <w:noWrap/>
            <w:vAlign w:val="center"/>
            <w:hideMark/>
          </w:tcPr>
          <w:p w14:paraId="75117074"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Unidentifiable</w:t>
            </w:r>
          </w:p>
        </w:tc>
        <w:tc>
          <w:tcPr>
            <w:tcW w:w="0" w:type="auto"/>
            <w:tcBorders>
              <w:top w:val="nil"/>
              <w:left w:val="nil"/>
              <w:bottom w:val="single" w:sz="4" w:space="0" w:color="auto"/>
              <w:right w:val="single" w:sz="4" w:space="0" w:color="auto"/>
            </w:tcBorders>
            <w:shd w:val="clear" w:color="auto" w:fill="auto"/>
            <w:vAlign w:val="center"/>
            <w:hideMark/>
          </w:tcPr>
          <w:p w14:paraId="391410FF" w14:textId="77777777" w:rsidR="005B7508" w:rsidRPr="006C3B4E" w:rsidRDefault="005B7508"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Hare</w:t>
            </w:r>
          </w:p>
        </w:tc>
        <w:tc>
          <w:tcPr>
            <w:tcW w:w="0" w:type="auto"/>
            <w:tcBorders>
              <w:top w:val="nil"/>
              <w:left w:val="nil"/>
              <w:bottom w:val="single" w:sz="4" w:space="0" w:color="auto"/>
              <w:right w:val="single" w:sz="4" w:space="0" w:color="auto"/>
            </w:tcBorders>
            <w:shd w:val="clear" w:color="auto" w:fill="auto"/>
            <w:noWrap/>
            <w:vAlign w:val="center"/>
            <w:hideMark/>
          </w:tcPr>
          <w:p w14:paraId="51DCCE0B" w14:textId="71F5BE0D" w:rsidR="005B7508" w:rsidRPr="006C3B4E" w:rsidRDefault="005B7508"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Lepus</w:t>
            </w:r>
          </w:p>
        </w:tc>
      </w:tr>
      <w:tr w:rsidR="00510E9B" w:rsidRPr="006C3B4E" w14:paraId="6C67A35D"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13571D9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TAF-1807</w:t>
            </w:r>
          </w:p>
        </w:tc>
        <w:tc>
          <w:tcPr>
            <w:tcW w:w="761" w:type="dxa"/>
            <w:tcBorders>
              <w:top w:val="nil"/>
              <w:left w:val="nil"/>
              <w:bottom w:val="single" w:sz="4" w:space="0" w:color="auto"/>
              <w:right w:val="single" w:sz="4" w:space="0" w:color="auto"/>
            </w:tcBorders>
            <w:shd w:val="clear" w:color="auto" w:fill="auto"/>
            <w:vAlign w:val="center"/>
            <w:hideMark/>
          </w:tcPr>
          <w:p w14:paraId="1015DC1B" w14:textId="7B88DC13"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
        </w:tc>
        <w:tc>
          <w:tcPr>
            <w:tcW w:w="917" w:type="dxa"/>
            <w:tcBorders>
              <w:top w:val="nil"/>
              <w:left w:val="nil"/>
              <w:bottom w:val="single" w:sz="4" w:space="0" w:color="auto"/>
              <w:right w:val="single" w:sz="4" w:space="0" w:color="auto"/>
            </w:tcBorders>
            <w:shd w:val="clear" w:color="auto" w:fill="auto"/>
            <w:vAlign w:val="center"/>
            <w:hideMark/>
          </w:tcPr>
          <w:p w14:paraId="31A9B387"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35824</w:t>
            </w:r>
          </w:p>
        </w:tc>
        <w:tc>
          <w:tcPr>
            <w:tcW w:w="0" w:type="auto"/>
            <w:tcBorders>
              <w:top w:val="nil"/>
              <w:left w:val="nil"/>
              <w:bottom w:val="single" w:sz="4" w:space="0" w:color="auto"/>
              <w:right w:val="single" w:sz="4" w:space="0" w:color="auto"/>
            </w:tcBorders>
            <w:shd w:val="clear" w:color="auto" w:fill="auto"/>
            <w:vAlign w:val="center"/>
            <w:hideMark/>
          </w:tcPr>
          <w:p w14:paraId="565912F7" w14:textId="5130EAD7" w:rsidR="00510E9B" w:rsidRPr="006C3B4E" w:rsidRDefault="001F0083" w:rsidP="00A04EA7">
            <w:pPr>
              <w:spacing w:after="0" w:line="240" w:lineRule="auto"/>
              <w:jc w:val="center"/>
              <w:rPr>
                <w:rFonts w:asciiTheme="majorBidi" w:eastAsia="Times New Roman" w:hAnsiTheme="majorBidi" w:cstheme="majorBidi"/>
                <w:sz w:val="20"/>
                <w:szCs w:val="20"/>
                <w:lang w:eastAsia="en-US"/>
              </w:rPr>
            </w:pPr>
            <w:r>
              <w:rPr>
                <w:rFonts w:asciiTheme="majorBidi" w:eastAsia="Times New Roman" w:hAnsiTheme="majorBidi" w:cstheme="majorBidi"/>
                <w:sz w:val="20"/>
                <w:szCs w:val="20"/>
                <w:lang w:eastAsia="en-US"/>
              </w:rPr>
              <w:t>Bovid</w:t>
            </w:r>
          </w:p>
        </w:tc>
        <w:tc>
          <w:tcPr>
            <w:tcW w:w="0" w:type="auto"/>
            <w:tcBorders>
              <w:top w:val="nil"/>
              <w:left w:val="nil"/>
              <w:bottom w:val="single" w:sz="4" w:space="0" w:color="auto"/>
              <w:right w:val="single" w:sz="4" w:space="0" w:color="auto"/>
            </w:tcBorders>
            <w:shd w:val="clear" w:color="auto" w:fill="auto"/>
            <w:vAlign w:val="center"/>
            <w:hideMark/>
          </w:tcPr>
          <w:p w14:paraId="32396E2A"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M3</w:t>
            </w:r>
          </w:p>
        </w:tc>
        <w:tc>
          <w:tcPr>
            <w:tcW w:w="0" w:type="auto"/>
            <w:tcBorders>
              <w:top w:val="nil"/>
              <w:left w:val="nil"/>
              <w:bottom w:val="single" w:sz="4" w:space="0" w:color="auto"/>
              <w:right w:val="single" w:sz="4" w:space="0" w:color="auto"/>
            </w:tcBorders>
            <w:shd w:val="clear" w:color="auto" w:fill="auto"/>
            <w:noWrap/>
            <w:vAlign w:val="center"/>
            <w:hideMark/>
          </w:tcPr>
          <w:p w14:paraId="60441254" w14:textId="77777777" w:rsidR="00510E9B" w:rsidRPr="006C3B4E" w:rsidRDefault="00510E9B" w:rsidP="00A04EA7">
            <w:pPr>
              <w:spacing w:after="0" w:line="240" w:lineRule="auto"/>
              <w:jc w:val="center"/>
              <w:rPr>
                <w:rFonts w:asciiTheme="majorBidi" w:eastAsia="Times New Roman" w:hAnsiTheme="majorBidi" w:cstheme="majorBidi"/>
                <w:color w:val="000000"/>
                <w:sz w:val="20"/>
                <w:szCs w:val="20"/>
                <w:lang w:eastAsia="en-US"/>
              </w:rPr>
            </w:pPr>
            <w:proofErr w:type="spellStart"/>
            <w:r w:rsidRPr="006C3B4E">
              <w:rPr>
                <w:rFonts w:asciiTheme="majorBidi" w:eastAsia="Times New Roman" w:hAnsiTheme="majorBidi" w:cstheme="majorBidi"/>
                <w:color w:val="000000"/>
                <w:sz w:val="20"/>
                <w:szCs w:val="20"/>
                <w:lang w:eastAsia="en-US"/>
              </w:rPr>
              <w:t>Alcelaphinae</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2E800EE3" w14:textId="3B2A40D9"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Pr>
                <w:rFonts w:asciiTheme="majorBidi" w:eastAsia="Times New Roman" w:hAnsiTheme="majorBidi" w:cstheme="majorBidi"/>
                <w:sz w:val="20"/>
                <w:szCs w:val="20"/>
                <w:lang w:eastAsia="en-US"/>
              </w:rPr>
              <w:t>H</w:t>
            </w:r>
            <w:r w:rsidRPr="006C3B4E">
              <w:rPr>
                <w:rFonts w:asciiTheme="majorBidi" w:eastAsia="Times New Roman" w:hAnsiTheme="majorBidi" w:cstheme="majorBidi"/>
                <w:sz w:val="20"/>
                <w:szCs w:val="20"/>
                <w:lang w:eastAsia="en-US"/>
              </w:rPr>
              <w:t>artebeest</w:t>
            </w:r>
          </w:p>
        </w:tc>
        <w:tc>
          <w:tcPr>
            <w:tcW w:w="0" w:type="auto"/>
            <w:tcBorders>
              <w:top w:val="nil"/>
              <w:left w:val="nil"/>
              <w:bottom w:val="single" w:sz="4" w:space="0" w:color="auto"/>
              <w:right w:val="single" w:sz="4" w:space="0" w:color="auto"/>
            </w:tcBorders>
            <w:shd w:val="clear" w:color="auto" w:fill="auto"/>
            <w:noWrap/>
            <w:vAlign w:val="center"/>
            <w:hideMark/>
          </w:tcPr>
          <w:p w14:paraId="01C7E34D" w14:textId="0B226C82"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Alcelaphus</w:t>
            </w:r>
            <w:proofErr w:type="spellEnd"/>
            <w:r w:rsidRPr="006C3B4E">
              <w:rPr>
                <w:rFonts w:asciiTheme="majorBidi" w:eastAsia="Times New Roman" w:hAnsiTheme="majorBidi" w:cstheme="majorBidi"/>
                <w:i/>
                <w:iCs/>
                <w:sz w:val="20"/>
                <w:szCs w:val="20"/>
                <w:lang w:eastAsia="en-US"/>
              </w:rPr>
              <w:t xml:space="preserve"> </w:t>
            </w:r>
            <w:proofErr w:type="spellStart"/>
            <w:r w:rsidRPr="006C3B4E">
              <w:rPr>
                <w:rFonts w:asciiTheme="majorBidi" w:eastAsia="Times New Roman" w:hAnsiTheme="majorBidi" w:cstheme="majorBidi"/>
                <w:i/>
                <w:iCs/>
                <w:sz w:val="20"/>
                <w:szCs w:val="20"/>
                <w:lang w:eastAsia="en-US"/>
              </w:rPr>
              <w:t>buselaphus</w:t>
            </w:r>
            <w:proofErr w:type="spellEnd"/>
          </w:p>
        </w:tc>
      </w:tr>
      <w:tr w:rsidR="00510E9B" w:rsidRPr="006C3B4E" w14:paraId="4130A8C0"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5EF30EF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TAF.04- 2188</w:t>
            </w:r>
          </w:p>
        </w:tc>
        <w:tc>
          <w:tcPr>
            <w:tcW w:w="761" w:type="dxa"/>
            <w:tcBorders>
              <w:top w:val="nil"/>
              <w:left w:val="nil"/>
              <w:bottom w:val="single" w:sz="4" w:space="0" w:color="auto"/>
              <w:right w:val="single" w:sz="4" w:space="0" w:color="auto"/>
            </w:tcBorders>
            <w:shd w:val="clear" w:color="auto" w:fill="auto"/>
            <w:vAlign w:val="center"/>
            <w:hideMark/>
          </w:tcPr>
          <w:p w14:paraId="2D90EA2D" w14:textId="4C6FBFB6"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
        </w:tc>
        <w:tc>
          <w:tcPr>
            <w:tcW w:w="917" w:type="dxa"/>
            <w:tcBorders>
              <w:top w:val="nil"/>
              <w:left w:val="nil"/>
              <w:bottom w:val="single" w:sz="4" w:space="0" w:color="auto"/>
              <w:right w:val="single" w:sz="4" w:space="0" w:color="auto"/>
            </w:tcBorders>
            <w:shd w:val="clear" w:color="auto" w:fill="auto"/>
            <w:vAlign w:val="center"/>
            <w:hideMark/>
          </w:tcPr>
          <w:p w14:paraId="2B7483C9"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35825</w:t>
            </w:r>
          </w:p>
        </w:tc>
        <w:tc>
          <w:tcPr>
            <w:tcW w:w="0" w:type="auto"/>
            <w:tcBorders>
              <w:top w:val="nil"/>
              <w:left w:val="nil"/>
              <w:bottom w:val="single" w:sz="4" w:space="0" w:color="auto"/>
              <w:right w:val="single" w:sz="4" w:space="0" w:color="auto"/>
            </w:tcBorders>
            <w:shd w:val="clear" w:color="auto" w:fill="auto"/>
            <w:vAlign w:val="center"/>
            <w:hideMark/>
          </w:tcPr>
          <w:p w14:paraId="2FF07BC7"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vAlign w:val="center"/>
            <w:hideMark/>
          </w:tcPr>
          <w:p w14:paraId="37C95F41"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M3</w:t>
            </w:r>
          </w:p>
        </w:tc>
        <w:tc>
          <w:tcPr>
            <w:tcW w:w="0" w:type="auto"/>
            <w:tcBorders>
              <w:top w:val="nil"/>
              <w:left w:val="nil"/>
              <w:bottom w:val="single" w:sz="4" w:space="0" w:color="auto"/>
              <w:right w:val="single" w:sz="4" w:space="0" w:color="auto"/>
            </w:tcBorders>
            <w:shd w:val="clear" w:color="auto" w:fill="auto"/>
            <w:noWrap/>
            <w:vAlign w:val="center"/>
            <w:hideMark/>
          </w:tcPr>
          <w:p w14:paraId="435811E9"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Equidae</w:t>
            </w:r>
          </w:p>
        </w:tc>
        <w:tc>
          <w:tcPr>
            <w:tcW w:w="0" w:type="auto"/>
            <w:tcBorders>
              <w:top w:val="nil"/>
              <w:left w:val="nil"/>
              <w:bottom w:val="single" w:sz="4" w:space="0" w:color="auto"/>
              <w:right w:val="single" w:sz="4" w:space="0" w:color="auto"/>
            </w:tcBorders>
            <w:shd w:val="clear" w:color="auto" w:fill="auto"/>
            <w:vAlign w:val="center"/>
            <w:hideMark/>
          </w:tcPr>
          <w:p w14:paraId="24B3F48F"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noWrap/>
            <w:vAlign w:val="center"/>
            <w:hideMark/>
          </w:tcPr>
          <w:p w14:paraId="26B9CE6B"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Equidae</w:t>
            </w:r>
          </w:p>
        </w:tc>
      </w:tr>
      <w:tr w:rsidR="00510E9B" w:rsidRPr="006C3B4E" w14:paraId="6BAD704C"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02C6AB57"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13 - 12127</w:t>
            </w:r>
          </w:p>
        </w:tc>
        <w:tc>
          <w:tcPr>
            <w:tcW w:w="761" w:type="dxa"/>
            <w:tcBorders>
              <w:top w:val="nil"/>
              <w:left w:val="nil"/>
              <w:bottom w:val="single" w:sz="4" w:space="0" w:color="auto"/>
              <w:right w:val="single" w:sz="4" w:space="0" w:color="auto"/>
            </w:tcBorders>
            <w:shd w:val="clear" w:color="auto" w:fill="auto"/>
            <w:vAlign w:val="center"/>
            <w:hideMark/>
          </w:tcPr>
          <w:p w14:paraId="1AA7D71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33F24BF8"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35826</w:t>
            </w:r>
          </w:p>
        </w:tc>
        <w:tc>
          <w:tcPr>
            <w:tcW w:w="0" w:type="auto"/>
            <w:tcBorders>
              <w:top w:val="nil"/>
              <w:left w:val="nil"/>
              <w:bottom w:val="single" w:sz="4" w:space="0" w:color="auto"/>
              <w:right w:val="single" w:sz="4" w:space="0" w:color="auto"/>
            </w:tcBorders>
            <w:shd w:val="clear" w:color="auto" w:fill="auto"/>
            <w:vAlign w:val="center"/>
            <w:hideMark/>
          </w:tcPr>
          <w:p w14:paraId="71593AB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vAlign w:val="center"/>
            <w:hideMark/>
          </w:tcPr>
          <w:p w14:paraId="072D6ABA"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roofErr w:type="spellStart"/>
            <w:r w:rsidRPr="006C3B4E">
              <w:rPr>
                <w:rFonts w:asciiTheme="majorBidi" w:eastAsia="Times New Roman" w:hAnsiTheme="majorBidi" w:cstheme="majorBidi"/>
                <w:sz w:val="20"/>
                <w:szCs w:val="20"/>
                <w:lang w:eastAsia="en-US"/>
              </w:rPr>
              <w:t>dp</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14:paraId="74640D8D"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Equidae</w:t>
            </w:r>
          </w:p>
        </w:tc>
        <w:tc>
          <w:tcPr>
            <w:tcW w:w="0" w:type="auto"/>
            <w:tcBorders>
              <w:top w:val="nil"/>
              <w:left w:val="nil"/>
              <w:bottom w:val="single" w:sz="4" w:space="0" w:color="auto"/>
              <w:right w:val="single" w:sz="4" w:space="0" w:color="auto"/>
            </w:tcBorders>
            <w:shd w:val="clear" w:color="auto" w:fill="auto"/>
            <w:vAlign w:val="center"/>
            <w:hideMark/>
          </w:tcPr>
          <w:p w14:paraId="3D68CBF7"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Equus</w:t>
            </w:r>
          </w:p>
        </w:tc>
        <w:tc>
          <w:tcPr>
            <w:tcW w:w="0" w:type="auto"/>
            <w:tcBorders>
              <w:top w:val="nil"/>
              <w:left w:val="nil"/>
              <w:bottom w:val="single" w:sz="4" w:space="0" w:color="auto"/>
              <w:right w:val="single" w:sz="4" w:space="0" w:color="auto"/>
            </w:tcBorders>
            <w:shd w:val="clear" w:color="auto" w:fill="auto"/>
            <w:noWrap/>
            <w:vAlign w:val="center"/>
            <w:hideMark/>
          </w:tcPr>
          <w:p w14:paraId="78659260"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Equidae</w:t>
            </w:r>
          </w:p>
        </w:tc>
      </w:tr>
      <w:tr w:rsidR="00510E9B" w:rsidRPr="006C3B4E" w14:paraId="2D8258C3"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77BA0486"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08- F23</w:t>
            </w:r>
          </w:p>
        </w:tc>
        <w:tc>
          <w:tcPr>
            <w:tcW w:w="761" w:type="dxa"/>
            <w:tcBorders>
              <w:top w:val="nil"/>
              <w:left w:val="nil"/>
              <w:bottom w:val="single" w:sz="4" w:space="0" w:color="auto"/>
              <w:right w:val="single" w:sz="4" w:space="0" w:color="auto"/>
            </w:tcBorders>
            <w:shd w:val="clear" w:color="auto" w:fill="auto"/>
            <w:vAlign w:val="center"/>
            <w:hideMark/>
          </w:tcPr>
          <w:p w14:paraId="364C7EB1"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4</w:t>
            </w:r>
          </w:p>
        </w:tc>
        <w:tc>
          <w:tcPr>
            <w:tcW w:w="917" w:type="dxa"/>
            <w:tcBorders>
              <w:top w:val="nil"/>
              <w:left w:val="nil"/>
              <w:bottom w:val="single" w:sz="4" w:space="0" w:color="auto"/>
              <w:right w:val="single" w:sz="4" w:space="0" w:color="auto"/>
            </w:tcBorders>
            <w:shd w:val="clear" w:color="auto" w:fill="auto"/>
            <w:vAlign w:val="center"/>
            <w:hideMark/>
          </w:tcPr>
          <w:p w14:paraId="2FA5297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35827</w:t>
            </w:r>
          </w:p>
        </w:tc>
        <w:tc>
          <w:tcPr>
            <w:tcW w:w="0" w:type="auto"/>
            <w:tcBorders>
              <w:top w:val="nil"/>
              <w:left w:val="nil"/>
              <w:bottom w:val="single" w:sz="4" w:space="0" w:color="auto"/>
              <w:right w:val="single" w:sz="4" w:space="0" w:color="auto"/>
            </w:tcBorders>
            <w:shd w:val="clear" w:color="auto" w:fill="auto"/>
            <w:noWrap/>
            <w:vAlign w:val="center"/>
            <w:hideMark/>
          </w:tcPr>
          <w:p w14:paraId="6E337F0F"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roofErr w:type="spellStart"/>
            <w:r w:rsidRPr="006C3B4E">
              <w:rPr>
                <w:rFonts w:asciiTheme="majorBidi" w:eastAsia="Times New Roman" w:hAnsiTheme="majorBidi" w:cstheme="majorBidi"/>
                <w:sz w:val="20"/>
                <w:szCs w:val="20"/>
                <w:lang w:eastAsia="en-US"/>
              </w:rPr>
              <w:t>Alcelaphus</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489E4654"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M2</w:t>
            </w:r>
          </w:p>
        </w:tc>
        <w:tc>
          <w:tcPr>
            <w:tcW w:w="0" w:type="auto"/>
            <w:tcBorders>
              <w:top w:val="nil"/>
              <w:left w:val="nil"/>
              <w:bottom w:val="single" w:sz="4" w:space="0" w:color="auto"/>
              <w:right w:val="single" w:sz="4" w:space="0" w:color="auto"/>
            </w:tcBorders>
            <w:shd w:val="clear" w:color="auto" w:fill="auto"/>
            <w:noWrap/>
            <w:vAlign w:val="center"/>
            <w:hideMark/>
          </w:tcPr>
          <w:p w14:paraId="7AFCE34C" w14:textId="77777777" w:rsidR="00510E9B" w:rsidRPr="006C3B4E" w:rsidRDefault="00510E9B" w:rsidP="00A04EA7">
            <w:pPr>
              <w:spacing w:after="0" w:line="240" w:lineRule="auto"/>
              <w:jc w:val="center"/>
              <w:rPr>
                <w:rFonts w:asciiTheme="majorBidi" w:eastAsia="Times New Roman" w:hAnsiTheme="majorBidi" w:cstheme="majorBidi"/>
                <w:color w:val="000000"/>
                <w:sz w:val="20"/>
                <w:szCs w:val="20"/>
                <w:lang w:eastAsia="en-US"/>
              </w:rPr>
            </w:pPr>
            <w:proofErr w:type="spellStart"/>
            <w:r w:rsidRPr="006C3B4E">
              <w:rPr>
                <w:rFonts w:asciiTheme="majorBidi" w:eastAsia="Times New Roman" w:hAnsiTheme="majorBidi" w:cstheme="majorBidi"/>
                <w:color w:val="000000"/>
                <w:sz w:val="20"/>
                <w:szCs w:val="20"/>
                <w:lang w:eastAsia="en-US"/>
              </w:rPr>
              <w:t>Alcelaphinae</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52A8D232" w14:textId="761A77DD"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Hartebeest</w:t>
            </w:r>
          </w:p>
        </w:tc>
        <w:tc>
          <w:tcPr>
            <w:tcW w:w="0" w:type="auto"/>
            <w:tcBorders>
              <w:top w:val="nil"/>
              <w:left w:val="nil"/>
              <w:bottom w:val="single" w:sz="4" w:space="0" w:color="auto"/>
              <w:right w:val="single" w:sz="4" w:space="0" w:color="auto"/>
            </w:tcBorders>
            <w:shd w:val="clear" w:color="auto" w:fill="auto"/>
            <w:noWrap/>
            <w:vAlign w:val="center"/>
            <w:hideMark/>
          </w:tcPr>
          <w:p w14:paraId="31949E1C"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Alcelaphus</w:t>
            </w:r>
            <w:proofErr w:type="spellEnd"/>
            <w:r w:rsidRPr="006C3B4E">
              <w:rPr>
                <w:rFonts w:asciiTheme="majorBidi" w:eastAsia="Times New Roman" w:hAnsiTheme="majorBidi" w:cstheme="majorBidi"/>
                <w:i/>
                <w:iCs/>
                <w:sz w:val="20"/>
                <w:szCs w:val="20"/>
                <w:lang w:eastAsia="en-US"/>
              </w:rPr>
              <w:t xml:space="preserve"> </w:t>
            </w:r>
            <w:proofErr w:type="spellStart"/>
            <w:r w:rsidRPr="006C3B4E">
              <w:rPr>
                <w:rFonts w:asciiTheme="majorBidi" w:eastAsia="Times New Roman" w:hAnsiTheme="majorBidi" w:cstheme="majorBidi"/>
                <w:i/>
                <w:iCs/>
                <w:sz w:val="20"/>
                <w:szCs w:val="20"/>
                <w:lang w:eastAsia="en-US"/>
              </w:rPr>
              <w:t>buselaphus</w:t>
            </w:r>
            <w:proofErr w:type="spellEnd"/>
          </w:p>
        </w:tc>
      </w:tr>
      <w:tr w:rsidR="00510E9B" w:rsidRPr="006C3B4E" w14:paraId="398A9BEE"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7C93FA57"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05- 2498</w:t>
            </w:r>
          </w:p>
        </w:tc>
        <w:tc>
          <w:tcPr>
            <w:tcW w:w="761" w:type="dxa"/>
            <w:tcBorders>
              <w:top w:val="nil"/>
              <w:left w:val="nil"/>
              <w:bottom w:val="single" w:sz="4" w:space="0" w:color="auto"/>
              <w:right w:val="single" w:sz="4" w:space="0" w:color="auto"/>
            </w:tcBorders>
            <w:shd w:val="clear" w:color="auto" w:fill="auto"/>
            <w:vAlign w:val="center"/>
            <w:hideMark/>
          </w:tcPr>
          <w:p w14:paraId="53F7E313"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67CF3953"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35828</w:t>
            </w:r>
          </w:p>
        </w:tc>
        <w:tc>
          <w:tcPr>
            <w:tcW w:w="0" w:type="auto"/>
            <w:tcBorders>
              <w:top w:val="nil"/>
              <w:left w:val="nil"/>
              <w:bottom w:val="single" w:sz="4" w:space="0" w:color="auto"/>
              <w:right w:val="single" w:sz="4" w:space="0" w:color="auto"/>
            </w:tcBorders>
            <w:shd w:val="clear" w:color="auto" w:fill="auto"/>
            <w:vAlign w:val="center"/>
            <w:hideMark/>
          </w:tcPr>
          <w:p w14:paraId="13D714CC"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Fox</w:t>
            </w:r>
          </w:p>
        </w:tc>
        <w:tc>
          <w:tcPr>
            <w:tcW w:w="0" w:type="auto"/>
            <w:tcBorders>
              <w:top w:val="nil"/>
              <w:left w:val="nil"/>
              <w:bottom w:val="single" w:sz="4" w:space="0" w:color="auto"/>
              <w:right w:val="single" w:sz="4" w:space="0" w:color="auto"/>
            </w:tcBorders>
            <w:shd w:val="clear" w:color="auto" w:fill="auto"/>
            <w:vAlign w:val="center"/>
            <w:hideMark/>
          </w:tcPr>
          <w:p w14:paraId="3D45A25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M1</w:t>
            </w:r>
          </w:p>
        </w:tc>
        <w:tc>
          <w:tcPr>
            <w:tcW w:w="0" w:type="auto"/>
            <w:tcBorders>
              <w:top w:val="nil"/>
              <w:left w:val="nil"/>
              <w:bottom w:val="single" w:sz="4" w:space="0" w:color="auto"/>
              <w:right w:val="single" w:sz="4" w:space="0" w:color="auto"/>
            </w:tcBorders>
            <w:shd w:val="clear" w:color="auto" w:fill="auto"/>
            <w:noWrap/>
            <w:vAlign w:val="center"/>
            <w:hideMark/>
          </w:tcPr>
          <w:p w14:paraId="3370A67D"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Unidentifiable</w:t>
            </w:r>
          </w:p>
        </w:tc>
        <w:tc>
          <w:tcPr>
            <w:tcW w:w="0" w:type="auto"/>
            <w:tcBorders>
              <w:top w:val="nil"/>
              <w:left w:val="nil"/>
              <w:bottom w:val="single" w:sz="4" w:space="0" w:color="auto"/>
              <w:right w:val="single" w:sz="4" w:space="0" w:color="auto"/>
            </w:tcBorders>
            <w:shd w:val="clear" w:color="auto" w:fill="auto"/>
            <w:vAlign w:val="center"/>
            <w:hideMark/>
          </w:tcPr>
          <w:p w14:paraId="03AFD192"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Fox</w:t>
            </w:r>
          </w:p>
        </w:tc>
        <w:tc>
          <w:tcPr>
            <w:tcW w:w="0" w:type="auto"/>
            <w:tcBorders>
              <w:top w:val="nil"/>
              <w:left w:val="nil"/>
              <w:bottom w:val="single" w:sz="4" w:space="0" w:color="auto"/>
              <w:right w:val="single" w:sz="4" w:space="0" w:color="auto"/>
            </w:tcBorders>
            <w:shd w:val="clear" w:color="auto" w:fill="auto"/>
            <w:noWrap/>
            <w:vAlign w:val="center"/>
            <w:hideMark/>
          </w:tcPr>
          <w:p w14:paraId="0B077E72" w14:textId="0FA5A7C4"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 xml:space="preserve">Vulpes </w:t>
            </w:r>
            <w:proofErr w:type="spellStart"/>
            <w:r w:rsidR="00FD7645">
              <w:rPr>
                <w:rFonts w:asciiTheme="majorBidi" w:eastAsia="Times New Roman" w:hAnsiTheme="majorBidi" w:cstheme="majorBidi"/>
                <w:i/>
                <w:iCs/>
                <w:sz w:val="20"/>
                <w:szCs w:val="20"/>
                <w:lang w:eastAsia="en-US"/>
              </w:rPr>
              <w:t>Vulpes</w:t>
            </w:r>
            <w:proofErr w:type="spellEnd"/>
          </w:p>
        </w:tc>
      </w:tr>
      <w:tr w:rsidR="00510E9B" w:rsidRPr="006C3B4E" w14:paraId="7DD43477"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158CBC0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05- 2649</w:t>
            </w:r>
          </w:p>
        </w:tc>
        <w:tc>
          <w:tcPr>
            <w:tcW w:w="761" w:type="dxa"/>
            <w:tcBorders>
              <w:top w:val="nil"/>
              <w:left w:val="nil"/>
              <w:bottom w:val="single" w:sz="4" w:space="0" w:color="auto"/>
              <w:right w:val="single" w:sz="4" w:space="0" w:color="auto"/>
            </w:tcBorders>
            <w:shd w:val="clear" w:color="auto" w:fill="auto"/>
            <w:vAlign w:val="center"/>
            <w:hideMark/>
          </w:tcPr>
          <w:p w14:paraId="53150ADD"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694EA955"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35829</w:t>
            </w:r>
          </w:p>
        </w:tc>
        <w:tc>
          <w:tcPr>
            <w:tcW w:w="0" w:type="auto"/>
            <w:tcBorders>
              <w:top w:val="nil"/>
              <w:left w:val="nil"/>
              <w:bottom w:val="single" w:sz="4" w:space="0" w:color="auto"/>
              <w:right w:val="single" w:sz="4" w:space="0" w:color="auto"/>
            </w:tcBorders>
            <w:shd w:val="clear" w:color="auto" w:fill="auto"/>
            <w:vAlign w:val="center"/>
            <w:hideMark/>
          </w:tcPr>
          <w:p w14:paraId="09C3150C"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vAlign w:val="center"/>
            <w:hideMark/>
          </w:tcPr>
          <w:p w14:paraId="1C0B27CE"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M3</w:t>
            </w:r>
          </w:p>
        </w:tc>
        <w:tc>
          <w:tcPr>
            <w:tcW w:w="0" w:type="auto"/>
            <w:tcBorders>
              <w:top w:val="nil"/>
              <w:left w:val="nil"/>
              <w:bottom w:val="single" w:sz="4" w:space="0" w:color="auto"/>
              <w:right w:val="single" w:sz="4" w:space="0" w:color="auto"/>
            </w:tcBorders>
            <w:shd w:val="clear" w:color="auto" w:fill="auto"/>
            <w:noWrap/>
            <w:vAlign w:val="center"/>
            <w:hideMark/>
          </w:tcPr>
          <w:p w14:paraId="2ADFBC26" w14:textId="77777777" w:rsidR="00510E9B"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 xml:space="preserve">Bovidae (not </w:t>
            </w:r>
            <w:proofErr w:type="spellStart"/>
            <w:r w:rsidRPr="006C3B4E">
              <w:rPr>
                <w:rFonts w:asciiTheme="majorBidi" w:eastAsia="Times New Roman" w:hAnsiTheme="majorBidi" w:cstheme="majorBidi"/>
                <w:sz w:val="20"/>
                <w:szCs w:val="20"/>
                <w:lang w:eastAsia="en-US"/>
              </w:rPr>
              <w:t>Bovinae</w:t>
            </w:r>
            <w:proofErr w:type="spellEnd"/>
            <w:r w:rsidRPr="006C3B4E">
              <w:rPr>
                <w:rFonts w:asciiTheme="majorBidi" w:eastAsia="Times New Roman" w:hAnsiTheme="majorBidi" w:cstheme="majorBidi"/>
                <w:sz w:val="20"/>
                <w:szCs w:val="20"/>
                <w:lang w:eastAsia="en-US"/>
              </w:rPr>
              <w:t xml:space="preserve"> or </w:t>
            </w:r>
            <w:proofErr w:type="spellStart"/>
            <w:r w:rsidRPr="006C3B4E">
              <w:rPr>
                <w:rFonts w:asciiTheme="majorBidi" w:eastAsia="Times New Roman" w:hAnsiTheme="majorBidi" w:cstheme="majorBidi"/>
                <w:sz w:val="20"/>
                <w:szCs w:val="20"/>
                <w:lang w:eastAsia="en-US"/>
              </w:rPr>
              <w:t>Caprinae</w:t>
            </w:r>
            <w:proofErr w:type="spellEnd"/>
            <w:r w:rsidRPr="006C3B4E">
              <w:rPr>
                <w:rFonts w:asciiTheme="majorBidi" w:eastAsia="Times New Roman" w:hAnsiTheme="majorBidi" w:cstheme="majorBidi"/>
                <w:sz w:val="20"/>
                <w:szCs w:val="20"/>
                <w:lang w:eastAsia="en-US"/>
              </w:rPr>
              <w:t>) /</w:t>
            </w:r>
          </w:p>
          <w:p w14:paraId="7302D762" w14:textId="0BD780D0"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roofErr w:type="spellStart"/>
            <w:r w:rsidRPr="006C3B4E">
              <w:rPr>
                <w:rFonts w:asciiTheme="majorBidi" w:eastAsia="Times New Roman" w:hAnsiTheme="majorBidi" w:cstheme="majorBidi"/>
                <w:sz w:val="20"/>
                <w:szCs w:val="20"/>
                <w:lang w:eastAsia="en-US"/>
              </w:rPr>
              <w:t>Cervinae</w:t>
            </w:r>
            <w:proofErr w:type="spellEnd"/>
            <w:r w:rsidRPr="006C3B4E">
              <w:rPr>
                <w:rFonts w:asciiTheme="majorBidi" w:eastAsia="Times New Roman" w:hAnsiTheme="majorBidi" w:cstheme="majorBidi"/>
                <w:sz w:val="20"/>
                <w:szCs w:val="20"/>
                <w:lang w:eastAsia="en-US"/>
              </w:rPr>
              <w:t xml:space="preserve"> / </w:t>
            </w:r>
            <w:proofErr w:type="spellStart"/>
            <w:r w:rsidRPr="006C3B4E">
              <w:rPr>
                <w:rFonts w:asciiTheme="majorBidi" w:eastAsia="Times New Roman" w:hAnsiTheme="majorBidi" w:cstheme="majorBidi"/>
                <w:sz w:val="20"/>
                <w:szCs w:val="20"/>
                <w:lang w:eastAsia="en-US"/>
              </w:rPr>
              <w:t>Giraffidae</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4F0DCABA"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noWrap/>
            <w:vAlign w:val="center"/>
            <w:hideMark/>
          </w:tcPr>
          <w:p w14:paraId="5F2732C9"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Gazella</w:t>
            </w:r>
            <w:proofErr w:type="spellEnd"/>
            <w:r w:rsidRPr="006C3B4E">
              <w:rPr>
                <w:rFonts w:asciiTheme="majorBidi" w:eastAsia="Times New Roman" w:hAnsiTheme="majorBidi" w:cstheme="majorBidi"/>
                <w:i/>
                <w:iCs/>
                <w:sz w:val="20"/>
                <w:szCs w:val="20"/>
                <w:lang w:eastAsia="en-US"/>
              </w:rPr>
              <w:t xml:space="preserve"> sp.</w:t>
            </w:r>
          </w:p>
        </w:tc>
      </w:tr>
      <w:tr w:rsidR="00510E9B" w:rsidRPr="006C3B4E" w14:paraId="69AE5AD1"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50EDA534"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13- 11933</w:t>
            </w:r>
          </w:p>
        </w:tc>
        <w:tc>
          <w:tcPr>
            <w:tcW w:w="761" w:type="dxa"/>
            <w:tcBorders>
              <w:top w:val="nil"/>
              <w:left w:val="nil"/>
              <w:bottom w:val="single" w:sz="4" w:space="0" w:color="auto"/>
              <w:right w:val="single" w:sz="4" w:space="0" w:color="auto"/>
            </w:tcBorders>
            <w:shd w:val="clear" w:color="auto" w:fill="auto"/>
            <w:vAlign w:val="center"/>
            <w:hideMark/>
          </w:tcPr>
          <w:p w14:paraId="47E78BFD"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18F2496C"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35830</w:t>
            </w:r>
          </w:p>
        </w:tc>
        <w:tc>
          <w:tcPr>
            <w:tcW w:w="0" w:type="auto"/>
            <w:tcBorders>
              <w:top w:val="nil"/>
              <w:left w:val="nil"/>
              <w:bottom w:val="single" w:sz="4" w:space="0" w:color="auto"/>
              <w:right w:val="single" w:sz="4" w:space="0" w:color="auto"/>
            </w:tcBorders>
            <w:shd w:val="clear" w:color="auto" w:fill="auto"/>
            <w:vAlign w:val="center"/>
            <w:hideMark/>
          </w:tcPr>
          <w:p w14:paraId="21F765EA"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vAlign w:val="center"/>
            <w:hideMark/>
          </w:tcPr>
          <w:p w14:paraId="2B0D85E5"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I</w:t>
            </w:r>
          </w:p>
        </w:tc>
        <w:tc>
          <w:tcPr>
            <w:tcW w:w="0" w:type="auto"/>
            <w:tcBorders>
              <w:top w:val="nil"/>
              <w:left w:val="nil"/>
              <w:bottom w:val="single" w:sz="4" w:space="0" w:color="auto"/>
              <w:right w:val="single" w:sz="4" w:space="0" w:color="auto"/>
            </w:tcBorders>
            <w:shd w:val="clear" w:color="auto" w:fill="auto"/>
            <w:noWrap/>
            <w:vAlign w:val="center"/>
            <w:hideMark/>
          </w:tcPr>
          <w:p w14:paraId="40D66B66" w14:textId="77777777" w:rsidR="00510E9B" w:rsidRPr="006C3B4E" w:rsidRDefault="00510E9B" w:rsidP="00A04EA7">
            <w:pPr>
              <w:spacing w:after="0" w:line="240" w:lineRule="auto"/>
              <w:jc w:val="center"/>
              <w:rPr>
                <w:rFonts w:asciiTheme="majorBidi" w:eastAsia="Times New Roman" w:hAnsiTheme="majorBidi" w:cstheme="majorBidi"/>
                <w:color w:val="000000"/>
                <w:sz w:val="20"/>
                <w:szCs w:val="20"/>
                <w:lang w:eastAsia="en-US"/>
              </w:rPr>
            </w:pPr>
            <w:proofErr w:type="spellStart"/>
            <w:r w:rsidRPr="006C3B4E">
              <w:rPr>
                <w:rFonts w:asciiTheme="majorBidi" w:eastAsia="Times New Roman" w:hAnsiTheme="majorBidi" w:cstheme="majorBidi"/>
                <w:color w:val="000000"/>
                <w:sz w:val="20"/>
                <w:szCs w:val="20"/>
                <w:lang w:eastAsia="en-US"/>
              </w:rPr>
              <w:t>Caprinae</w:t>
            </w:r>
            <w:proofErr w:type="spellEnd"/>
            <w:r w:rsidRPr="006C3B4E">
              <w:rPr>
                <w:rFonts w:asciiTheme="majorBidi" w:eastAsia="Times New Roman" w:hAnsiTheme="majorBidi" w:cstheme="majorBidi"/>
                <w:color w:val="000000"/>
                <w:sz w:val="20"/>
                <w:szCs w:val="20"/>
                <w:lang w:eastAsia="en-US"/>
              </w:rPr>
              <w:t xml:space="preserve"> (</w:t>
            </w:r>
            <w:proofErr w:type="spellStart"/>
            <w:r w:rsidRPr="006C3B4E">
              <w:rPr>
                <w:rFonts w:asciiTheme="majorBidi" w:eastAsia="Times New Roman" w:hAnsiTheme="majorBidi" w:cstheme="majorBidi"/>
                <w:color w:val="000000"/>
                <w:sz w:val="20"/>
                <w:szCs w:val="20"/>
                <w:lang w:eastAsia="en-US"/>
              </w:rPr>
              <w:t>Ovis</w:t>
            </w:r>
            <w:proofErr w:type="spellEnd"/>
            <w:r w:rsidRPr="006C3B4E">
              <w:rPr>
                <w:rFonts w:asciiTheme="majorBidi" w:eastAsia="Times New Roman" w:hAnsiTheme="majorBidi" w:cstheme="majorBidi"/>
                <w:color w:val="000000"/>
                <w:sz w:val="20"/>
                <w:szCs w:val="20"/>
                <w:lang w:eastAsia="en-US"/>
              </w:rPr>
              <w:t>)</w:t>
            </w:r>
          </w:p>
        </w:tc>
        <w:tc>
          <w:tcPr>
            <w:tcW w:w="0" w:type="auto"/>
            <w:tcBorders>
              <w:top w:val="nil"/>
              <w:left w:val="nil"/>
              <w:bottom w:val="single" w:sz="4" w:space="0" w:color="auto"/>
              <w:right w:val="single" w:sz="4" w:space="0" w:color="auto"/>
            </w:tcBorders>
            <w:shd w:val="clear" w:color="auto" w:fill="auto"/>
            <w:vAlign w:val="center"/>
            <w:hideMark/>
          </w:tcPr>
          <w:p w14:paraId="7CE2ED49"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noWrap/>
            <w:vAlign w:val="center"/>
            <w:hideMark/>
          </w:tcPr>
          <w:p w14:paraId="28B6036E"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Ammotragus</w:t>
            </w:r>
            <w:proofErr w:type="spellEnd"/>
            <w:r w:rsidRPr="006C3B4E">
              <w:rPr>
                <w:rFonts w:asciiTheme="majorBidi" w:eastAsia="Times New Roman" w:hAnsiTheme="majorBidi" w:cstheme="majorBidi"/>
                <w:i/>
                <w:iCs/>
                <w:sz w:val="20"/>
                <w:szCs w:val="20"/>
                <w:lang w:eastAsia="en-US"/>
              </w:rPr>
              <w:t xml:space="preserve"> </w:t>
            </w:r>
            <w:proofErr w:type="spellStart"/>
            <w:r w:rsidRPr="006C3B4E">
              <w:rPr>
                <w:rFonts w:asciiTheme="majorBidi" w:eastAsia="Times New Roman" w:hAnsiTheme="majorBidi" w:cstheme="majorBidi"/>
                <w:i/>
                <w:iCs/>
                <w:sz w:val="20"/>
                <w:szCs w:val="20"/>
                <w:lang w:eastAsia="en-US"/>
              </w:rPr>
              <w:t>lervia</w:t>
            </w:r>
            <w:proofErr w:type="spellEnd"/>
          </w:p>
        </w:tc>
      </w:tr>
      <w:tr w:rsidR="00510E9B" w:rsidRPr="006C3B4E" w14:paraId="14A8E492"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60DEE52E"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13- 11757</w:t>
            </w:r>
          </w:p>
        </w:tc>
        <w:tc>
          <w:tcPr>
            <w:tcW w:w="761" w:type="dxa"/>
            <w:tcBorders>
              <w:top w:val="nil"/>
              <w:left w:val="nil"/>
              <w:bottom w:val="single" w:sz="4" w:space="0" w:color="auto"/>
              <w:right w:val="single" w:sz="4" w:space="0" w:color="auto"/>
            </w:tcBorders>
            <w:shd w:val="clear" w:color="auto" w:fill="auto"/>
            <w:vAlign w:val="center"/>
            <w:hideMark/>
          </w:tcPr>
          <w:p w14:paraId="620B0D12"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5D0152F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35831</w:t>
            </w:r>
          </w:p>
        </w:tc>
        <w:tc>
          <w:tcPr>
            <w:tcW w:w="0" w:type="auto"/>
            <w:tcBorders>
              <w:top w:val="nil"/>
              <w:left w:val="nil"/>
              <w:bottom w:val="single" w:sz="4" w:space="0" w:color="auto"/>
              <w:right w:val="single" w:sz="4" w:space="0" w:color="auto"/>
            </w:tcBorders>
            <w:shd w:val="clear" w:color="auto" w:fill="auto"/>
            <w:vAlign w:val="center"/>
            <w:hideMark/>
          </w:tcPr>
          <w:p w14:paraId="16D7B481"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vAlign w:val="center"/>
            <w:hideMark/>
          </w:tcPr>
          <w:p w14:paraId="6C34813E"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M2</w:t>
            </w:r>
          </w:p>
        </w:tc>
        <w:tc>
          <w:tcPr>
            <w:tcW w:w="0" w:type="auto"/>
            <w:tcBorders>
              <w:top w:val="nil"/>
              <w:left w:val="nil"/>
              <w:bottom w:val="single" w:sz="4" w:space="0" w:color="auto"/>
              <w:right w:val="single" w:sz="4" w:space="0" w:color="auto"/>
            </w:tcBorders>
            <w:shd w:val="clear" w:color="auto" w:fill="auto"/>
            <w:noWrap/>
            <w:vAlign w:val="center"/>
            <w:hideMark/>
          </w:tcPr>
          <w:p w14:paraId="354F1332" w14:textId="77777777" w:rsidR="00510E9B" w:rsidRPr="006C3B4E" w:rsidRDefault="00510E9B" w:rsidP="00A04EA7">
            <w:pPr>
              <w:spacing w:after="0" w:line="240" w:lineRule="auto"/>
              <w:jc w:val="center"/>
              <w:rPr>
                <w:rFonts w:asciiTheme="majorBidi" w:eastAsia="Times New Roman" w:hAnsiTheme="majorBidi" w:cstheme="majorBidi"/>
                <w:color w:val="000000"/>
                <w:sz w:val="20"/>
                <w:szCs w:val="20"/>
                <w:lang w:eastAsia="en-US"/>
              </w:rPr>
            </w:pPr>
            <w:proofErr w:type="spellStart"/>
            <w:r w:rsidRPr="006C3B4E">
              <w:rPr>
                <w:rFonts w:asciiTheme="majorBidi" w:eastAsia="Times New Roman" w:hAnsiTheme="majorBidi" w:cstheme="majorBidi"/>
                <w:color w:val="000000"/>
                <w:sz w:val="20"/>
                <w:szCs w:val="20"/>
                <w:lang w:eastAsia="en-US"/>
              </w:rPr>
              <w:t>Caprinae</w:t>
            </w:r>
            <w:proofErr w:type="spellEnd"/>
            <w:r w:rsidRPr="006C3B4E">
              <w:rPr>
                <w:rFonts w:asciiTheme="majorBidi" w:eastAsia="Times New Roman" w:hAnsiTheme="majorBidi" w:cstheme="majorBidi"/>
                <w:color w:val="000000"/>
                <w:sz w:val="20"/>
                <w:szCs w:val="20"/>
                <w:lang w:eastAsia="en-US"/>
              </w:rPr>
              <w:t xml:space="preserve"> (</w:t>
            </w:r>
            <w:proofErr w:type="spellStart"/>
            <w:r w:rsidRPr="006C3B4E">
              <w:rPr>
                <w:rFonts w:asciiTheme="majorBidi" w:eastAsia="Times New Roman" w:hAnsiTheme="majorBidi" w:cstheme="majorBidi"/>
                <w:color w:val="000000"/>
                <w:sz w:val="20"/>
                <w:szCs w:val="20"/>
                <w:lang w:eastAsia="en-US"/>
              </w:rPr>
              <w:t>Ovis</w:t>
            </w:r>
            <w:proofErr w:type="spellEnd"/>
            <w:r w:rsidRPr="006C3B4E">
              <w:rPr>
                <w:rFonts w:asciiTheme="majorBidi" w:eastAsia="Times New Roman" w:hAnsiTheme="majorBidi" w:cstheme="majorBidi"/>
                <w:color w:val="000000"/>
                <w:sz w:val="20"/>
                <w:szCs w:val="20"/>
                <w:lang w:eastAsia="en-US"/>
              </w:rPr>
              <w:t>)</w:t>
            </w:r>
          </w:p>
        </w:tc>
        <w:tc>
          <w:tcPr>
            <w:tcW w:w="0" w:type="auto"/>
            <w:tcBorders>
              <w:top w:val="nil"/>
              <w:left w:val="nil"/>
              <w:bottom w:val="single" w:sz="4" w:space="0" w:color="auto"/>
              <w:right w:val="single" w:sz="4" w:space="0" w:color="auto"/>
            </w:tcBorders>
            <w:shd w:val="clear" w:color="auto" w:fill="auto"/>
            <w:vAlign w:val="center"/>
            <w:hideMark/>
          </w:tcPr>
          <w:p w14:paraId="35A03FC1"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Barbary sheep</w:t>
            </w:r>
          </w:p>
        </w:tc>
        <w:tc>
          <w:tcPr>
            <w:tcW w:w="0" w:type="auto"/>
            <w:tcBorders>
              <w:top w:val="nil"/>
              <w:left w:val="nil"/>
              <w:bottom w:val="single" w:sz="4" w:space="0" w:color="auto"/>
              <w:right w:val="single" w:sz="4" w:space="0" w:color="auto"/>
            </w:tcBorders>
            <w:shd w:val="clear" w:color="auto" w:fill="auto"/>
            <w:noWrap/>
            <w:vAlign w:val="center"/>
            <w:hideMark/>
          </w:tcPr>
          <w:p w14:paraId="5FBA99BE"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Ammotragus</w:t>
            </w:r>
            <w:proofErr w:type="spellEnd"/>
            <w:r w:rsidRPr="006C3B4E">
              <w:rPr>
                <w:rFonts w:asciiTheme="majorBidi" w:eastAsia="Times New Roman" w:hAnsiTheme="majorBidi" w:cstheme="majorBidi"/>
                <w:i/>
                <w:iCs/>
                <w:sz w:val="20"/>
                <w:szCs w:val="20"/>
                <w:lang w:eastAsia="en-US"/>
              </w:rPr>
              <w:t xml:space="preserve"> </w:t>
            </w:r>
            <w:proofErr w:type="spellStart"/>
            <w:r w:rsidRPr="006C3B4E">
              <w:rPr>
                <w:rFonts w:asciiTheme="majorBidi" w:eastAsia="Times New Roman" w:hAnsiTheme="majorBidi" w:cstheme="majorBidi"/>
                <w:i/>
                <w:iCs/>
                <w:sz w:val="20"/>
                <w:szCs w:val="20"/>
                <w:lang w:eastAsia="en-US"/>
              </w:rPr>
              <w:t>lervia</w:t>
            </w:r>
            <w:proofErr w:type="spellEnd"/>
          </w:p>
        </w:tc>
      </w:tr>
      <w:tr w:rsidR="00510E9B" w:rsidRPr="006C3B4E" w14:paraId="7C533F12"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2E5560A6"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lastRenderedPageBreak/>
              <w:t>TAF 13- 11660</w:t>
            </w:r>
          </w:p>
        </w:tc>
        <w:tc>
          <w:tcPr>
            <w:tcW w:w="761" w:type="dxa"/>
            <w:tcBorders>
              <w:top w:val="nil"/>
              <w:left w:val="nil"/>
              <w:bottom w:val="single" w:sz="4" w:space="0" w:color="auto"/>
              <w:right w:val="single" w:sz="4" w:space="0" w:color="auto"/>
            </w:tcBorders>
            <w:shd w:val="clear" w:color="auto" w:fill="auto"/>
            <w:vAlign w:val="center"/>
            <w:hideMark/>
          </w:tcPr>
          <w:p w14:paraId="1C698F35"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18A7A1FF"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35832</w:t>
            </w:r>
          </w:p>
        </w:tc>
        <w:tc>
          <w:tcPr>
            <w:tcW w:w="0" w:type="auto"/>
            <w:tcBorders>
              <w:top w:val="nil"/>
              <w:left w:val="nil"/>
              <w:bottom w:val="single" w:sz="4" w:space="0" w:color="auto"/>
              <w:right w:val="single" w:sz="4" w:space="0" w:color="auto"/>
            </w:tcBorders>
            <w:shd w:val="clear" w:color="auto" w:fill="auto"/>
            <w:vAlign w:val="center"/>
            <w:hideMark/>
          </w:tcPr>
          <w:p w14:paraId="71FE80E3"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vAlign w:val="center"/>
            <w:hideMark/>
          </w:tcPr>
          <w:p w14:paraId="4BA368B8"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P2/P3</w:t>
            </w:r>
          </w:p>
        </w:tc>
        <w:tc>
          <w:tcPr>
            <w:tcW w:w="0" w:type="auto"/>
            <w:tcBorders>
              <w:top w:val="nil"/>
              <w:left w:val="nil"/>
              <w:bottom w:val="single" w:sz="4" w:space="0" w:color="auto"/>
              <w:right w:val="single" w:sz="4" w:space="0" w:color="auto"/>
            </w:tcBorders>
            <w:shd w:val="clear" w:color="auto" w:fill="auto"/>
            <w:vAlign w:val="center"/>
            <w:hideMark/>
          </w:tcPr>
          <w:p w14:paraId="56F5362E" w14:textId="707555D0"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
        </w:tc>
        <w:tc>
          <w:tcPr>
            <w:tcW w:w="0" w:type="auto"/>
            <w:tcBorders>
              <w:top w:val="nil"/>
              <w:left w:val="nil"/>
              <w:bottom w:val="single" w:sz="4" w:space="0" w:color="auto"/>
              <w:right w:val="single" w:sz="4" w:space="0" w:color="auto"/>
            </w:tcBorders>
            <w:shd w:val="clear" w:color="auto" w:fill="auto"/>
            <w:vAlign w:val="center"/>
            <w:hideMark/>
          </w:tcPr>
          <w:p w14:paraId="182C6CAA"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noWrap/>
            <w:vAlign w:val="center"/>
            <w:hideMark/>
          </w:tcPr>
          <w:p w14:paraId="7B516316"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Gazella</w:t>
            </w:r>
            <w:proofErr w:type="spellEnd"/>
            <w:r w:rsidRPr="006C3B4E">
              <w:rPr>
                <w:rFonts w:asciiTheme="majorBidi" w:eastAsia="Times New Roman" w:hAnsiTheme="majorBidi" w:cstheme="majorBidi"/>
                <w:i/>
                <w:iCs/>
                <w:sz w:val="20"/>
                <w:szCs w:val="20"/>
                <w:lang w:eastAsia="en-US"/>
              </w:rPr>
              <w:t xml:space="preserve"> sp.</w:t>
            </w:r>
          </w:p>
        </w:tc>
      </w:tr>
      <w:tr w:rsidR="00510E9B" w:rsidRPr="006C3B4E" w14:paraId="426EFCC2"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20A78DF3" w14:textId="606A0891"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05- 2450</w:t>
            </w:r>
          </w:p>
        </w:tc>
        <w:tc>
          <w:tcPr>
            <w:tcW w:w="761" w:type="dxa"/>
            <w:tcBorders>
              <w:top w:val="nil"/>
              <w:left w:val="nil"/>
              <w:bottom w:val="single" w:sz="4" w:space="0" w:color="auto"/>
              <w:right w:val="single" w:sz="4" w:space="0" w:color="auto"/>
            </w:tcBorders>
            <w:shd w:val="clear" w:color="auto" w:fill="auto"/>
            <w:vAlign w:val="center"/>
            <w:hideMark/>
          </w:tcPr>
          <w:p w14:paraId="56FD7938"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5520404B"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35833</w:t>
            </w:r>
          </w:p>
        </w:tc>
        <w:tc>
          <w:tcPr>
            <w:tcW w:w="0" w:type="auto"/>
            <w:tcBorders>
              <w:top w:val="nil"/>
              <w:left w:val="nil"/>
              <w:bottom w:val="single" w:sz="4" w:space="0" w:color="auto"/>
              <w:right w:val="single" w:sz="4" w:space="0" w:color="auto"/>
            </w:tcBorders>
            <w:shd w:val="clear" w:color="auto" w:fill="auto"/>
            <w:vAlign w:val="center"/>
            <w:hideMark/>
          </w:tcPr>
          <w:p w14:paraId="514F6D1D"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vAlign w:val="center"/>
            <w:hideMark/>
          </w:tcPr>
          <w:p w14:paraId="6F19D2A4"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P</w:t>
            </w:r>
          </w:p>
        </w:tc>
        <w:tc>
          <w:tcPr>
            <w:tcW w:w="0" w:type="auto"/>
            <w:tcBorders>
              <w:top w:val="nil"/>
              <w:left w:val="nil"/>
              <w:bottom w:val="single" w:sz="4" w:space="0" w:color="auto"/>
              <w:right w:val="single" w:sz="4" w:space="0" w:color="auto"/>
            </w:tcBorders>
            <w:shd w:val="clear" w:color="auto" w:fill="auto"/>
            <w:noWrap/>
            <w:vAlign w:val="center"/>
            <w:hideMark/>
          </w:tcPr>
          <w:p w14:paraId="4CB2C700" w14:textId="77777777" w:rsidR="00510E9B" w:rsidRPr="006C3B4E" w:rsidRDefault="00510E9B" w:rsidP="00A04EA7">
            <w:pPr>
              <w:spacing w:after="0" w:line="240" w:lineRule="auto"/>
              <w:jc w:val="center"/>
              <w:rPr>
                <w:rFonts w:asciiTheme="majorBidi" w:eastAsia="Times New Roman" w:hAnsiTheme="majorBidi" w:cstheme="majorBidi"/>
                <w:color w:val="000000"/>
                <w:sz w:val="20"/>
                <w:szCs w:val="20"/>
                <w:lang w:eastAsia="en-US"/>
              </w:rPr>
            </w:pPr>
            <w:proofErr w:type="spellStart"/>
            <w:r w:rsidRPr="006C3B4E">
              <w:rPr>
                <w:rFonts w:asciiTheme="majorBidi" w:eastAsia="Times New Roman" w:hAnsiTheme="majorBidi" w:cstheme="majorBidi"/>
                <w:color w:val="000000"/>
                <w:sz w:val="20"/>
                <w:szCs w:val="20"/>
                <w:lang w:eastAsia="en-US"/>
              </w:rPr>
              <w:t>Antilopinae</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01893AB9"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noWrap/>
            <w:vAlign w:val="center"/>
            <w:hideMark/>
          </w:tcPr>
          <w:p w14:paraId="089E7805"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Gazella</w:t>
            </w:r>
            <w:proofErr w:type="spellEnd"/>
            <w:r w:rsidRPr="006C3B4E">
              <w:rPr>
                <w:rFonts w:asciiTheme="majorBidi" w:eastAsia="Times New Roman" w:hAnsiTheme="majorBidi" w:cstheme="majorBidi"/>
                <w:i/>
                <w:iCs/>
                <w:sz w:val="20"/>
                <w:szCs w:val="20"/>
                <w:lang w:eastAsia="en-US"/>
              </w:rPr>
              <w:t xml:space="preserve"> sp.</w:t>
            </w:r>
          </w:p>
        </w:tc>
      </w:tr>
      <w:tr w:rsidR="00510E9B" w:rsidRPr="006C3B4E" w14:paraId="1AAC335C"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36E37282"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10- 11226</w:t>
            </w:r>
          </w:p>
        </w:tc>
        <w:tc>
          <w:tcPr>
            <w:tcW w:w="761" w:type="dxa"/>
            <w:tcBorders>
              <w:top w:val="nil"/>
              <w:left w:val="nil"/>
              <w:bottom w:val="single" w:sz="4" w:space="0" w:color="auto"/>
              <w:right w:val="single" w:sz="4" w:space="0" w:color="auto"/>
            </w:tcBorders>
            <w:shd w:val="clear" w:color="auto" w:fill="auto"/>
            <w:vAlign w:val="center"/>
            <w:hideMark/>
          </w:tcPr>
          <w:p w14:paraId="4EACC715"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10</w:t>
            </w:r>
          </w:p>
        </w:tc>
        <w:tc>
          <w:tcPr>
            <w:tcW w:w="917" w:type="dxa"/>
            <w:tcBorders>
              <w:top w:val="nil"/>
              <w:left w:val="nil"/>
              <w:bottom w:val="single" w:sz="4" w:space="0" w:color="auto"/>
              <w:right w:val="single" w:sz="4" w:space="0" w:color="auto"/>
            </w:tcBorders>
            <w:shd w:val="clear" w:color="auto" w:fill="auto"/>
            <w:vAlign w:val="center"/>
            <w:hideMark/>
          </w:tcPr>
          <w:p w14:paraId="555E5302"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35834</w:t>
            </w:r>
          </w:p>
        </w:tc>
        <w:tc>
          <w:tcPr>
            <w:tcW w:w="0" w:type="auto"/>
            <w:tcBorders>
              <w:top w:val="nil"/>
              <w:left w:val="nil"/>
              <w:bottom w:val="single" w:sz="4" w:space="0" w:color="auto"/>
              <w:right w:val="single" w:sz="4" w:space="0" w:color="auto"/>
            </w:tcBorders>
            <w:shd w:val="clear" w:color="auto" w:fill="auto"/>
            <w:vAlign w:val="center"/>
            <w:hideMark/>
          </w:tcPr>
          <w:p w14:paraId="1EA36086"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Canid</w:t>
            </w:r>
          </w:p>
        </w:tc>
        <w:tc>
          <w:tcPr>
            <w:tcW w:w="0" w:type="auto"/>
            <w:tcBorders>
              <w:top w:val="nil"/>
              <w:left w:val="nil"/>
              <w:bottom w:val="single" w:sz="4" w:space="0" w:color="auto"/>
              <w:right w:val="single" w:sz="4" w:space="0" w:color="auto"/>
            </w:tcBorders>
            <w:shd w:val="clear" w:color="auto" w:fill="auto"/>
            <w:vAlign w:val="center"/>
            <w:hideMark/>
          </w:tcPr>
          <w:p w14:paraId="7CBAC4A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M</w:t>
            </w:r>
          </w:p>
        </w:tc>
        <w:tc>
          <w:tcPr>
            <w:tcW w:w="0" w:type="auto"/>
            <w:tcBorders>
              <w:top w:val="nil"/>
              <w:left w:val="nil"/>
              <w:bottom w:val="single" w:sz="4" w:space="0" w:color="auto"/>
              <w:right w:val="single" w:sz="4" w:space="0" w:color="auto"/>
            </w:tcBorders>
            <w:shd w:val="clear" w:color="auto" w:fill="auto"/>
            <w:noWrap/>
            <w:vAlign w:val="center"/>
            <w:hideMark/>
          </w:tcPr>
          <w:p w14:paraId="2416271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Canidae (not red fox)</w:t>
            </w:r>
          </w:p>
        </w:tc>
        <w:tc>
          <w:tcPr>
            <w:tcW w:w="0" w:type="auto"/>
            <w:tcBorders>
              <w:top w:val="nil"/>
              <w:left w:val="nil"/>
              <w:bottom w:val="single" w:sz="4" w:space="0" w:color="auto"/>
              <w:right w:val="single" w:sz="4" w:space="0" w:color="auto"/>
            </w:tcBorders>
            <w:shd w:val="clear" w:color="auto" w:fill="auto"/>
            <w:vAlign w:val="center"/>
            <w:hideMark/>
          </w:tcPr>
          <w:p w14:paraId="00E54AE3"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Canid</w:t>
            </w:r>
          </w:p>
        </w:tc>
        <w:tc>
          <w:tcPr>
            <w:tcW w:w="0" w:type="auto"/>
            <w:tcBorders>
              <w:top w:val="nil"/>
              <w:left w:val="nil"/>
              <w:bottom w:val="single" w:sz="4" w:space="0" w:color="auto"/>
              <w:right w:val="single" w:sz="4" w:space="0" w:color="auto"/>
            </w:tcBorders>
            <w:shd w:val="clear" w:color="auto" w:fill="auto"/>
            <w:noWrap/>
            <w:vAlign w:val="center"/>
            <w:hideMark/>
          </w:tcPr>
          <w:p w14:paraId="7776912C"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r w:rsidRPr="006C3B4E">
              <w:rPr>
                <w:rFonts w:asciiTheme="majorBidi" w:eastAsia="Times New Roman" w:hAnsiTheme="majorBidi" w:cstheme="majorBidi"/>
                <w:i/>
                <w:iCs/>
                <w:sz w:val="20"/>
                <w:szCs w:val="20"/>
                <w:lang w:eastAsia="en-US"/>
              </w:rPr>
              <w:t>Canidae</w:t>
            </w:r>
          </w:p>
        </w:tc>
      </w:tr>
      <w:tr w:rsidR="00510E9B" w:rsidRPr="006C3B4E" w14:paraId="71093574"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5B3AFE8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04- 1842</w:t>
            </w:r>
          </w:p>
        </w:tc>
        <w:tc>
          <w:tcPr>
            <w:tcW w:w="761" w:type="dxa"/>
            <w:tcBorders>
              <w:top w:val="nil"/>
              <w:left w:val="nil"/>
              <w:bottom w:val="single" w:sz="4" w:space="0" w:color="auto"/>
              <w:right w:val="single" w:sz="4" w:space="0" w:color="auto"/>
            </w:tcBorders>
            <w:shd w:val="clear" w:color="auto" w:fill="auto"/>
            <w:vAlign w:val="center"/>
            <w:hideMark/>
          </w:tcPr>
          <w:p w14:paraId="0142698B"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8</w:t>
            </w:r>
          </w:p>
        </w:tc>
        <w:tc>
          <w:tcPr>
            <w:tcW w:w="917" w:type="dxa"/>
            <w:tcBorders>
              <w:top w:val="nil"/>
              <w:left w:val="nil"/>
              <w:bottom w:val="single" w:sz="4" w:space="0" w:color="auto"/>
              <w:right w:val="single" w:sz="4" w:space="0" w:color="auto"/>
            </w:tcBorders>
            <w:shd w:val="clear" w:color="auto" w:fill="auto"/>
            <w:vAlign w:val="center"/>
            <w:hideMark/>
          </w:tcPr>
          <w:p w14:paraId="6BD7A254"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35835</w:t>
            </w:r>
          </w:p>
        </w:tc>
        <w:tc>
          <w:tcPr>
            <w:tcW w:w="0" w:type="auto"/>
            <w:tcBorders>
              <w:top w:val="nil"/>
              <w:left w:val="nil"/>
              <w:bottom w:val="single" w:sz="4" w:space="0" w:color="auto"/>
              <w:right w:val="single" w:sz="4" w:space="0" w:color="auto"/>
            </w:tcBorders>
            <w:shd w:val="clear" w:color="auto" w:fill="auto"/>
            <w:vAlign w:val="center"/>
            <w:hideMark/>
          </w:tcPr>
          <w:p w14:paraId="4A7B707E"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vAlign w:val="center"/>
            <w:hideMark/>
          </w:tcPr>
          <w:p w14:paraId="7C97807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P2</w:t>
            </w:r>
          </w:p>
        </w:tc>
        <w:tc>
          <w:tcPr>
            <w:tcW w:w="0" w:type="auto"/>
            <w:tcBorders>
              <w:top w:val="nil"/>
              <w:left w:val="nil"/>
              <w:bottom w:val="single" w:sz="4" w:space="0" w:color="auto"/>
              <w:right w:val="single" w:sz="4" w:space="0" w:color="auto"/>
            </w:tcBorders>
            <w:shd w:val="clear" w:color="auto" w:fill="auto"/>
            <w:vAlign w:val="center"/>
            <w:hideMark/>
          </w:tcPr>
          <w:p w14:paraId="5B2753C1" w14:textId="5ED79431"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
        </w:tc>
        <w:tc>
          <w:tcPr>
            <w:tcW w:w="0" w:type="auto"/>
            <w:tcBorders>
              <w:top w:val="nil"/>
              <w:left w:val="nil"/>
              <w:bottom w:val="single" w:sz="4" w:space="0" w:color="auto"/>
              <w:right w:val="single" w:sz="4" w:space="0" w:color="auto"/>
            </w:tcBorders>
            <w:shd w:val="clear" w:color="auto" w:fill="auto"/>
            <w:vAlign w:val="center"/>
            <w:hideMark/>
          </w:tcPr>
          <w:p w14:paraId="0EC4F1C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Gazelle</w:t>
            </w:r>
          </w:p>
        </w:tc>
        <w:tc>
          <w:tcPr>
            <w:tcW w:w="0" w:type="auto"/>
            <w:tcBorders>
              <w:top w:val="nil"/>
              <w:left w:val="nil"/>
              <w:bottom w:val="single" w:sz="4" w:space="0" w:color="auto"/>
              <w:right w:val="single" w:sz="4" w:space="0" w:color="auto"/>
            </w:tcBorders>
            <w:shd w:val="clear" w:color="auto" w:fill="auto"/>
            <w:noWrap/>
            <w:vAlign w:val="center"/>
            <w:hideMark/>
          </w:tcPr>
          <w:p w14:paraId="347B1609"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Gazella</w:t>
            </w:r>
            <w:proofErr w:type="spellEnd"/>
            <w:r w:rsidRPr="006C3B4E">
              <w:rPr>
                <w:rFonts w:asciiTheme="majorBidi" w:eastAsia="Times New Roman" w:hAnsiTheme="majorBidi" w:cstheme="majorBidi"/>
                <w:i/>
                <w:iCs/>
                <w:sz w:val="20"/>
                <w:szCs w:val="20"/>
                <w:lang w:eastAsia="en-US"/>
              </w:rPr>
              <w:t xml:space="preserve"> sp.</w:t>
            </w:r>
          </w:p>
        </w:tc>
      </w:tr>
      <w:tr w:rsidR="00510E9B" w:rsidRPr="006C3B4E" w14:paraId="21C442ED" w14:textId="77777777" w:rsidTr="00A04EA7">
        <w:trPr>
          <w:trHeight w:val="3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09548959"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TAF 04- 375</w:t>
            </w:r>
          </w:p>
        </w:tc>
        <w:tc>
          <w:tcPr>
            <w:tcW w:w="761" w:type="dxa"/>
            <w:tcBorders>
              <w:top w:val="nil"/>
              <w:left w:val="nil"/>
              <w:bottom w:val="single" w:sz="4" w:space="0" w:color="auto"/>
              <w:right w:val="single" w:sz="4" w:space="0" w:color="auto"/>
            </w:tcBorders>
            <w:shd w:val="clear" w:color="auto" w:fill="auto"/>
            <w:vAlign w:val="center"/>
            <w:hideMark/>
          </w:tcPr>
          <w:p w14:paraId="0B25C585"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sector 8</w:t>
            </w:r>
          </w:p>
        </w:tc>
        <w:tc>
          <w:tcPr>
            <w:tcW w:w="917" w:type="dxa"/>
            <w:tcBorders>
              <w:top w:val="nil"/>
              <w:left w:val="nil"/>
              <w:bottom w:val="single" w:sz="4" w:space="0" w:color="auto"/>
              <w:right w:val="single" w:sz="4" w:space="0" w:color="auto"/>
            </w:tcBorders>
            <w:shd w:val="clear" w:color="auto" w:fill="auto"/>
            <w:vAlign w:val="center"/>
            <w:hideMark/>
          </w:tcPr>
          <w:p w14:paraId="43173CE8"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35836</w:t>
            </w:r>
          </w:p>
        </w:tc>
        <w:tc>
          <w:tcPr>
            <w:tcW w:w="0" w:type="auto"/>
            <w:tcBorders>
              <w:top w:val="nil"/>
              <w:left w:val="nil"/>
              <w:bottom w:val="single" w:sz="4" w:space="0" w:color="auto"/>
              <w:right w:val="single" w:sz="4" w:space="0" w:color="auto"/>
            </w:tcBorders>
            <w:shd w:val="clear" w:color="auto" w:fill="auto"/>
            <w:vAlign w:val="center"/>
            <w:hideMark/>
          </w:tcPr>
          <w:p w14:paraId="6D8875F5"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Rhinoceros</w:t>
            </w:r>
          </w:p>
        </w:tc>
        <w:tc>
          <w:tcPr>
            <w:tcW w:w="0" w:type="auto"/>
            <w:tcBorders>
              <w:top w:val="nil"/>
              <w:left w:val="nil"/>
              <w:bottom w:val="single" w:sz="4" w:space="0" w:color="auto"/>
              <w:right w:val="single" w:sz="4" w:space="0" w:color="auto"/>
            </w:tcBorders>
            <w:shd w:val="clear" w:color="auto" w:fill="auto"/>
            <w:vAlign w:val="center"/>
            <w:hideMark/>
          </w:tcPr>
          <w:p w14:paraId="2722248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P or M</w:t>
            </w:r>
          </w:p>
        </w:tc>
        <w:tc>
          <w:tcPr>
            <w:tcW w:w="0" w:type="auto"/>
            <w:tcBorders>
              <w:top w:val="nil"/>
              <w:left w:val="nil"/>
              <w:bottom w:val="single" w:sz="4" w:space="0" w:color="auto"/>
              <w:right w:val="single" w:sz="4" w:space="0" w:color="auto"/>
            </w:tcBorders>
            <w:shd w:val="clear" w:color="auto" w:fill="auto"/>
            <w:noWrap/>
            <w:vAlign w:val="center"/>
            <w:hideMark/>
          </w:tcPr>
          <w:p w14:paraId="63DF1CF0"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proofErr w:type="spellStart"/>
            <w:r w:rsidRPr="006C3B4E">
              <w:rPr>
                <w:rFonts w:asciiTheme="majorBidi" w:eastAsia="Times New Roman" w:hAnsiTheme="majorBidi" w:cstheme="majorBidi"/>
                <w:sz w:val="20"/>
                <w:szCs w:val="20"/>
                <w:lang w:eastAsia="en-US"/>
              </w:rPr>
              <w:t>Rhinocerotidae</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0166063F" w14:textId="77777777" w:rsidR="00510E9B" w:rsidRPr="006C3B4E" w:rsidRDefault="00510E9B" w:rsidP="00A04EA7">
            <w:pPr>
              <w:spacing w:after="0" w:line="240" w:lineRule="auto"/>
              <w:jc w:val="center"/>
              <w:rPr>
                <w:rFonts w:asciiTheme="majorBidi" w:eastAsia="Times New Roman" w:hAnsiTheme="majorBidi" w:cstheme="majorBidi"/>
                <w:sz w:val="20"/>
                <w:szCs w:val="20"/>
                <w:lang w:eastAsia="en-US"/>
              </w:rPr>
            </w:pPr>
            <w:r w:rsidRPr="006C3B4E">
              <w:rPr>
                <w:rFonts w:asciiTheme="majorBidi" w:eastAsia="Times New Roman" w:hAnsiTheme="majorBidi" w:cstheme="majorBidi"/>
                <w:sz w:val="20"/>
                <w:szCs w:val="20"/>
                <w:lang w:eastAsia="en-US"/>
              </w:rPr>
              <w:t>Rhinoceros</w:t>
            </w:r>
          </w:p>
        </w:tc>
        <w:tc>
          <w:tcPr>
            <w:tcW w:w="0" w:type="auto"/>
            <w:tcBorders>
              <w:top w:val="nil"/>
              <w:left w:val="nil"/>
              <w:bottom w:val="single" w:sz="4" w:space="0" w:color="auto"/>
              <w:right w:val="single" w:sz="4" w:space="0" w:color="auto"/>
            </w:tcBorders>
            <w:shd w:val="clear" w:color="auto" w:fill="auto"/>
            <w:noWrap/>
            <w:vAlign w:val="center"/>
            <w:hideMark/>
          </w:tcPr>
          <w:p w14:paraId="420A574F" w14:textId="77777777" w:rsidR="00510E9B" w:rsidRPr="006C3B4E" w:rsidRDefault="00510E9B" w:rsidP="00A04EA7">
            <w:pPr>
              <w:spacing w:after="0" w:line="240" w:lineRule="auto"/>
              <w:jc w:val="center"/>
              <w:rPr>
                <w:rFonts w:asciiTheme="majorBidi" w:eastAsia="Times New Roman" w:hAnsiTheme="majorBidi" w:cstheme="majorBidi"/>
                <w:i/>
                <w:iCs/>
                <w:sz w:val="20"/>
                <w:szCs w:val="20"/>
                <w:lang w:eastAsia="en-US"/>
              </w:rPr>
            </w:pPr>
            <w:proofErr w:type="spellStart"/>
            <w:r w:rsidRPr="006C3B4E">
              <w:rPr>
                <w:rFonts w:asciiTheme="majorBidi" w:eastAsia="Times New Roman" w:hAnsiTheme="majorBidi" w:cstheme="majorBidi"/>
                <w:i/>
                <w:iCs/>
                <w:sz w:val="20"/>
                <w:szCs w:val="20"/>
                <w:lang w:eastAsia="en-US"/>
              </w:rPr>
              <w:t>Rhinocerotidae</w:t>
            </w:r>
            <w:proofErr w:type="spellEnd"/>
          </w:p>
        </w:tc>
      </w:tr>
    </w:tbl>
    <w:p w14:paraId="5DEA5285" w14:textId="76F3EC45" w:rsidR="007B2B63" w:rsidRPr="006C3B4E" w:rsidDel="00BA504E" w:rsidRDefault="007B2B63" w:rsidP="003C7995">
      <w:pPr>
        <w:spacing w:after="0" w:line="360" w:lineRule="auto"/>
        <w:rPr>
          <w:rFonts w:asciiTheme="majorBidi" w:eastAsia="Times New Roman" w:hAnsiTheme="majorBidi" w:cstheme="majorBidi"/>
          <w:noProof/>
          <w:sz w:val="20"/>
          <w:szCs w:val="20"/>
        </w:rPr>
      </w:pPr>
    </w:p>
    <w:p w14:paraId="65A99F97" w14:textId="771C4B9A" w:rsidR="002E7EE7" w:rsidRDefault="002E7EE7" w:rsidP="003C7995">
      <w:pPr>
        <w:spacing w:after="0" w:line="360" w:lineRule="auto"/>
        <w:rPr>
          <w:rFonts w:ascii="Times New Roman" w:eastAsia="Times New Roman" w:hAnsi="Times New Roman" w:cs="Times New Roman"/>
          <w:sz w:val="24"/>
          <w:szCs w:val="24"/>
        </w:rPr>
      </w:pPr>
    </w:p>
    <w:p w14:paraId="7FFEF447" w14:textId="72EE4D16" w:rsidR="00D07B0D" w:rsidRPr="003C7995" w:rsidRDefault="00D07B0D">
      <w:pPr>
        <w:spacing w:after="0" w:line="240" w:lineRule="auto"/>
        <w:jc w:val="center"/>
        <w:rPr>
          <w:rFonts w:ascii="Times New Roman" w:eastAsia="Times New Roman" w:hAnsi="Times New Roman" w:cs="Times New Roman"/>
          <w:sz w:val="24"/>
          <w:szCs w:val="24"/>
        </w:rPr>
      </w:pPr>
    </w:p>
    <w:p w14:paraId="6FF383FF" w14:textId="77777777" w:rsidR="00E10A1F" w:rsidRDefault="00E10A1F">
      <w:pPr>
        <w:pBdr>
          <w:top w:val="nil"/>
          <w:left w:val="nil"/>
          <w:bottom w:val="nil"/>
          <w:right w:val="nil"/>
          <w:between w:val="nil"/>
        </w:pBdr>
        <w:spacing w:after="240" w:line="360" w:lineRule="auto"/>
        <w:rPr>
          <w:rFonts w:ascii="Times New Roman" w:eastAsia="Times New Roman" w:hAnsi="Times New Roman" w:cs="Times New Roman"/>
          <w:b/>
          <w:i/>
          <w:sz w:val="24"/>
          <w:szCs w:val="24"/>
          <w:u w:val="single"/>
        </w:rPr>
        <w:sectPr w:rsidR="00E10A1F" w:rsidSect="00E10A1F">
          <w:pgSz w:w="15840" w:h="12240" w:orient="landscape"/>
          <w:pgMar w:top="1440" w:right="1440" w:bottom="1440" w:left="1440" w:header="720" w:footer="720" w:gutter="0"/>
          <w:lnNumType w:countBy="1" w:restart="continuous"/>
          <w:pgNumType w:start="1"/>
          <w:cols w:space="720"/>
          <w:docGrid w:linePitch="299"/>
        </w:sectPr>
      </w:pPr>
    </w:p>
    <w:p w14:paraId="309A9000" w14:textId="77777777" w:rsidR="009B6687" w:rsidRPr="00D70D43" w:rsidRDefault="009B6687">
      <w:pPr>
        <w:pBdr>
          <w:top w:val="nil"/>
          <w:left w:val="nil"/>
          <w:bottom w:val="nil"/>
          <w:right w:val="nil"/>
          <w:between w:val="nil"/>
        </w:pBdr>
        <w:spacing w:after="240" w:line="360" w:lineRule="auto"/>
        <w:rPr>
          <w:rFonts w:ascii="Times New Roman" w:eastAsia="Times New Roman" w:hAnsi="Times New Roman" w:cs="Times New Roman"/>
          <w:b/>
          <w:i/>
          <w:sz w:val="24"/>
          <w:szCs w:val="24"/>
          <w:u w:val="single"/>
        </w:rPr>
      </w:pPr>
    </w:p>
    <w:p w14:paraId="000000BF" w14:textId="76D3B877" w:rsidR="00784AF4" w:rsidRDefault="0003068C">
      <w:pPr>
        <w:ind w:firstLine="720"/>
        <w:rPr>
          <w:rFonts w:ascii="Times New Roman" w:eastAsia="Times New Roman" w:hAnsi="Times New Roman" w:cs="Times New Roman"/>
          <w:b/>
          <w:i/>
          <w:sz w:val="24"/>
          <w:szCs w:val="24"/>
        </w:rPr>
      </w:pPr>
      <w:bookmarkStart w:id="13" w:name="_Hlk137039506"/>
      <w:r w:rsidRPr="0064579A">
        <w:rPr>
          <w:rFonts w:ascii="Times New Roman" w:eastAsia="Times New Roman" w:hAnsi="Times New Roman" w:cs="Times New Roman"/>
          <w:b/>
          <w:i/>
          <w:sz w:val="24"/>
          <w:szCs w:val="24"/>
        </w:rPr>
        <w:t>3.</w:t>
      </w:r>
      <w:r w:rsidR="00BA0466">
        <w:rPr>
          <w:rFonts w:ascii="Times New Roman" w:eastAsia="Times New Roman" w:hAnsi="Times New Roman" w:cs="Times New Roman"/>
          <w:b/>
          <w:i/>
          <w:sz w:val="24"/>
          <w:szCs w:val="24"/>
        </w:rPr>
        <w:t xml:space="preserve">2 </w:t>
      </w:r>
      <w:r w:rsidRPr="0064579A">
        <w:rPr>
          <w:rFonts w:ascii="Times New Roman" w:eastAsia="Times New Roman" w:hAnsi="Times New Roman" w:cs="Times New Roman"/>
          <w:b/>
          <w:i/>
          <w:sz w:val="24"/>
          <w:szCs w:val="24"/>
        </w:rPr>
        <w:t>Human</w:t>
      </w:r>
      <w:r w:rsidR="00012ABC" w:rsidRPr="0064579A">
        <w:rPr>
          <w:rFonts w:ascii="Times New Roman" w:eastAsia="Times New Roman" w:hAnsi="Times New Roman" w:cs="Times New Roman"/>
          <w:b/>
          <w:i/>
          <w:sz w:val="24"/>
          <w:szCs w:val="24"/>
        </w:rPr>
        <w:t xml:space="preserve"> teeth and bones</w:t>
      </w:r>
    </w:p>
    <w:p w14:paraId="000000C0" w14:textId="1CBCF15A" w:rsidR="00784AF4" w:rsidRDefault="00A550C8" w:rsidP="00A550C8">
      <w:pPr>
        <w:autoSpaceDE w:val="0"/>
        <w:autoSpaceDN w:val="0"/>
        <w:adjustRightInd w:val="0"/>
        <w:spacing w:after="0" w:line="360" w:lineRule="auto"/>
        <w:rPr>
          <w:rFonts w:ascii="Times New Roman" w:eastAsia="Times New Roman" w:hAnsi="Times New Roman" w:cs="Times New Roman"/>
          <w:sz w:val="24"/>
          <w:szCs w:val="24"/>
        </w:rPr>
      </w:pPr>
      <w:r w:rsidRPr="00A550C8">
        <w:rPr>
          <w:rFonts w:ascii="Times New Roman" w:eastAsia="Times New Roman" w:hAnsi="Times New Roman" w:cs="Times New Roman"/>
          <w:sz w:val="24"/>
          <w:szCs w:val="24"/>
        </w:rPr>
        <w:t xml:space="preserve">The human teeth were </w:t>
      </w:r>
      <w:r>
        <w:rPr>
          <w:rFonts w:ascii="Times New Roman" w:eastAsia="Times New Roman" w:hAnsi="Times New Roman" w:cs="Times New Roman"/>
          <w:sz w:val="24"/>
          <w:szCs w:val="24"/>
        </w:rPr>
        <w:t xml:space="preserve">scanned </w:t>
      </w:r>
      <w:r w:rsidRPr="00A550C8">
        <w:rPr>
          <w:rFonts w:ascii="Times New Roman" w:eastAsia="Times New Roman" w:hAnsi="Times New Roman" w:cs="Times New Roman"/>
          <w:sz w:val="24"/>
          <w:szCs w:val="24"/>
        </w:rPr>
        <w:t xml:space="preserve">using </w:t>
      </w:r>
      <w:r>
        <w:rPr>
          <w:rFonts w:ascii="Times New Roman" w:eastAsia="Times New Roman" w:hAnsi="Times New Roman" w:cs="Times New Roman"/>
          <w:sz w:val="24"/>
          <w:szCs w:val="24"/>
        </w:rPr>
        <w:t xml:space="preserve">a </w:t>
      </w:r>
      <w:r w:rsidRPr="00A550C8">
        <w:rPr>
          <w:rFonts w:ascii="Times New Roman" w:eastAsia="Times New Roman" w:hAnsi="Times New Roman" w:cs="Times New Roman"/>
          <w:sz w:val="24"/>
          <w:szCs w:val="24"/>
        </w:rPr>
        <w:t>micro-CT scanner in the Department of Human Evolution at MPI-EVA (Leipzig, Germany</w:t>
      </w:r>
      <w:r>
        <w:rPr>
          <w:rFonts w:ascii="Times New Roman" w:eastAsia="Times New Roman" w:hAnsi="Times New Roman" w:cs="Times New Roman"/>
          <w:sz w:val="24"/>
          <w:szCs w:val="24"/>
        </w:rPr>
        <w:t>.</w:t>
      </w:r>
      <w:bookmarkEnd w:id="13"/>
      <w:r>
        <w:rPr>
          <w:rFonts w:ascii="Times New Roman" w:eastAsia="Times New Roman" w:hAnsi="Times New Roman" w:cs="Times New Roman"/>
          <w:sz w:val="24"/>
          <w:szCs w:val="24"/>
        </w:rPr>
        <w:t xml:space="preserve"> </w:t>
      </w:r>
      <w:r w:rsidR="00812589" w:rsidRPr="00812589">
        <w:rPr>
          <w:rFonts w:ascii="Times New Roman" w:eastAsia="Times New Roman" w:hAnsi="Times New Roman" w:cs="Times New Roman"/>
          <w:sz w:val="24"/>
          <w:szCs w:val="24"/>
        </w:rPr>
        <w:t>23 teeth and 7 bones belonging to a maximum of 13 individuals from the site of Taforalt were analyzed in this study (Table S3.2)</w:t>
      </w:r>
      <w:r w:rsidR="00812589">
        <w:rPr>
          <w:rFonts w:ascii="Times New Roman" w:eastAsia="Times New Roman" w:hAnsi="Times New Roman" w:cs="Times New Roman"/>
          <w:sz w:val="24"/>
          <w:szCs w:val="24"/>
        </w:rPr>
        <w:t>. Most of the samples belong to 7 individuals buried in the sector 10</w:t>
      </w:r>
      <w:r w:rsidR="003F1313">
        <w:rPr>
          <w:rFonts w:ascii="Times New Roman" w:eastAsia="Times New Roman" w:hAnsi="Times New Roman" w:cs="Times New Roman"/>
          <w:sz w:val="24"/>
          <w:szCs w:val="24"/>
        </w:rPr>
        <w:fldChar w:fldCharType="begin"/>
      </w:r>
      <w:r w:rsidR="003F1313">
        <w:rPr>
          <w:rFonts w:ascii="Times New Roman" w:eastAsia="Times New Roman" w:hAnsi="Times New Roman" w:cs="Times New Roman"/>
          <w:sz w:val="24"/>
          <w:szCs w:val="24"/>
        </w:rPr>
        <w:instrText xml:space="preserve"> ADDIN ZOTERO_ITEM CSL_CITATION {"citationID":"xDIRbHCK","properties":{"formattedCitation":"\\super 6\\nosupersub{}","plainCitation":"6","noteIndex":0},"citationItems":[{"id":895,"uris":["http://zotero.org/users/7125028/items/LNAKZ2VD"],"itemData":{"id":895,"type":"chapter","container-title":"Cemeteries and Sedentism in the Later Stone Age of NW Africa: Excavations at Grotte des Pigeons, Taforalt, Morocco","page":"444-482","publisher":"Monographien des Römisch-Germanischen Zentralmuseums","title":"HUMAN BURIAL EVIDENCE","author":[{"family":"Humphrey","given":"Louise"},{"family":"Freyne","given":"Alison"},{"family":"Berridge","given":"Peter"},{"family":"Berridge","given":"Paul"}],"issued":{"date-parts":[["2019"]]}}}],"schema":"https://github.com/citation-style-language/schema/raw/master/csl-citation.json"} </w:instrText>
      </w:r>
      <w:r w:rsidR="003F1313">
        <w:rPr>
          <w:rFonts w:ascii="Times New Roman" w:eastAsia="Times New Roman" w:hAnsi="Times New Roman" w:cs="Times New Roman"/>
          <w:sz w:val="24"/>
          <w:szCs w:val="24"/>
        </w:rPr>
        <w:fldChar w:fldCharType="separate"/>
      </w:r>
      <w:r w:rsidR="003F1313" w:rsidRPr="003F1313">
        <w:rPr>
          <w:rFonts w:ascii="Times New Roman" w:hAnsi="Times New Roman" w:cs="Times New Roman"/>
          <w:sz w:val="24"/>
          <w:szCs w:val="24"/>
          <w:vertAlign w:val="superscript"/>
        </w:rPr>
        <w:t>6</w:t>
      </w:r>
      <w:r w:rsidR="003F1313">
        <w:rPr>
          <w:rFonts w:ascii="Times New Roman" w:eastAsia="Times New Roman" w:hAnsi="Times New Roman" w:cs="Times New Roman"/>
          <w:sz w:val="24"/>
          <w:szCs w:val="24"/>
        </w:rPr>
        <w:fldChar w:fldCharType="end"/>
      </w:r>
      <w:r w:rsidR="00812589">
        <w:rPr>
          <w:rFonts w:ascii="Times New Roman" w:eastAsia="Times New Roman" w:hAnsi="Times New Roman" w:cs="Times New Roman"/>
          <w:sz w:val="24"/>
          <w:szCs w:val="24"/>
        </w:rPr>
        <w:t>. The other samples were isolated and are therefore described as “unassigned”. The teeth were scanned and revealed an important amount of hypoplasia</w:t>
      </w:r>
      <w:r w:rsidR="00193A85">
        <w:rPr>
          <w:rFonts w:ascii="Times New Roman" w:eastAsia="Times New Roman" w:hAnsi="Times New Roman" w:cs="Times New Roman"/>
          <w:sz w:val="24"/>
          <w:szCs w:val="24"/>
        </w:rPr>
        <w:t xml:space="preserve"> (</w:t>
      </w:r>
      <w:r w:rsidR="00991CBB">
        <w:rPr>
          <w:rFonts w:ascii="Times New Roman" w:eastAsia="Times New Roman" w:hAnsi="Times New Roman" w:cs="Times New Roman"/>
          <w:sz w:val="24"/>
          <w:szCs w:val="24"/>
        </w:rPr>
        <w:t>78</w:t>
      </w:r>
      <w:r w:rsidR="00193A85">
        <w:rPr>
          <w:rFonts w:ascii="Times New Roman" w:eastAsia="Times New Roman" w:hAnsi="Times New Roman" w:cs="Times New Roman"/>
          <w:sz w:val="24"/>
          <w:szCs w:val="24"/>
        </w:rPr>
        <w:t xml:space="preserve">% </w:t>
      </w:r>
      <w:r w:rsidR="00991CBB">
        <w:rPr>
          <w:rFonts w:ascii="Times New Roman" w:eastAsia="Times New Roman" w:hAnsi="Times New Roman" w:cs="Times New Roman"/>
          <w:sz w:val="24"/>
          <w:szCs w:val="24"/>
        </w:rPr>
        <w:t>of</w:t>
      </w:r>
      <w:r w:rsidR="00193A85">
        <w:rPr>
          <w:rFonts w:ascii="Times New Roman" w:eastAsia="Times New Roman" w:hAnsi="Times New Roman" w:cs="Times New Roman"/>
          <w:sz w:val="24"/>
          <w:szCs w:val="24"/>
        </w:rPr>
        <w:t xml:space="preserve"> our samples; n=2</w:t>
      </w:r>
      <w:r w:rsidR="00991CBB">
        <w:rPr>
          <w:rFonts w:ascii="Times New Roman" w:eastAsia="Times New Roman" w:hAnsi="Times New Roman" w:cs="Times New Roman"/>
          <w:sz w:val="24"/>
          <w:szCs w:val="24"/>
        </w:rPr>
        <w:t>3</w:t>
      </w:r>
      <w:r w:rsidR="00193A85">
        <w:rPr>
          <w:rFonts w:ascii="Times New Roman" w:eastAsia="Times New Roman" w:hAnsi="Times New Roman" w:cs="Times New Roman"/>
          <w:sz w:val="24"/>
          <w:szCs w:val="24"/>
        </w:rPr>
        <w:t>)</w:t>
      </w:r>
      <w:r w:rsidR="00812589">
        <w:rPr>
          <w:rFonts w:ascii="Times New Roman" w:eastAsia="Times New Roman" w:hAnsi="Times New Roman" w:cs="Times New Roman"/>
          <w:sz w:val="24"/>
          <w:szCs w:val="24"/>
        </w:rPr>
        <w:t xml:space="preserve"> and caries</w:t>
      </w:r>
      <w:r w:rsidR="001D4BFC">
        <w:rPr>
          <w:rFonts w:ascii="Times New Roman" w:eastAsia="Times New Roman" w:hAnsi="Times New Roman" w:cs="Times New Roman"/>
          <w:sz w:val="24"/>
          <w:szCs w:val="24"/>
        </w:rPr>
        <w:t xml:space="preserve"> </w:t>
      </w:r>
      <w:r w:rsidR="00991CBB">
        <w:rPr>
          <w:rFonts w:ascii="Times New Roman" w:eastAsia="Times New Roman" w:hAnsi="Times New Roman" w:cs="Times New Roman"/>
          <w:sz w:val="24"/>
          <w:szCs w:val="24"/>
        </w:rPr>
        <w:t>(13% of our samples; n=23)</w:t>
      </w:r>
      <w:r w:rsidR="00812589">
        <w:rPr>
          <w:rFonts w:ascii="Times New Roman" w:eastAsia="Times New Roman" w:hAnsi="Times New Roman" w:cs="Times New Roman"/>
          <w:sz w:val="24"/>
          <w:szCs w:val="24"/>
        </w:rPr>
        <w:t>.</w:t>
      </w:r>
      <w:r w:rsidR="00012ABC">
        <w:rPr>
          <w:rFonts w:ascii="Times New Roman" w:eastAsia="Times New Roman" w:hAnsi="Times New Roman" w:cs="Times New Roman"/>
          <w:sz w:val="24"/>
          <w:szCs w:val="24"/>
        </w:rPr>
        <w:t xml:space="preserve"> All 3D scans are not available online but are shared by the authors after request.</w:t>
      </w:r>
      <w:r w:rsidR="00812589">
        <w:rPr>
          <w:rFonts w:ascii="Times New Roman" w:eastAsia="Times New Roman" w:hAnsi="Times New Roman" w:cs="Times New Roman"/>
          <w:sz w:val="24"/>
          <w:szCs w:val="24"/>
        </w:rPr>
        <w:t xml:space="preserve"> </w:t>
      </w:r>
      <w:r w:rsidR="00012ABC">
        <w:rPr>
          <w:rFonts w:ascii="Times New Roman" w:eastAsia="Times New Roman" w:hAnsi="Times New Roman" w:cs="Times New Roman"/>
          <w:sz w:val="24"/>
          <w:szCs w:val="24"/>
        </w:rPr>
        <w:t xml:space="preserve">The location of the caries and hypoplasia can be seen on the Supplementary Information </w:t>
      </w:r>
      <w:r w:rsidR="003B384F">
        <w:rPr>
          <w:rFonts w:ascii="Times New Roman" w:eastAsia="Times New Roman" w:hAnsi="Times New Roman" w:cs="Times New Roman"/>
          <w:sz w:val="24"/>
          <w:szCs w:val="24"/>
        </w:rPr>
        <w:t>7</w:t>
      </w:r>
      <w:r w:rsidR="00012ABC">
        <w:rPr>
          <w:rFonts w:ascii="Times New Roman" w:eastAsia="Times New Roman" w:hAnsi="Times New Roman" w:cs="Times New Roman"/>
          <w:sz w:val="24"/>
          <w:szCs w:val="24"/>
        </w:rPr>
        <w:t xml:space="preserve"> and are summarized in the Table S3.3. Areas sampled for Sr and Zn isotope measurement can also be seen on the Supplementary Information </w:t>
      </w:r>
      <w:r w:rsidR="00FF0F8C">
        <w:rPr>
          <w:rFonts w:ascii="Times New Roman" w:eastAsia="Times New Roman" w:hAnsi="Times New Roman" w:cs="Times New Roman"/>
          <w:sz w:val="24"/>
          <w:szCs w:val="24"/>
        </w:rPr>
        <w:t>7</w:t>
      </w:r>
      <w:r w:rsidR="003B384F">
        <w:rPr>
          <w:rFonts w:ascii="Times New Roman" w:eastAsia="Times New Roman" w:hAnsi="Times New Roman" w:cs="Times New Roman"/>
          <w:sz w:val="24"/>
          <w:szCs w:val="24"/>
        </w:rPr>
        <w:t xml:space="preserve"> (Teeth scans)</w:t>
      </w:r>
      <w:r w:rsidR="00012ABC">
        <w:rPr>
          <w:rFonts w:ascii="Times New Roman" w:eastAsia="Times New Roman" w:hAnsi="Times New Roman" w:cs="Times New Roman"/>
          <w:sz w:val="24"/>
          <w:szCs w:val="24"/>
        </w:rPr>
        <w:t>.</w:t>
      </w:r>
      <w:r w:rsidR="001D4BFC">
        <w:rPr>
          <w:rFonts w:ascii="Times New Roman" w:eastAsia="Times New Roman" w:hAnsi="Times New Roman" w:cs="Times New Roman"/>
          <w:sz w:val="24"/>
          <w:szCs w:val="24"/>
        </w:rPr>
        <w:t xml:space="preserve">  </w:t>
      </w:r>
    </w:p>
    <w:p w14:paraId="0311FE28" w14:textId="6929456A" w:rsidR="00FF0F8C" w:rsidRPr="00FF0F8C" w:rsidRDefault="00FF0F8C" w:rsidP="00A550C8">
      <w:pPr>
        <w:spacing w:line="360" w:lineRule="auto"/>
        <w:ind w:firstLine="720"/>
        <w:jc w:val="both"/>
        <w:rPr>
          <w:rFonts w:asciiTheme="majorBidi" w:eastAsia="Times New Roman" w:hAnsiTheme="majorBidi" w:cstheme="majorBidi"/>
          <w:sz w:val="24"/>
          <w:szCs w:val="24"/>
        </w:rPr>
      </w:pPr>
      <w:r w:rsidRPr="00FF0F8C">
        <w:rPr>
          <w:rFonts w:asciiTheme="majorBidi" w:hAnsiTheme="majorBidi" w:cstheme="majorBidi"/>
          <w:sz w:val="24"/>
          <w:szCs w:val="24"/>
        </w:rPr>
        <w:t>The sampling strategy is described in detail in section 3.3.1.1, titled "Strategy of Tooth Sampling.</w:t>
      </w:r>
      <w:r w:rsidR="008A1341">
        <w:rPr>
          <w:rFonts w:asciiTheme="majorBidi" w:hAnsiTheme="majorBidi" w:cstheme="majorBidi"/>
          <w:sz w:val="24"/>
          <w:szCs w:val="24"/>
        </w:rPr>
        <w:t xml:space="preserve"> The</w:t>
      </w:r>
      <w:r w:rsidRPr="00FF0F8C">
        <w:rPr>
          <w:rFonts w:asciiTheme="majorBidi" w:hAnsiTheme="majorBidi" w:cstheme="majorBidi"/>
          <w:sz w:val="24"/>
          <w:szCs w:val="24"/>
        </w:rPr>
        <w:t xml:space="preserve"> approximate areas that were sampled in the </w:t>
      </w:r>
      <w:r w:rsidR="00394A8D">
        <w:rPr>
          <w:rFonts w:asciiTheme="majorBidi" w:hAnsiTheme="majorBidi" w:cstheme="majorBidi"/>
          <w:sz w:val="24"/>
          <w:szCs w:val="24"/>
        </w:rPr>
        <w:t>vertical</w:t>
      </w:r>
      <w:r w:rsidRPr="00FF0F8C">
        <w:rPr>
          <w:rFonts w:asciiTheme="majorBidi" w:hAnsiTheme="majorBidi" w:cstheme="majorBidi"/>
          <w:sz w:val="24"/>
          <w:szCs w:val="24"/>
        </w:rPr>
        <w:t xml:space="preserve"> plane are represented by arrows on the tooth scans</w:t>
      </w:r>
      <w:r w:rsidR="008A1341">
        <w:rPr>
          <w:rFonts w:asciiTheme="majorBidi" w:hAnsiTheme="majorBidi" w:cstheme="majorBidi"/>
          <w:sz w:val="24"/>
          <w:szCs w:val="24"/>
        </w:rPr>
        <w:t xml:space="preserve"> (Supplementary Information 7)</w:t>
      </w:r>
      <w:r w:rsidRPr="00FF0F8C">
        <w:rPr>
          <w:rFonts w:asciiTheme="majorBidi" w:hAnsiTheme="majorBidi" w:cstheme="majorBidi"/>
          <w:sz w:val="24"/>
          <w:szCs w:val="24"/>
        </w:rPr>
        <w:t>. However, it is crucial to note that these arrows provide a general indication of the sampled regions and do not accurately represent the depth or width of the sampled areas.</w:t>
      </w:r>
    </w:p>
    <w:p w14:paraId="0A7D3B49" w14:textId="6C2FE080" w:rsidR="00E9554A" w:rsidRDefault="00E12047" w:rsidP="00E9554A">
      <w:pPr>
        <w:spacing w:line="360" w:lineRule="auto"/>
        <w:ind w:firstLine="708"/>
        <w:jc w:val="both"/>
        <w:rPr>
          <w:rFonts w:ascii="Times New Roman" w:eastAsia="Times New Roman" w:hAnsi="Times New Roman" w:cs="Times New Roman"/>
          <w:sz w:val="24"/>
          <w:szCs w:val="24"/>
          <w:lang w:val="en-GB"/>
        </w:rPr>
      </w:pPr>
      <w:r w:rsidRPr="00261792">
        <w:rPr>
          <w:rFonts w:ascii="Times New Roman" w:eastAsia="Times New Roman" w:hAnsi="Times New Roman" w:cs="Times New Roman"/>
          <w:sz w:val="24"/>
          <w:szCs w:val="24"/>
          <w:lang w:val="en-GB"/>
        </w:rPr>
        <w:t xml:space="preserve">Most of the teeth analysed in this study show </w:t>
      </w:r>
      <w:r>
        <w:rPr>
          <w:rFonts w:ascii="Times New Roman" w:eastAsia="Times New Roman" w:hAnsi="Times New Roman" w:cs="Times New Roman"/>
          <w:sz w:val="24"/>
          <w:szCs w:val="24"/>
          <w:lang w:val="en-GB"/>
        </w:rPr>
        <w:t xml:space="preserve">the </w:t>
      </w:r>
      <w:r w:rsidRPr="00261792">
        <w:rPr>
          <w:rFonts w:ascii="Times New Roman" w:eastAsia="Times New Roman" w:hAnsi="Times New Roman" w:cs="Times New Roman"/>
          <w:sz w:val="24"/>
          <w:szCs w:val="24"/>
          <w:lang w:val="en-GB"/>
        </w:rPr>
        <w:t xml:space="preserve">presence of dentine or enamel </w:t>
      </w:r>
      <w:r w:rsidR="001A06DE">
        <w:rPr>
          <w:rFonts w:ascii="Times New Roman" w:eastAsia="Times New Roman" w:hAnsi="Times New Roman" w:cs="Times New Roman"/>
          <w:sz w:val="24"/>
          <w:szCs w:val="24"/>
          <w:lang w:val="en-GB"/>
        </w:rPr>
        <w:t>stress</w:t>
      </w:r>
      <w:r w:rsidRPr="00261792">
        <w:rPr>
          <w:rFonts w:ascii="Times New Roman" w:eastAsia="Times New Roman" w:hAnsi="Times New Roman" w:cs="Times New Roman"/>
          <w:sz w:val="24"/>
          <w:szCs w:val="24"/>
          <w:lang w:val="en-GB"/>
        </w:rPr>
        <w:t xml:space="preserve"> (Supplementary Information 4)</w:t>
      </w:r>
      <w:r>
        <w:rPr>
          <w:rFonts w:ascii="Times New Roman" w:eastAsia="Times New Roman" w:hAnsi="Times New Roman" w:cs="Times New Roman"/>
          <w:sz w:val="24"/>
          <w:szCs w:val="24"/>
          <w:lang w:val="en-GB"/>
        </w:rPr>
        <w:t>,</w:t>
      </w:r>
      <w:r w:rsidRPr="00261792">
        <w:rPr>
          <w:rFonts w:ascii="Times New Roman" w:eastAsia="Times New Roman" w:hAnsi="Times New Roman" w:cs="Times New Roman"/>
          <w:sz w:val="24"/>
          <w:szCs w:val="24"/>
          <w:lang w:val="en-GB"/>
        </w:rPr>
        <w:t xml:space="preserve"> indicating periods of disruption during the formation of the teeth</w:t>
      </w:r>
      <w:r>
        <w:rPr>
          <w:rFonts w:ascii="Times New Roman" w:eastAsia="Times New Roman" w:hAnsi="Times New Roman" w:cs="Times New Roman"/>
          <w:sz w:val="24"/>
          <w:szCs w:val="24"/>
          <w:lang w:val="en-GB"/>
        </w:rPr>
        <w:t>,</w:t>
      </w:r>
      <w:r w:rsidRPr="00261792">
        <w:rPr>
          <w:rFonts w:ascii="Times New Roman" w:eastAsia="Times New Roman" w:hAnsi="Times New Roman" w:cs="Times New Roman"/>
          <w:sz w:val="24"/>
          <w:szCs w:val="24"/>
          <w:lang w:val="en-GB"/>
        </w:rPr>
        <w:t xml:space="preserve"> which could be related to nutritional stress</w:t>
      </w:r>
      <w:r w:rsidR="001A06DE">
        <w:rPr>
          <w:rFonts w:ascii="Times New Roman" w:eastAsia="Times New Roman" w:hAnsi="Times New Roman" w:cs="Times New Roman"/>
          <w:sz w:val="24"/>
          <w:szCs w:val="24"/>
          <w:lang w:val="en-GB"/>
        </w:rPr>
        <w:fldChar w:fldCharType="begin"/>
      </w:r>
      <w:r w:rsidR="000E7E53">
        <w:rPr>
          <w:rFonts w:ascii="Times New Roman" w:eastAsia="Times New Roman" w:hAnsi="Times New Roman" w:cs="Times New Roman"/>
          <w:sz w:val="24"/>
          <w:szCs w:val="24"/>
          <w:lang w:val="en-GB"/>
        </w:rPr>
        <w:instrText xml:space="preserve"> ADDIN ZOTERO_ITEM CSL_CITATION {"citationID":"WAk8FPL6","properties":{"formattedCitation":"\\super 55,56\\nosupersub{}","plainCitation":"55,56","noteIndex":0},"citationItems":[{"id":72,"uris":["http://zotero.org/users/7125028/items/44ZI3TGQ"],"itemData":{"id":72,"type":"article-journal","abstract":"Across much of central Europe, the Linearbandkeramik (LBK) represents the first Neolithic communities. Arising in Transdanubia around 5500 cal. BC the LBK spread west to the Rhine within two to three hundred years, carrying elements of a mixed agricultural economy and a relatively homogeneous material culture. Colonisation of new regions during this progress would have required economic adaptations to varied ecological conditions within the landscape. This paper investigates whether such adaptation at a local scale affected health patterns and altered the dietary habits of populations that otherwise shared a common cultural and biological origin. Analysis of non-specific stress (linear enamel hypoplasia, porotic hyperostosis, cribra orbitalia) within five LBK populations from across central Europe in conjunction with published carbon and nitrogen stable isotope data from each site revealed a high prevalence of porotic hyperostosis and cribra orbitalia in western populations that was associated with a lower animal protein intake. Hypoplastic enamel was more frequently observed in eastern populations however, and may reflect geographic differences in childhood morbidity and mortality as a result of variation in social practices relating to weaning. Local socio-economic adaptations within the LBK were therefore an important factor in the exposure of populations to non-specific stress.","container-title":"Scientific Reports","DOI":"10.1038/srep29458","ISSN":"2045-2322","issue":"1","journalAbbreviation":"Sci Rep","language":"en","license":"2016 The Author(s)","note":"Bandiera_abtest: a\nCc_license_type: cc_by\nCg_type: Nature Research Journals\nnumber: 1\nPrimary_atype: Research\npublisher: Nature Publishing Group\nSubject_term: Archaeology;Biological anthropology;Bone development\nSubject_term_id: archaeology;biological-anthropology;bone-development","page":"29458","source":"www.nature.com","title":"Regional differences in health, diet and weaning patterns amongst the first Neolithic farmers of central Europe","volume":"6","author":[{"family":"Ash","given":"Abigail"},{"family":"Francken","given":"Michael"},{"family":"Pap","given":"Ildikó"},{"family":"Tvrdý","given":"Zdeněk"},{"family":"Wahl","given":"Joachim"},{"family":"Pinhasi","given":"Ron"}],"issued":{"date-parts":[["2016",7,7]]}}},{"id":910,"uris":["http://zotero.org/users/7125028/items/ZR9F7C7X"],"itemData":{"id":910,"type":"article-journal","abstract":"Dental enamel hypoplasia (DEH), as an indicator of nonspecific stress during development, provides an assessment of the relative morbidity of past human populations. An investigation of 669 Neandertal dental crowns yielded an overall DEH frequency of 36.0% by tooth (41.9% for permanent teeth; 3.9% for deciduous teeth) and about 75% by individual. These incidences place the Neandertals at the top of recent human ranges of variation in DEH frequencies, indicating high levels of stress during development. The paucity of deciduous tooth DEH and M1 DEH, combined with generally increasing levels of DEH through later calcifying teeth, suggests that the stress was primarily nutritional, beginning at weaning and continuing through adolescence. This supports paleontological and archeological interpretations implying significantly lower effectiveness for Neandertal foraging compared to that of modern humans.","container-title":"American Journal of Physical Anthropology","DOI":"10.1002/ajpa.1330790104","ISSN":"1096-8644","issue":"1","language":"en","note":"_eprint: https://onlinelibrary.wiley.com/doi/pdf/10.1002/ajpa.1330790104","page":"25-41","source":"Wiley Online Library","title":"Incidence and patterning of dental enamel hypoplasia among the Neandertals","volume":"79","author":[{"family":"Ogilvie","given":"Marsha D."},{"family":"Curran","given":"Bryan K."},{"family":"Trinkaus","given":"Erik"}],"issued":{"date-parts":[["1989"]]}}}],"schema":"https://github.com/citation-style-language/schema/raw/master/csl-citation.json"} </w:instrText>
      </w:r>
      <w:r w:rsidR="001A06DE">
        <w:rPr>
          <w:rFonts w:ascii="Times New Roman" w:eastAsia="Times New Roman" w:hAnsi="Times New Roman" w:cs="Times New Roman"/>
          <w:sz w:val="24"/>
          <w:szCs w:val="24"/>
          <w:lang w:val="en-GB"/>
        </w:rPr>
        <w:fldChar w:fldCharType="separate"/>
      </w:r>
      <w:r w:rsidR="000E7E53" w:rsidRPr="000E7E53">
        <w:rPr>
          <w:rFonts w:ascii="Times New Roman" w:hAnsi="Times New Roman" w:cs="Times New Roman"/>
          <w:sz w:val="24"/>
          <w:szCs w:val="24"/>
          <w:vertAlign w:val="superscript"/>
        </w:rPr>
        <w:t>55,56</w:t>
      </w:r>
      <w:r w:rsidR="001A06DE">
        <w:rPr>
          <w:rFonts w:ascii="Times New Roman" w:eastAsia="Times New Roman" w:hAnsi="Times New Roman" w:cs="Times New Roman"/>
          <w:sz w:val="24"/>
          <w:szCs w:val="24"/>
          <w:lang w:val="en-GB"/>
        </w:rPr>
        <w:fldChar w:fldCharType="end"/>
      </w:r>
      <w:r w:rsidRPr="00261792">
        <w:rPr>
          <w:rFonts w:ascii="Times New Roman" w:eastAsia="Times New Roman" w:hAnsi="Times New Roman" w:cs="Times New Roman"/>
          <w:sz w:val="24"/>
          <w:szCs w:val="24"/>
          <w:lang w:val="en-GB"/>
        </w:rPr>
        <w:t>. The presence of linear enamel hypoplasia among teeth formed early in life (i.e</w:t>
      </w:r>
      <w:r>
        <w:rPr>
          <w:rFonts w:ascii="Times New Roman" w:eastAsia="Times New Roman" w:hAnsi="Times New Roman" w:cs="Times New Roman"/>
          <w:sz w:val="24"/>
          <w:szCs w:val="24"/>
          <w:lang w:val="en-GB"/>
        </w:rPr>
        <w:t>.,</w:t>
      </w:r>
      <w:r w:rsidRPr="00261792">
        <w:rPr>
          <w:rFonts w:ascii="Times New Roman" w:eastAsia="Times New Roman" w:hAnsi="Times New Roman" w:cs="Times New Roman"/>
          <w:sz w:val="24"/>
          <w:szCs w:val="24"/>
          <w:lang w:val="en-GB"/>
        </w:rPr>
        <w:t xml:space="preserve"> incisors and canine) might be linked to weaning, which is usually considered a stressful nutritional period for infants</w:t>
      </w:r>
      <w:r w:rsidRPr="00261792">
        <w:rPr>
          <w:rFonts w:ascii="Times New Roman" w:eastAsia="Times New Roman" w:hAnsi="Times New Roman" w:cs="Times New Roman"/>
          <w:sz w:val="24"/>
          <w:szCs w:val="24"/>
          <w:lang w:val="en-GB"/>
        </w:rPr>
        <w:fldChar w:fldCharType="begin"/>
      </w:r>
      <w:r w:rsidR="000E7E53">
        <w:rPr>
          <w:rFonts w:ascii="Times New Roman" w:eastAsia="Times New Roman" w:hAnsi="Times New Roman" w:cs="Times New Roman"/>
          <w:sz w:val="24"/>
          <w:szCs w:val="24"/>
          <w:lang w:val="en-GB"/>
        </w:rPr>
        <w:instrText xml:space="preserve"> ADDIN ZOTERO_ITEM CSL_CITATION {"citationID":"G14NxQa7","properties":{"formattedCitation":"\\super 55\\nosupersub{}","plainCitation":"55","noteIndex":0},"citationItems":[{"id":72,"uris":["http://zotero.org/users/7125028/items/44ZI3TGQ"],"itemData":{"id":72,"type":"article-journal","abstract":"Across much of central Europe, the Linearbandkeramik (LBK) represents the first Neolithic communities. Arising in Transdanubia around 5500 cal. BC the LBK spread west to the Rhine within two to three hundred years, carrying elements of a mixed agricultural economy and a relatively homogeneous material culture. Colonisation of new regions during this progress would have required economic adaptations to varied ecological conditions within the landscape. This paper investigates whether such adaptation at a local scale affected health patterns and altered the dietary habits of populations that otherwise shared a common cultural and biological origin. Analysis of non-specific stress (linear enamel hypoplasia, porotic hyperostosis, cribra orbitalia) within five LBK populations from across central Europe in conjunction with published carbon and nitrogen stable isotope data from each site revealed a high prevalence of porotic hyperostosis and cribra orbitalia in western populations that was associated with a lower animal protein intake. Hypoplastic enamel was more frequently observed in eastern populations however, and may reflect geographic differences in childhood morbidity and mortality as a result of variation in social practices relating to weaning. Local socio-economic adaptations within the LBK were therefore an important factor in the exposure of populations to non-specific stress.","container-title":"Scientific Reports","DOI":"10.1038/srep29458","ISSN":"2045-2322","issue":"1","journalAbbreviation":"Sci Rep","language":"en","license":"2016 The Author(s)","note":"Bandiera_abtest: a\nCc_license_type: cc_by\nCg_type: Nature Research Journals\nnumber: 1\nPrimary_atype: Research\npublisher: Nature Publishing Group\nSubject_term: Archaeology;Biological anthropology;Bone development\nSubject_term_id: archaeology;biological-anthropology;bone-development","page":"29458","source":"www.nature.com","title":"Regional differences in health, diet and weaning patterns amongst the first Neolithic farmers of central Europe","volume":"6","author":[{"family":"Ash","given":"Abigail"},{"family":"Francken","given":"Michael"},{"family":"Pap","given":"Ildikó"},{"family":"Tvrdý","given":"Zdeněk"},{"family":"Wahl","given":"Joachim"},{"family":"Pinhasi","given":"Ron"}],"issued":{"date-parts":[["2016",7,7]]}}}],"schema":"https://github.com/citation-style-language/schema/raw/master/csl-citation.json"} </w:instrText>
      </w:r>
      <w:r w:rsidRPr="00261792">
        <w:rPr>
          <w:rFonts w:ascii="Times New Roman" w:eastAsia="Times New Roman" w:hAnsi="Times New Roman" w:cs="Times New Roman"/>
          <w:sz w:val="24"/>
          <w:szCs w:val="24"/>
          <w:lang w:val="en-GB"/>
        </w:rPr>
        <w:fldChar w:fldCharType="separate"/>
      </w:r>
      <w:r w:rsidR="000E7E53" w:rsidRPr="000E7E53">
        <w:rPr>
          <w:rFonts w:ascii="Times New Roman" w:hAnsi="Times New Roman" w:cs="Times New Roman"/>
          <w:sz w:val="24"/>
          <w:szCs w:val="24"/>
          <w:vertAlign w:val="superscript"/>
        </w:rPr>
        <w:t>55</w:t>
      </w:r>
      <w:r w:rsidRPr="00261792">
        <w:rPr>
          <w:rFonts w:ascii="Times New Roman" w:eastAsia="Times New Roman" w:hAnsi="Times New Roman" w:cs="Times New Roman"/>
          <w:sz w:val="24"/>
          <w:szCs w:val="24"/>
          <w:lang w:val="en-GB"/>
        </w:rPr>
        <w:fldChar w:fldCharType="end"/>
      </w:r>
      <w:r w:rsidRPr="00261792">
        <w:rPr>
          <w:rFonts w:ascii="Times New Roman" w:eastAsia="Times New Roman" w:hAnsi="Times New Roman" w:cs="Times New Roman"/>
          <w:sz w:val="24"/>
          <w:szCs w:val="24"/>
          <w:lang w:val="en-GB"/>
        </w:rPr>
        <w:t>.</w:t>
      </w:r>
    </w:p>
    <w:p w14:paraId="2A31E338" w14:textId="2704562A" w:rsidR="00E9554A" w:rsidRPr="00E9554A" w:rsidRDefault="00E12047" w:rsidP="00E9554A">
      <w:pPr>
        <w:spacing w:line="360" w:lineRule="auto"/>
        <w:ind w:firstLine="708"/>
        <w:jc w:val="both"/>
        <w:rPr>
          <w:rFonts w:ascii="Times New Roman" w:eastAsia="Times New Roman" w:hAnsi="Times New Roman" w:cs="Times New Roman"/>
          <w:sz w:val="24"/>
          <w:szCs w:val="24"/>
          <w:lang w:val="en-GB"/>
        </w:rPr>
      </w:pPr>
      <w:r w:rsidRPr="00261792">
        <w:rPr>
          <w:rFonts w:ascii="Times New Roman" w:eastAsia="Times New Roman" w:hAnsi="Times New Roman" w:cs="Times New Roman"/>
          <w:sz w:val="24"/>
          <w:szCs w:val="24"/>
          <w:lang w:val="en-GB"/>
        </w:rPr>
        <w:t xml:space="preserve"> </w:t>
      </w:r>
      <w:r w:rsidR="00E9554A" w:rsidRPr="00E9554A">
        <w:rPr>
          <w:rFonts w:ascii="Times New Roman" w:eastAsia="Times New Roman" w:hAnsi="Times New Roman" w:cs="Times New Roman"/>
          <w:sz w:val="24"/>
          <w:szCs w:val="24"/>
          <w:lang w:val="en-GB"/>
        </w:rPr>
        <w:t xml:space="preserve">In the case of individual 6 </w:t>
      </w:r>
      <w:proofErr w:type="spellStart"/>
      <w:r w:rsidR="00E9554A" w:rsidRPr="00E9554A">
        <w:rPr>
          <w:rFonts w:ascii="Times New Roman" w:eastAsia="Times New Roman" w:hAnsi="Times New Roman" w:cs="Times New Roman"/>
          <w:sz w:val="24"/>
          <w:szCs w:val="24"/>
          <w:lang w:val="en-GB"/>
        </w:rPr>
        <w:t>analyzed</w:t>
      </w:r>
      <w:proofErr w:type="spellEnd"/>
      <w:r w:rsidR="00E9554A" w:rsidRPr="00E9554A">
        <w:rPr>
          <w:rFonts w:ascii="Times New Roman" w:eastAsia="Times New Roman" w:hAnsi="Times New Roman" w:cs="Times New Roman"/>
          <w:sz w:val="24"/>
          <w:szCs w:val="24"/>
          <w:lang w:val="en-GB"/>
        </w:rPr>
        <w:t xml:space="preserve"> at Taforalt, while it is possible that the observed findings align with dietary factors, it is important to exercise caution in interpreting them solely as indicators of nutritional stresses. </w:t>
      </w:r>
      <w:r w:rsidR="00A43D55">
        <w:rPr>
          <w:rFonts w:ascii="Times New Roman" w:eastAsia="Times New Roman" w:hAnsi="Times New Roman" w:cs="Times New Roman"/>
          <w:sz w:val="24"/>
          <w:szCs w:val="24"/>
          <w:lang w:val="en-GB"/>
        </w:rPr>
        <w:t>The stress could also be</w:t>
      </w:r>
      <w:r w:rsidR="00E9554A" w:rsidRPr="00E9554A">
        <w:rPr>
          <w:rFonts w:ascii="Times New Roman" w:eastAsia="Times New Roman" w:hAnsi="Times New Roman" w:cs="Times New Roman"/>
          <w:sz w:val="24"/>
          <w:szCs w:val="24"/>
          <w:lang w:val="en-GB"/>
        </w:rPr>
        <w:t xml:space="preserve"> influenced by factors such as </w:t>
      </w:r>
      <w:r w:rsidR="00A43D55">
        <w:rPr>
          <w:rFonts w:ascii="Times New Roman" w:eastAsia="Times New Roman" w:hAnsi="Times New Roman" w:cs="Times New Roman"/>
          <w:sz w:val="24"/>
          <w:szCs w:val="24"/>
          <w:lang w:val="en-GB"/>
        </w:rPr>
        <w:t>genetic</w:t>
      </w:r>
      <w:r w:rsidR="00E9554A" w:rsidRPr="00E9554A">
        <w:rPr>
          <w:rFonts w:ascii="Times New Roman" w:eastAsia="Times New Roman" w:hAnsi="Times New Roman" w:cs="Times New Roman"/>
          <w:sz w:val="24"/>
          <w:szCs w:val="24"/>
          <w:lang w:val="en-GB"/>
        </w:rPr>
        <w:t>, environmental, or psychological stress</w:t>
      </w:r>
      <w:r w:rsidR="00A43D55">
        <w:rPr>
          <w:rFonts w:ascii="Times New Roman" w:eastAsia="Times New Roman" w:hAnsi="Times New Roman" w:cs="Times New Roman"/>
          <w:sz w:val="24"/>
          <w:szCs w:val="24"/>
          <w:lang w:val="en-GB"/>
        </w:rPr>
        <w:fldChar w:fldCharType="begin"/>
      </w:r>
      <w:r w:rsidR="000E7E53">
        <w:rPr>
          <w:rFonts w:ascii="Times New Roman" w:eastAsia="Times New Roman" w:hAnsi="Times New Roman" w:cs="Times New Roman"/>
          <w:sz w:val="24"/>
          <w:szCs w:val="24"/>
          <w:lang w:val="en-GB"/>
        </w:rPr>
        <w:instrText xml:space="preserve"> ADDIN ZOTERO_ITEM CSL_CITATION {"citationID":"CXYJAjWX","properties":{"formattedCitation":"\\super 57\\nosupersub{}","plainCitation":"57","noteIndex":0},"citationItems":[{"id":907,"uris":["http://zotero.org/users/7125028/items/HXGLD6NV"],"itemData":{"id":907,"type":"article-journal","abstract":"Dental enamel is a specialized tissue that has adapted over millions of years of evolution to enhance the survival of a variety of species. In humans, enamel evolved to form the exterior protective layer for the crown of the exposed tooth crown. Its unique composition, structure, physical properties and attachment to the underlying dentin tissue allow it to be a resilient, although not self-repairing, tissue. The process of enamel formation, known as amelogenesis, involves epithelial-derived cells called ameloblasts that secrete a unique extracellular matrix that influences the structure of the mineralizing enamel crystallites. There are over 115 known genetic conditions affecting amelogenesis that are associated with enamel phenotypes characterized by either a reduction of enamel amount and or mineralization. Amelogenesis involves many processes that are sensitive to perturbation and can be altered by numerous environmental stressors. Genetics, epigenetics, and environment factors can influence enamel formation and play a role in resistance/risk for developmental defects and the complex disease, dental caries. Understanding why and how enamel is affected and the enamel phenotypes seen clinically support diagnostics, prognosis prediction, and the selection of treatment approaches that are appropriate for the specific tissue defects (e.g., deficient amount, decreased mineral, reduced insulation and hypersensitivity). The current level of knowledge regarding the heritable enamel defects is sufficient to develop a new classification system and consensus nosology that effectively communicate the mode of inheritance, molecular defect/pathway, and the functional aberration and resulting enamel phenotype.","container-title":"Genes","DOI":"10.3390/genes14030545","ISSN":"2073-4425","issue":"3","journalAbbreviation":"Genes (Basel)","note":"PMID: 36980818\nPMCID: PMC10048525","page":"545","source":"PubMed Central","title":"Enamel Phenotypes: Genetic and Environmental Determinants","title-short":"Enamel Phenotypes","volume":"14","author":[{"family":"Wright","given":"John Timothy"}],"issued":{"date-parts":[["2023",2,22]]}}}],"schema":"https://github.com/citation-style-language/schema/raw/master/csl-citation.json"} </w:instrText>
      </w:r>
      <w:r w:rsidR="00A43D55">
        <w:rPr>
          <w:rFonts w:ascii="Times New Roman" w:eastAsia="Times New Roman" w:hAnsi="Times New Roman" w:cs="Times New Roman"/>
          <w:sz w:val="24"/>
          <w:szCs w:val="24"/>
          <w:lang w:val="en-GB"/>
        </w:rPr>
        <w:fldChar w:fldCharType="separate"/>
      </w:r>
      <w:r w:rsidR="000E7E53" w:rsidRPr="000E7E53">
        <w:rPr>
          <w:rFonts w:ascii="Times New Roman" w:hAnsi="Times New Roman" w:cs="Times New Roman"/>
          <w:sz w:val="24"/>
          <w:szCs w:val="24"/>
          <w:vertAlign w:val="superscript"/>
        </w:rPr>
        <w:t>57</w:t>
      </w:r>
      <w:r w:rsidR="00A43D55">
        <w:rPr>
          <w:rFonts w:ascii="Times New Roman" w:eastAsia="Times New Roman" w:hAnsi="Times New Roman" w:cs="Times New Roman"/>
          <w:sz w:val="24"/>
          <w:szCs w:val="24"/>
          <w:lang w:val="en-GB"/>
        </w:rPr>
        <w:fldChar w:fldCharType="end"/>
      </w:r>
      <w:r w:rsidR="00E9554A" w:rsidRPr="00E9554A">
        <w:rPr>
          <w:rFonts w:ascii="Times New Roman" w:eastAsia="Times New Roman" w:hAnsi="Times New Roman" w:cs="Times New Roman"/>
          <w:sz w:val="24"/>
          <w:szCs w:val="24"/>
          <w:lang w:val="en-GB"/>
        </w:rPr>
        <w:t>. Thus, considering alternative possibilities, the presence of stress indicators in specific parts of the tooth formed later in an individual's life (e.g., 2nd molar, third molar) could potentially signify other types of stresses.</w:t>
      </w:r>
    </w:p>
    <w:p w14:paraId="11916EA8" w14:textId="67A0DF46" w:rsidR="00E12047" w:rsidRPr="00261792" w:rsidRDefault="00E12047" w:rsidP="00E9554A">
      <w:pPr>
        <w:spacing w:line="360" w:lineRule="auto"/>
        <w:ind w:firstLine="708"/>
        <w:jc w:val="both"/>
        <w:rPr>
          <w:rFonts w:ascii="Times New Roman" w:eastAsia="Times New Roman" w:hAnsi="Times New Roman" w:cs="Times New Roman"/>
          <w:sz w:val="24"/>
          <w:szCs w:val="24"/>
          <w:lang w:val="en-GB"/>
        </w:rPr>
      </w:pPr>
      <w:r w:rsidRPr="00261792">
        <w:rPr>
          <w:rFonts w:ascii="Times New Roman" w:eastAsia="Times New Roman" w:hAnsi="Times New Roman" w:cs="Times New Roman"/>
          <w:sz w:val="24"/>
          <w:szCs w:val="24"/>
          <w:lang w:val="en-GB"/>
        </w:rPr>
        <w:lastRenderedPageBreak/>
        <w:t xml:space="preserve">Compared to the Natufian population, the </w:t>
      </w:r>
      <w:proofErr w:type="spellStart"/>
      <w:r w:rsidRPr="00261792">
        <w:rPr>
          <w:rFonts w:ascii="Times New Roman" w:eastAsia="Times New Roman" w:hAnsi="Times New Roman" w:cs="Times New Roman"/>
          <w:sz w:val="24"/>
          <w:szCs w:val="24"/>
          <w:lang w:val="en-GB"/>
        </w:rPr>
        <w:t>Iberomaurusians</w:t>
      </w:r>
      <w:proofErr w:type="spellEnd"/>
      <w:r w:rsidRPr="00261792">
        <w:rPr>
          <w:rFonts w:ascii="Times New Roman" w:eastAsia="Times New Roman" w:hAnsi="Times New Roman" w:cs="Times New Roman"/>
          <w:sz w:val="24"/>
          <w:szCs w:val="24"/>
          <w:lang w:val="en-GB"/>
        </w:rPr>
        <w:t xml:space="preserve"> from Taforalt exhibit a much higher frequency of caries</w:t>
      </w:r>
      <w:r w:rsidR="005F1358">
        <w:rPr>
          <w:rFonts w:ascii="Times New Roman" w:eastAsia="Times New Roman" w:hAnsi="Times New Roman" w:cs="Times New Roman"/>
          <w:sz w:val="24"/>
          <w:szCs w:val="24"/>
          <w:lang w:val="en-GB"/>
        </w:rPr>
        <w:fldChar w:fldCharType="begin"/>
      </w:r>
      <w:r w:rsidR="000E7E53">
        <w:rPr>
          <w:rFonts w:ascii="Times New Roman" w:eastAsia="Times New Roman" w:hAnsi="Times New Roman" w:cs="Times New Roman"/>
          <w:sz w:val="24"/>
          <w:szCs w:val="24"/>
          <w:lang w:val="en-GB"/>
        </w:rPr>
        <w:instrText xml:space="preserve"> ADDIN ZOTERO_ITEM CSL_CITATION {"citationID":"sL5genWN","properties":{"formattedCitation":"\\super 4,58\\nosupersub{}","plainCitation":"4,58","noteIndex":0},"citationItems":[{"id":4,"uris":["http://zotero.org/users/7125028/items/AVGAHX9Z"],"itemData":{"id":4,"type":"article-journal","container-title":"Proceedings of the National Academy of Sciences","DOI":"10.1073/pnas.1318176111","issue":"3","note":"publisher: Proceedings of the National Academy of Sciences","page":"954-959","source":"pnas.org (Atypon)","title":"Earliest evidence for caries and exploitation of starchy plant foods in Pleistocene hunter-gatherers from Morocco","volume":"111","author":[{"family":"Humphrey","given":"Louise T."},{"family":"De Groote","given":"Isabelle"},{"family":"Morales","given":"Jacob"},{"family":"Barton","given":"Nick"},{"family":"Collcutt","given":"Simon"},{"family":"Bronk Ramsey","given":"Christopher"},{"family":"Bouzouggar","given":"Abdeljalil"}],"issued":{"date-parts":[["2014",1,21]]}}},{"id":9,"uris":["http://zotero.org/users/7125028/items/4A3SSBHU"],"itemData":{"id":9,"type":"thesis","genre":"Theses","publisher":"Université Bordeaux 1","source":"HAL Archives Ouvertes","title":"Pratiques funéraires, paramètres biologiques et identités culturelles au Natoufien : une analyse archéo-anthropologique","title-short":"Pratiques funéraires, paramètres biologiques et identités culturelles au Natoufien","URL":"https://hal.parisnanterre.fr//tel-01997088","author":[{"family":"Bocquentin","given":"Fanny"}],"accessed":{"date-parts":[["2022",9,13]]},"issued":{"date-parts":[["2003",12]]}},"label":"page"}],"schema":"https://github.com/citation-style-language/schema/raw/master/csl-citation.json"} </w:instrText>
      </w:r>
      <w:r w:rsidR="005F1358">
        <w:rPr>
          <w:rFonts w:ascii="Times New Roman" w:eastAsia="Times New Roman" w:hAnsi="Times New Roman" w:cs="Times New Roman"/>
          <w:sz w:val="24"/>
          <w:szCs w:val="24"/>
          <w:lang w:val="en-GB"/>
        </w:rPr>
        <w:fldChar w:fldCharType="separate"/>
      </w:r>
      <w:r w:rsidR="000E7E53" w:rsidRPr="000E7E53">
        <w:rPr>
          <w:rFonts w:ascii="Times New Roman" w:hAnsi="Times New Roman" w:cs="Times New Roman"/>
          <w:sz w:val="24"/>
          <w:szCs w:val="24"/>
          <w:vertAlign w:val="superscript"/>
        </w:rPr>
        <w:t>4,58</w:t>
      </w:r>
      <w:r w:rsidR="005F1358">
        <w:rPr>
          <w:rFonts w:ascii="Times New Roman" w:eastAsia="Times New Roman" w:hAnsi="Times New Roman" w:cs="Times New Roman"/>
          <w:sz w:val="24"/>
          <w:szCs w:val="24"/>
          <w:lang w:val="en-GB"/>
        </w:rPr>
        <w:fldChar w:fldCharType="end"/>
      </w:r>
      <w:r w:rsidRPr="00261792">
        <w:rPr>
          <w:rFonts w:ascii="Times New Roman" w:eastAsia="Times New Roman" w:hAnsi="Times New Roman" w:cs="Times New Roman"/>
          <w:sz w:val="24"/>
          <w:szCs w:val="24"/>
          <w:lang w:val="en-GB"/>
        </w:rPr>
        <w:t xml:space="preserve">. The presence of enamel hypoplasia has been attested in Natufian sites like </w:t>
      </w:r>
      <w:proofErr w:type="spellStart"/>
      <w:r w:rsidRPr="00261792">
        <w:rPr>
          <w:rFonts w:ascii="Times New Roman" w:eastAsia="Times New Roman" w:hAnsi="Times New Roman" w:cs="Times New Roman"/>
          <w:sz w:val="24"/>
          <w:szCs w:val="24"/>
          <w:lang w:val="en-GB"/>
        </w:rPr>
        <w:t>Nahal</w:t>
      </w:r>
      <w:proofErr w:type="spellEnd"/>
      <w:r w:rsidRPr="00261792">
        <w:rPr>
          <w:rFonts w:ascii="Times New Roman" w:eastAsia="Times New Roman" w:hAnsi="Times New Roman" w:cs="Times New Roman"/>
          <w:sz w:val="24"/>
          <w:szCs w:val="24"/>
          <w:lang w:val="en-GB"/>
        </w:rPr>
        <w:t xml:space="preserve"> Oren</w:t>
      </w:r>
      <w:r w:rsidR="00384D11">
        <w:rPr>
          <w:rFonts w:ascii="Times New Roman" w:eastAsia="Times New Roman" w:hAnsi="Times New Roman" w:cs="Times New Roman"/>
          <w:sz w:val="24"/>
          <w:szCs w:val="24"/>
          <w:lang w:val="en-GB"/>
        </w:rPr>
        <w:t xml:space="preserve"> in the Levant</w:t>
      </w:r>
      <w:r w:rsidRPr="00261792">
        <w:rPr>
          <w:rFonts w:ascii="Times New Roman" w:eastAsia="Times New Roman" w:hAnsi="Times New Roman" w:cs="Times New Roman"/>
          <w:sz w:val="24"/>
          <w:szCs w:val="24"/>
          <w:lang w:val="en-GB"/>
        </w:rPr>
        <w:t xml:space="preserve">, mainly between the age of 3-7 years </w:t>
      </w:r>
      <w:r w:rsidR="005F1358">
        <w:rPr>
          <w:rStyle w:val="notion-enable-hover"/>
          <w:rFonts w:ascii="Times New Roman" w:hAnsi="Times New Roman" w:cs="Times New Roman"/>
          <w:bCs/>
          <w:i/>
          <w:iCs/>
          <w:sz w:val="24"/>
          <w:szCs w:val="24"/>
          <w:lang w:val="en-GB"/>
        </w:rPr>
        <w:fldChar w:fldCharType="begin"/>
      </w:r>
      <w:r w:rsidR="000E7E53">
        <w:rPr>
          <w:rStyle w:val="notion-enable-hover"/>
          <w:rFonts w:ascii="Times New Roman" w:hAnsi="Times New Roman" w:cs="Times New Roman"/>
          <w:bCs/>
          <w:i/>
          <w:iCs/>
          <w:sz w:val="24"/>
          <w:szCs w:val="24"/>
          <w:lang w:val="en-GB"/>
        </w:rPr>
        <w:instrText xml:space="preserve"> ADDIN ZOTERO_ITEM CSL_CITATION {"citationID":"Y9HTy167","properties":{"formattedCitation":"\\super 58\\nosupersub{}","plainCitation":"58","noteIndex":0},"citationItems":[{"id":9,"uris":["http://zotero.org/users/7125028/items/4A3SSBHU"],"itemData":{"id":9,"type":"thesis","genre":"Theses","publisher":"Université Bordeaux 1","source":"HAL Archives Ouvertes","title":"Pratiques funéraires, paramètres biologiques et identités culturelles au Natoufien : une analyse archéo-anthropologique","title-short":"Pratiques funéraires, paramètres biologiques et identités culturelles au Natoufien","URL":"https://hal.parisnanterre.fr//tel-01997088","author":[{"family":"Bocquentin","given":"Fanny"}],"accessed":{"date-parts":[["2022",9,13]]},"issued":{"date-parts":[["2003",12]]}}}],"schema":"https://github.com/citation-style-language/schema/raw/master/csl-citation.json"} </w:instrText>
      </w:r>
      <w:r w:rsidR="005F1358">
        <w:rPr>
          <w:rStyle w:val="notion-enable-hover"/>
          <w:rFonts w:ascii="Times New Roman" w:hAnsi="Times New Roman" w:cs="Times New Roman"/>
          <w:bCs/>
          <w:i/>
          <w:iCs/>
          <w:sz w:val="24"/>
          <w:szCs w:val="24"/>
          <w:lang w:val="en-GB"/>
        </w:rPr>
        <w:fldChar w:fldCharType="separate"/>
      </w:r>
      <w:r w:rsidR="000E7E53" w:rsidRPr="000E7E53">
        <w:rPr>
          <w:rFonts w:ascii="Times New Roman" w:hAnsi="Times New Roman" w:cs="Times New Roman"/>
          <w:sz w:val="24"/>
          <w:szCs w:val="24"/>
          <w:vertAlign w:val="superscript"/>
        </w:rPr>
        <w:t>58</w:t>
      </w:r>
      <w:r w:rsidR="005F1358">
        <w:rPr>
          <w:rStyle w:val="notion-enable-hover"/>
          <w:rFonts w:ascii="Times New Roman" w:hAnsi="Times New Roman" w:cs="Times New Roman"/>
          <w:bCs/>
          <w:i/>
          <w:iCs/>
          <w:sz w:val="24"/>
          <w:szCs w:val="24"/>
          <w:lang w:val="en-GB"/>
        </w:rPr>
        <w:fldChar w:fldCharType="end"/>
      </w:r>
      <w:r w:rsidRPr="00261792">
        <w:rPr>
          <w:rFonts w:ascii="Times New Roman" w:eastAsia="Times New Roman" w:hAnsi="Times New Roman" w:cs="Times New Roman"/>
          <w:sz w:val="24"/>
          <w:szCs w:val="24"/>
          <w:lang w:val="en-GB"/>
        </w:rPr>
        <w:t xml:space="preserve">. However, we could not establish the frequency of this stress between Natufians and our samples due to our </w:t>
      </w:r>
      <w:r>
        <w:rPr>
          <w:rFonts w:ascii="Times New Roman" w:eastAsia="Times New Roman" w:hAnsi="Times New Roman" w:cs="Times New Roman"/>
          <w:sz w:val="24"/>
          <w:szCs w:val="24"/>
          <w:lang w:val="en-GB"/>
        </w:rPr>
        <w:t xml:space="preserve">limited </w:t>
      </w:r>
      <w:r w:rsidRPr="00261792">
        <w:rPr>
          <w:rFonts w:ascii="Times New Roman" w:eastAsia="Times New Roman" w:hAnsi="Times New Roman" w:cs="Times New Roman"/>
          <w:sz w:val="24"/>
          <w:szCs w:val="24"/>
          <w:lang w:val="en-GB"/>
        </w:rPr>
        <w:t xml:space="preserve">sample size. </w:t>
      </w:r>
    </w:p>
    <w:p w14:paraId="773D39AC" w14:textId="77777777" w:rsidR="00E12047" w:rsidRPr="00E12047" w:rsidRDefault="00E12047" w:rsidP="00012ABC">
      <w:pPr>
        <w:spacing w:line="360" w:lineRule="auto"/>
        <w:ind w:firstLine="720"/>
        <w:jc w:val="both"/>
        <w:rPr>
          <w:rFonts w:ascii="Times New Roman" w:eastAsia="Times New Roman" w:hAnsi="Times New Roman" w:cs="Times New Roman"/>
          <w:sz w:val="24"/>
          <w:szCs w:val="24"/>
          <w:lang w:val="en-GB"/>
        </w:rPr>
      </w:pPr>
    </w:p>
    <w:p w14:paraId="000000C1" w14:textId="77777777" w:rsidR="00784AF4" w:rsidRPr="00D70D43" w:rsidRDefault="00784AF4">
      <w:pPr>
        <w:ind w:firstLine="720"/>
        <w:rPr>
          <w:rFonts w:ascii="Times New Roman" w:eastAsia="Times New Roman" w:hAnsi="Times New Roman" w:cs="Times New Roman"/>
          <w:b/>
          <w:sz w:val="24"/>
          <w:szCs w:val="24"/>
          <w:highlight w:val="yellow"/>
        </w:rPr>
      </w:pPr>
    </w:p>
    <w:tbl>
      <w:tblPr>
        <w:tblStyle w:val="a0"/>
        <w:tblW w:w="7782" w:type="dxa"/>
        <w:jc w:val="center"/>
        <w:tblInd w:w="0" w:type="dxa"/>
        <w:tblLayout w:type="fixed"/>
        <w:tblLook w:val="0400" w:firstRow="0" w:lastRow="0" w:firstColumn="0" w:lastColumn="0" w:noHBand="0" w:noVBand="1"/>
      </w:tblPr>
      <w:tblGrid>
        <w:gridCol w:w="1326"/>
        <w:gridCol w:w="1060"/>
        <w:gridCol w:w="1720"/>
        <w:gridCol w:w="996"/>
        <w:gridCol w:w="1340"/>
        <w:gridCol w:w="1340"/>
      </w:tblGrid>
      <w:tr w:rsidR="00784AF4" w:rsidRPr="00D70D43" w14:paraId="14EB8A83" w14:textId="77777777">
        <w:trPr>
          <w:trHeight w:val="600"/>
          <w:jc w:val="center"/>
        </w:trPr>
        <w:tc>
          <w:tcPr>
            <w:tcW w:w="1326"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000000C4" w14:textId="77777777" w:rsidR="00784AF4" w:rsidRPr="00D70D43" w:rsidRDefault="0003068C">
            <w:pPr>
              <w:spacing w:after="0" w:line="240"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 xml:space="preserve">Individual </w:t>
            </w:r>
          </w:p>
        </w:tc>
        <w:tc>
          <w:tcPr>
            <w:tcW w:w="1060" w:type="dxa"/>
            <w:tcBorders>
              <w:top w:val="single" w:sz="4" w:space="0" w:color="000000"/>
              <w:left w:val="nil"/>
              <w:bottom w:val="single" w:sz="4" w:space="0" w:color="000000"/>
              <w:right w:val="single" w:sz="4" w:space="0" w:color="000000"/>
            </w:tcBorders>
            <w:shd w:val="clear" w:color="auto" w:fill="F3F3F3"/>
            <w:vAlign w:val="center"/>
          </w:tcPr>
          <w:p w14:paraId="000000C5" w14:textId="77777777" w:rsidR="00784AF4" w:rsidRPr="00D70D43" w:rsidRDefault="0003068C">
            <w:pPr>
              <w:spacing w:after="0" w:line="240"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SEVA</w:t>
            </w:r>
          </w:p>
        </w:tc>
        <w:tc>
          <w:tcPr>
            <w:tcW w:w="1720" w:type="dxa"/>
            <w:tcBorders>
              <w:top w:val="single" w:sz="4" w:space="0" w:color="000000"/>
              <w:left w:val="nil"/>
              <w:bottom w:val="single" w:sz="4" w:space="0" w:color="000000"/>
              <w:right w:val="single" w:sz="4" w:space="0" w:color="000000"/>
            </w:tcBorders>
            <w:shd w:val="clear" w:color="auto" w:fill="F3F3F3"/>
            <w:vAlign w:val="center"/>
          </w:tcPr>
          <w:p w14:paraId="000000C6" w14:textId="7792C37D" w:rsidR="00784AF4" w:rsidRPr="00D70D43" w:rsidRDefault="0017513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ID </w:t>
            </w:r>
          </w:p>
        </w:tc>
        <w:tc>
          <w:tcPr>
            <w:tcW w:w="996" w:type="dxa"/>
            <w:tcBorders>
              <w:top w:val="single" w:sz="4" w:space="0" w:color="000000"/>
              <w:left w:val="nil"/>
              <w:bottom w:val="single" w:sz="4" w:space="0" w:color="000000"/>
              <w:right w:val="single" w:sz="4" w:space="0" w:color="000000"/>
            </w:tcBorders>
            <w:shd w:val="clear" w:color="auto" w:fill="F3F3F3"/>
            <w:vAlign w:val="center"/>
          </w:tcPr>
          <w:p w14:paraId="000000C7" w14:textId="77777777" w:rsidR="00784AF4" w:rsidRPr="00D70D43" w:rsidRDefault="0003068C">
            <w:pPr>
              <w:spacing w:after="0" w:line="240"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 xml:space="preserve">Element </w:t>
            </w:r>
          </w:p>
        </w:tc>
        <w:tc>
          <w:tcPr>
            <w:tcW w:w="1340" w:type="dxa"/>
            <w:tcBorders>
              <w:top w:val="single" w:sz="4" w:space="0" w:color="000000"/>
              <w:left w:val="nil"/>
              <w:bottom w:val="single" w:sz="4" w:space="0" w:color="000000"/>
              <w:right w:val="single" w:sz="4" w:space="0" w:color="000000"/>
            </w:tcBorders>
            <w:shd w:val="clear" w:color="auto" w:fill="F3F3F3"/>
            <w:vAlign w:val="center"/>
          </w:tcPr>
          <w:p w14:paraId="000000C8" w14:textId="77777777" w:rsidR="00784AF4" w:rsidRPr="00D70D43" w:rsidRDefault="0003068C">
            <w:pPr>
              <w:spacing w:after="0" w:line="240"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Sex</w:t>
            </w:r>
          </w:p>
        </w:tc>
        <w:tc>
          <w:tcPr>
            <w:tcW w:w="1340" w:type="dxa"/>
            <w:tcBorders>
              <w:top w:val="single" w:sz="4" w:space="0" w:color="000000"/>
              <w:left w:val="nil"/>
              <w:bottom w:val="single" w:sz="4" w:space="0" w:color="000000"/>
              <w:right w:val="single" w:sz="4" w:space="0" w:color="000000"/>
            </w:tcBorders>
            <w:shd w:val="clear" w:color="auto" w:fill="F3F3F3"/>
            <w:vAlign w:val="center"/>
          </w:tcPr>
          <w:p w14:paraId="000000C9" w14:textId="6FA636C8" w:rsidR="00784AF4" w:rsidRPr="00D70D43" w:rsidRDefault="0003068C">
            <w:pPr>
              <w:spacing w:after="0" w:line="240"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 xml:space="preserve">Age </w:t>
            </w:r>
            <w:r w:rsidR="00524CA2">
              <w:rPr>
                <w:rFonts w:ascii="Times New Roman" w:eastAsia="Times New Roman" w:hAnsi="Times New Roman" w:cs="Times New Roman"/>
                <w:b/>
                <w:sz w:val="24"/>
                <w:szCs w:val="24"/>
              </w:rPr>
              <w:t>at</w:t>
            </w:r>
            <w:r w:rsidRPr="00D70D43">
              <w:rPr>
                <w:rFonts w:ascii="Times New Roman" w:eastAsia="Times New Roman" w:hAnsi="Times New Roman" w:cs="Times New Roman"/>
                <w:b/>
                <w:sz w:val="24"/>
                <w:szCs w:val="24"/>
              </w:rPr>
              <w:t xml:space="preserve"> death </w:t>
            </w:r>
          </w:p>
        </w:tc>
      </w:tr>
      <w:tr w:rsidR="00784AF4" w:rsidRPr="00D70D43" w14:paraId="2B2D896D"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C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C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35961</w:t>
            </w:r>
          </w:p>
        </w:tc>
        <w:tc>
          <w:tcPr>
            <w:tcW w:w="1720" w:type="dxa"/>
            <w:tcBorders>
              <w:top w:val="nil"/>
              <w:left w:val="nil"/>
              <w:bottom w:val="single" w:sz="4" w:space="0" w:color="000000"/>
              <w:right w:val="single" w:sz="4" w:space="0" w:color="000000"/>
            </w:tcBorders>
            <w:shd w:val="clear" w:color="auto" w:fill="auto"/>
            <w:vAlign w:val="center"/>
          </w:tcPr>
          <w:p w14:paraId="000000C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TAF_06_3966</w:t>
            </w:r>
          </w:p>
        </w:tc>
        <w:tc>
          <w:tcPr>
            <w:tcW w:w="996" w:type="dxa"/>
            <w:tcBorders>
              <w:top w:val="nil"/>
              <w:left w:val="nil"/>
              <w:bottom w:val="single" w:sz="4" w:space="0" w:color="000000"/>
              <w:right w:val="single" w:sz="4" w:space="0" w:color="000000"/>
            </w:tcBorders>
            <w:shd w:val="clear" w:color="auto" w:fill="auto"/>
            <w:vAlign w:val="center"/>
          </w:tcPr>
          <w:p w14:paraId="000000C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M2</w:t>
            </w:r>
          </w:p>
        </w:tc>
        <w:tc>
          <w:tcPr>
            <w:tcW w:w="1340" w:type="dxa"/>
            <w:tcBorders>
              <w:top w:val="nil"/>
              <w:left w:val="nil"/>
              <w:bottom w:val="single" w:sz="4" w:space="0" w:color="000000"/>
              <w:right w:val="single" w:sz="4" w:space="0" w:color="000000"/>
            </w:tcBorders>
            <w:shd w:val="clear" w:color="auto" w:fill="auto"/>
            <w:vAlign w:val="center"/>
          </w:tcPr>
          <w:p w14:paraId="000000C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C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0CFDD92B"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D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D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35962</w:t>
            </w:r>
          </w:p>
        </w:tc>
        <w:tc>
          <w:tcPr>
            <w:tcW w:w="1720" w:type="dxa"/>
            <w:tcBorders>
              <w:top w:val="nil"/>
              <w:left w:val="nil"/>
              <w:bottom w:val="single" w:sz="4" w:space="0" w:color="000000"/>
              <w:right w:val="single" w:sz="4" w:space="0" w:color="000000"/>
            </w:tcBorders>
            <w:shd w:val="clear" w:color="auto" w:fill="auto"/>
            <w:vAlign w:val="center"/>
          </w:tcPr>
          <w:p w14:paraId="000000D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TAF_06_4164</w:t>
            </w:r>
          </w:p>
        </w:tc>
        <w:tc>
          <w:tcPr>
            <w:tcW w:w="996" w:type="dxa"/>
            <w:tcBorders>
              <w:top w:val="nil"/>
              <w:left w:val="nil"/>
              <w:bottom w:val="single" w:sz="4" w:space="0" w:color="000000"/>
              <w:right w:val="single" w:sz="4" w:space="0" w:color="000000"/>
            </w:tcBorders>
            <w:shd w:val="clear" w:color="auto" w:fill="auto"/>
            <w:vAlign w:val="center"/>
          </w:tcPr>
          <w:p w14:paraId="000000D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M2</w:t>
            </w:r>
          </w:p>
        </w:tc>
        <w:tc>
          <w:tcPr>
            <w:tcW w:w="1340" w:type="dxa"/>
            <w:tcBorders>
              <w:top w:val="nil"/>
              <w:left w:val="nil"/>
              <w:bottom w:val="single" w:sz="4" w:space="0" w:color="000000"/>
              <w:right w:val="single" w:sz="4" w:space="0" w:color="000000"/>
            </w:tcBorders>
            <w:shd w:val="clear" w:color="auto" w:fill="auto"/>
            <w:vAlign w:val="center"/>
          </w:tcPr>
          <w:p w14:paraId="000000D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D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0180ED70"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D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D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35967</w:t>
            </w:r>
          </w:p>
        </w:tc>
        <w:tc>
          <w:tcPr>
            <w:tcW w:w="1720" w:type="dxa"/>
            <w:tcBorders>
              <w:top w:val="nil"/>
              <w:left w:val="nil"/>
              <w:bottom w:val="single" w:sz="4" w:space="0" w:color="000000"/>
              <w:right w:val="single" w:sz="4" w:space="0" w:color="000000"/>
            </w:tcBorders>
            <w:shd w:val="clear" w:color="auto" w:fill="auto"/>
            <w:vAlign w:val="center"/>
          </w:tcPr>
          <w:p w14:paraId="000000D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TAF_06_3966</w:t>
            </w:r>
          </w:p>
        </w:tc>
        <w:tc>
          <w:tcPr>
            <w:tcW w:w="996" w:type="dxa"/>
            <w:tcBorders>
              <w:top w:val="nil"/>
              <w:left w:val="nil"/>
              <w:bottom w:val="single" w:sz="4" w:space="0" w:color="000000"/>
              <w:right w:val="single" w:sz="4" w:space="0" w:color="000000"/>
            </w:tcBorders>
            <w:shd w:val="clear" w:color="auto" w:fill="auto"/>
            <w:vAlign w:val="center"/>
          </w:tcPr>
          <w:p w14:paraId="000000D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I2</w:t>
            </w:r>
          </w:p>
        </w:tc>
        <w:tc>
          <w:tcPr>
            <w:tcW w:w="1340" w:type="dxa"/>
            <w:tcBorders>
              <w:top w:val="nil"/>
              <w:left w:val="nil"/>
              <w:bottom w:val="single" w:sz="4" w:space="0" w:color="000000"/>
              <w:right w:val="single" w:sz="4" w:space="0" w:color="000000"/>
            </w:tcBorders>
            <w:shd w:val="clear" w:color="auto" w:fill="auto"/>
            <w:vAlign w:val="center"/>
          </w:tcPr>
          <w:p w14:paraId="000000D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D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4A21989C"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D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D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35970</w:t>
            </w:r>
          </w:p>
        </w:tc>
        <w:tc>
          <w:tcPr>
            <w:tcW w:w="1720" w:type="dxa"/>
            <w:tcBorders>
              <w:top w:val="nil"/>
              <w:left w:val="nil"/>
              <w:bottom w:val="single" w:sz="4" w:space="0" w:color="000000"/>
              <w:right w:val="single" w:sz="4" w:space="0" w:color="000000"/>
            </w:tcBorders>
            <w:shd w:val="clear" w:color="auto" w:fill="auto"/>
            <w:vAlign w:val="center"/>
          </w:tcPr>
          <w:p w14:paraId="000000D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TAF_06_3967</w:t>
            </w:r>
          </w:p>
        </w:tc>
        <w:tc>
          <w:tcPr>
            <w:tcW w:w="996" w:type="dxa"/>
            <w:tcBorders>
              <w:top w:val="nil"/>
              <w:left w:val="nil"/>
              <w:bottom w:val="single" w:sz="4" w:space="0" w:color="000000"/>
              <w:right w:val="single" w:sz="4" w:space="0" w:color="000000"/>
            </w:tcBorders>
            <w:shd w:val="clear" w:color="auto" w:fill="auto"/>
            <w:vAlign w:val="center"/>
          </w:tcPr>
          <w:p w14:paraId="000000D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w:t>
            </w:r>
          </w:p>
        </w:tc>
        <w:tc>
          <w:tcPr>
            <w:tcW w:w="1340" w:type="dxa"/>
            <w:tcBorders>
              <w:top w:val="nil"/>
              <w:left w:val="nil"/>
              <w:bottom w:val="single" w:sz="4" w:space="0" w:color="000000"/>
              <w:right w:val="single" w:sz="4" w:space="0" w:color="000000"/>
            </w:tcBorders>
            <w:shd w:val="clear" w:color="auto" w:fill="auto"/>
            <w:vAlign w:val="center"/>
          </w:tcPr>
          <w:p w14:paraId="000000E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E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05E877FC"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E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E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35979</w:t>
            </w:r>
          </w:p>
        </w:tc>
        <w:tc>
          <w:tcPr>
            <w:tcW w:w="1720" w:type="dxa"/>
            <w:tcBorders>
              <w:top w:val="nil"/>
              <w:left w:val="nil"/>
              <w:bottom w:val="single" w:sz="4" w:space="0" w:color="000000"/>
              <w:right w:val="single" w:sz="4" w:space="0" w:color="000000"/>
            </w:tcBorders>
            <w:shd w:val="clear" w:color="auto" w:fill="auto"/>
            <w:vAlign w:val="center"/>
          </w:tcPr>
          <w:p w14:paraId="000000E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TAF_06_4167</w:t>
            </w:r>
          </w:p>
        </w:tc>
        <w:tc>
          <w:tcPr>
            <w:tcW w:w="996" w:type="dxa"/>
            <w:tcBorders>
              <w:top w:val="nil"/>
              <w:left w:val="nil"/>
              <w:bottom w:val="single" w:sz="4" w:space="0" w:color="000000"/>
              <w:right w:val="single" w:sz="4" w:space="0" w:color="000000"/>
            </w:tcBorders>
            <w:shd w:val="clear" w:color="auto" w:fill="auto"/>
            <w:vAlign w:val="center"/>
          </w:tcPr>
          <w:p w14:paraId="000000E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P4</w:t>
            </w:r>
          </w:p>
        </w:tc>
        <w:tc>
          <w:tcPr>
            <w:tcW w:w="1340" w:type="dxa"/>
            <w:tcBorders>
              <w:top w:val="nil"/>
              <w:left w:val="nil"/>
              <w:bottom w:val="single" w:sz="4" w:space="0" w:color="000000"/>
              <w:right w:val="single" w:sz="4" w:space="0" w:color="000000"/>
            </w:tcBorders>
            <w:shd w:val="clear" w:color="auto" w:fill="auto"/>
            <w:vAlign w:val="center"/>
          </w:tcPr>
          <w:p w14:paraId="000000E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E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424FBF49"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E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E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35985</w:t>
            </w:r>
          </w:p>
        </w:tc>
        <w:tc>
          <w:tcPr>
            <w:tcW w:w="1720" w:type="dxa"/>
            <w:tcBorders>
              <w:top w:val="nil"/>
              <w:left w:val="nil"/>
              <w:bottom w:val="single" w:sz="4" w:space="0" w:color="000000"/>
              <w:right w:val="single" w:sz="4" w:space="0" w:color="000000"/>
            </w:tcBorders>
            <w:shd w:val="clear" w:color="auto" w:fill="auto"/>
            <w:vAlign w:val="center"/>
          </w:tcPr>
          <w:p w14:paraId="000000E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TAF_06_H576</w:t>
            </w:r>
          </w:p>
        </w:tc>
        <w:tc>
          <w:tcPr>
            <w:tcW w:w="996" w:type="dxa"/>
            <w:tcBorders>
              <w:top w:val="nil"/>
              <w:left w:val="nil"/>
              <w:bottom w:val="single" w:sz="4" w:space="0" w:color="000000"/>
              <w:right w:val="single" w:sz="4" w:space="0" w:color="000000"/>
            </w:tcBorders>
            <w:shd w:val="clear" w:color="auto" w:fill="auto"/>
            <w:vAlign w:val="center"/>
          </w:tcPr>
          <w:p w14:paraId="000000E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bone</w:t>
            </w:r>
          </w:p>
        </w:tc>
        <w:tc>
          <w:tcPr>
            <w:tcW w:w="1340" w:type="dxa"/>
            <w:tcBorders>
              <w:top w:val="nil"/>
              <w:left w:val="nil"/>
              <w:bottom w:val="single" w:sz="4" w:space="0" w:color="000000"/>
              <w:right w:val="single" w:sz="4" w:space="0" w:color="000000"/>
            </w:tcBorders>
            <w:shd w:val="clear" w:color="auto" w:fill="auto"/>
            <w:vAlign w:val="center"/>
          </w:tcPr>
          <w:p w14:paraId="000000E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E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086A2AF7"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E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E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35963.A</w:t>
            </w:r>
          </w:p>
        </w:tc>
        <w:tc>
          <w:tcPr>
            <w:tcW w:w="1720" w:type="dxa"/>
            <w:tcBorders>
              <w:top w:val="nil"/>
              <w:left w:val="nil"/>
              <w:bottom w:val="single" w:sz="4" w:space="0" w:color="000000"/>
              <w:right w:val="single" w:sz="4" w:space="0" w:color="000000"/>
            </w:tcBorders>
            <w:shd w:val="clear" w:color="auto" w:fill="auto"/>
            <w:vAlign w:val="center"/>
          </w:tcPr>
          <w:p w14:paraId="000000F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TAF_06_4164</w:t>
            </w:r>
          </w:p>
        </w:tc>
        <w:tc>
          <w:tcPr>
            <w:tcW w:w="996" w:type="dxa"/>
            <w:tcBorders>
              <w:top w:val="nil"/>
              <w:left w:val="nil"/>
              <w:bottom w:val="single" w:sz="4" w:space="0" w:color="000000"/>
              <w:right w:val="single" w:sz="4" w:space="0" w:color="000000"/>
            </w:tcBorders>
            <w:shd w:val="clear" w:color="auto" w:fill="auto"/>
            <w:vAlign w:val="center"/>
          </w:tcPr>
          <w:p w14:paraId="000000F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C</w:t>
            </w:r>
          </w:p>
        </w:tc>
        <w:tc>
          <w:tcPr>
            <w:tcW w:w="1340" w:type="dxa"/>
            <w:tcBorders>
              <w:top w:val="nil"/>
              <w:left w:val="nil"/>
              <w:bottom w:val="single" w:sz="4" w:space="0" w:color="000000"/>
              <w:right w:val="single" w:sz="4" w:space="0" w:color="000000"/>
            </w:tcBorders>
            <w:shd w:val="clear" w:color="auto" w:fill="auto"/>
            <w:vAlign w:val="center"/>
          </w:tcPr>
          <w:p w14:paraId="000000F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F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6BFEF83B"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F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w:t>
            </w:r>
          </w:p>
        </w:tc>
        <w:tc>
          <w:tcPr>
            <w:tcW w:w="1060" w:type="dxa"/>
            <w:tcBorders>
              <w:top w:val="nil"/>
              <w:left w:val="nil"/>
              <w:bottom w:val="single" w:sz="4" w:space="0" w:color="000000"/>
              <w:right w:val="single" w:sz="4" w:space="0" w:color="000000"/>
            </w:tcBorders>
            <w:shd w:val="clear" w:color="auto" w:fill="auto"/>
            <w:vAlign w:val="center"/>
          </w:tcPr>
          <w:p w14:paraId="000000F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35963.B</w:t>
            </w:r>
          </w:p>
        </w:tc>
        <w:tc>
          <w:tcPr>
            <w:tcW w:w="1720" w:type="dxa"/>
            <w:tcBorders>
              <w:top w:val="nil"/>
              <w:left w:val="nil"/>
              <w:bottom w:val="single" w:sz="4" w:space="0" w:color="000000"/>
              <w:right w:val="single" w:sz="4" w:space="0" w:color="000000"/>
            </w:tcBorders>
            <w:shd w:val="clear" w:color="auto" w:fill="auto"/>
            <w:vAlign w:val="center"/>
          </w:tcPr>
          <w:p w14:paraId="000000F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TAF_06_4164</w:t>
            </w:r>
          </w:p>
        </w:tc>
        <w:tc>
          <w:tcPr>
            <w:tcW w:w="996" w:type="dxa"/>
            <w:tcBorders>
              <w:top w:val="nil"/>
              <w:left w:val="nil"/>
              <w:bottom w:val="single" w:sz="4" w:space="0" w:color="000000"/>
              <w:right w:val="single" w:sz="4" w:space="0" w:color="000000"/>
            </w:tcBorders>
            <w:shd w:val="clear" w:color="auto" w:fill="auto"/>
            <w:vAlign w:val="center"/>
          </w:tcPr>
          <w:p w14:paraId="000000F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M2</w:t>
            </w:r>
          </w:p>
        </w:tc>
        <w:tc>
          <w:tcPr>
            <w:tcW w:w="1340" w:type="dxa"/>
            <w:tcBorders>
              <w:top w:val="nil"/>
              <w:left w:val="nil"/>
              <w:bottom w:val="single" w:sz="4" w:space="0" w:color="000000"/>
              <w:right w:val="single" w:sz="4" w:space="0" w:color="000000"/>
            </w:tcBorders>
            <w:shd w:val="clear" w:color="auto" w:fill="auto"/>
            <w:vAlign w:val="center"/>
          </w:tcPr>
          <w:p w14:paraId="000000F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0F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20 </w:t>
            </w:r>
            <w:proofErr w:type="spellStart"/>
            <w:r w:rsidRPr="00D70D43">
              <w:rPr>
                <w:rFonts w:ascii="Times New Roman" w:eastAsia="Times New Roman" w:hAnsi="Times New Roman" w:cs="Times New Roman"/>
                <w:sz w:val="24"/>
                <w:szCs w:val="24"/>
              </w:rPr>
              <w:t>yrs</w:t>
            </w:r>
            <w:proofErr w:type="spellEnd"/>
          </w:p>
        </w:tc>
      </w:tr>
      <w:tr w:rsidR="00784AF4" w:rsidRPr="00D70D43" w14:paraId="2F85D99C"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0F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2</w:t>
            </w:r>
          </w:p>
        </w:tc>
        <w:tc>
          <w:tcPr>
            <w:tcW w:w="1060" w:type="dxa"/>
            <w:tcBorders>
              <w:top w:val="nil"/>
              <w:left w:val="nil"/>
              <w:bottom w:val="single" w:sz="4" w:space="0" w:color="000000"/>
              <w:right w:val="single" w:sz="4" w:space="0" w:color="000000"/>
            </w:tcBorders>
            <w:shd w:val="clear" w:color="auto" w:fill="auto"/>
            <w:vAlign w:val="center"/>
          </w:tcPr>
          <w:p w14:paraId="000000F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35981</w:t>
            </w:r>
          </w:p>
        </w:tc>
        <w:tc>
          <w:tcPr>
            <w:tcW w:w="1720" w:type="dxa"/>
            <w:tcBorders>
              <w:top w:val="nil"/>
              <w:left w:val="nil"/>
              <w:bottom w:val="single" w:sz="4" w:space="0" w:color="000000"/>
              <w:right w:val="single" w:sz="4" w:space="0" w:color="000000"/>
            </w:tcBorders>
            <w:shd w:val="clear" w:color="auto" w:fill="auto"/>
            <w:vAlign w:val="center"/>
          </w:tcPr>
          <w:p w14:paraId="000000F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TAF_05_3281</w:t>
            </w:r>
          </w:p>
        </w:tc>
        <w:tc>
          <w:tcPr>
            <w:tcW w:w="996" w:type="dxa"/>
            <w:tcBorders>
              <w:top w:val="nil"/>
              <w:left w:val="nil"/>
              <w:bottom w:val="single" w:sz="4" w:space="0" w:color="000000"/>
              <w:right w:val="single" w:sz="4" w:space="0" w:color="000000"/>
            </w:tcBorders>
            <w:shd w:val="clear" w:color="auto" w:fill="auto"/>
            <w:vAlign w:val="center"/>
          </w:tcPr>
          <w:p w14:paraId="000000F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bone</w:t>
            </w:r>
          </w:p>
        </w:tc>
        <w:tc>
          <w:tcPr>
            <w:tcW w:w="1340" w:type="dxa"/>
            <w:tcBorders>
              <w:top w:val="nil"/>
              <w:left w:val="nil"/>
              <w:bottom w:val="single" w:sz="4" w:space="0" w:color="000000"/>
              <w:right w:val="single" w:sz="4" w:space="0" w:color="000000"/>
            </w:tcBorders>
            <w:shd w:val="clear" w:color="auto" w:fill="auto"/>
            <w:vAlign w:val="center"/>
          </w:tcPr>
          <w:p w14:paraId="000000F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0F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3CF9F7FC"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0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5</w:t>
            </w:r>
          </w:p>
        </w:tc>
        <w:tc>
          <w:tcPr>
            <w:tcW w:w="1060" w:type="dxa"/>
            <w:tcBorders>
              <w:top w:val="nil"/>
              <w:left w:val="nil"/>
              <w:bottom w:val="single" w:sz="4" w:space="0" w:color="000000"/>
              <w:right w:val="single" w:sz="4" w:space="0" w:color="000000"/>
            </w:tcBorders>
            <w:shd w:val="clear" w:color="auto" w:fill="auto"/>
            <w:vAlign w:val="center"/>
          </w:tcPr>
          <w:p w14:paraId="0000010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35977</w:t>
            </w:r>
          </w:p>
        </w:tc>
        <w:tc>
          <w:tcPr>
            <w:tcW w:w="1720" w:type="dxa"/>
            <w:tcBorders>
              <w:top w:val="nil"/>
              <w:left w:val="nil"/>
              <w:bottom w:val="single" w:sz="4" w:space="0" w:color="000000"/>
              <w:right w:val="single" w:sz="4" w:space="0" w:color="000000"/>
            </w:tcBorders>
            <w:shd w:val="clear" w:color="auto" w:fill="auto"/>
            <w:vAlign w:val="center"/>
          </w:tcPr>
          <w:p w14:paraId="0000010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TAF_08_6875</w:t>
            </w:r>
          </w:p>
        </w:tc>
        <w:tc>
          <w:tcPr>
            <w:tcW w:w="996" w:type="dxa"/>
            <w:tcBorders>
              <w:top w:val="nil"/>
              <w:left w:val="nil"/>
              <w:bottom w:val="single" w:sz="4" w:space="0" w:color="000000"/>
              <w:right w:val="single" w:sz="4" w:space="0" w:color="000000"/>
            </w:tcBorders>
            <w:shd w:val="clear" w:color="auto" w:fill="auto"/>
            <w:vAlign w:val="center"/>
          </w:tcPr>
          <w:p w14:paraId="0000010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M2</w:t>
            </w:r>
          </w:p>
        </w:tc>
        <w:tc>
          <w:tcPr>
            <w:tcW w:w="1340" w:type="dxa"/>
            <w:tcBorders>
              <w:top w:val="nil"/>
              <w:left w:val="nil"/>
              <w:bottom w:val="single" w:sz="4" w:space="0" w:color="000000"/>
              <w:right w:val="single" w:sz="4" w:space="0" w:color="000000"/>
            </w:tcBorders>
            <w:shd w:val="clear" w:color="auto" w:fill="auto"/>
            <w:vAlign w:val="center"/>
          </w:tcPr>
          <w:p w14:paraId="0000010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female</w:t>
            </w:r>
          </w:p>
        </w:tc>
        <w:tc>
          <w:tcPr>
            <w:tcW w:w="1340" w:type="dxa"/>
            <w:tcBorders>
              <w:top w:val="nil"/>
              <w:left w:val="nil"/>
              <w:bottom w:val="single" w:sz="4" w:space="0" w:color="000000"/>
              <w:right w:val="single" w:sz="4" w:space="0" w:color="000000"/>
            </w:tcBorders>
            <w:shd w:val="clear" w:color="auto" w:fill="auto"/>
            <w:vAlign w:val="center"/>
          </w:tcPr>
          <w:p w14:paraId="0000010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16-18 </w:t>
            </w:r>
            <w:proofErr w:type="spellStart"/>
            <w:r w:rsidRPr="00D70D43">
              <w:rPr>
                <w:rFonts w:ascii="Times New Roman" w:eastAsia="Times New Roman" w:hAnsi="Times New Roman" w:cs="Times New Roman"/>
                <w:sz w:val="24"/>
                <w:szCs w:val="24"/>
              </w:rPr>
              <w:t>yrs</w:t>
            </w:r>
            <w:proofErr w:type="spellEnd"/>
          </w:p>
        </w:tc>
      </w:tr>
      <w:tr w:rsidR="00784AF4" w:rsidRPr="00D70D43" w14:paraId="5CAB4EDE"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0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5</w:t>
            </w:r>
          </w:p>
        </w:tc>
        <w:tc>
          <w:tcPr>
            <w:tcW w:w="1060" w:type="dxa"/>
            <w:tcBorders>
              <w:top w:val="nil"/>
              <w:left w:val="nil"/>
              <w:bottom w:val="single" w:sz="4" w:space="0" w:color="000000"/>
              <w:right w:val="single" w:sz="4" w:space="0" w:color="000000"/>
            </w:tcBorders>
            <w:shd w:val="clear" w:color="auto" w:fill="auto"/>
            <w:vAlign w:val="center"/>
          </w:tcPr>
          <w:p w14:paraId="0000010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35978</w:t>
            </w:r>
          </w:p>
        </w:tc>
        <w:tc>
          <w:tcPr>
            <w:tcW w:w="1720" w:type="dxa"/>
            <w:tcBorders>
              <w:top w:val="nil"/>
              <w:left w:val="nil"/>
              <w:bottom w:val="single" w:sz="4" w:space="0" w:color="000000"/>
              <w:right w:val="single" w:sz="4" w:space="0" w:color="000000"/>
            </w:tcBorders>
            <w:shd w:val="clear" w:color="auto" w:fill="auto"/>
            <w:vAlign w:val="center"/>
          </w:tcPr>
          <w:p w14:paraId="0000010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TAF_08_6875</w:t>
            </w:r>
          </w:p>
        </w:tc>
        <w:tc>
          <w:tcPr>
            <w:tcW w:w="996" w:type="dxa"/>
            <w:tcBorders>
              <w:top w:val="nil"/>
              <w:left w:val="nil"/>
              <w:bottom w:val="single" w:sz="4" w:space="0" w:color="000000"/>
              <w:right w:val="single" w:sz="4" w:space="0" w:color="000000"/>
            </w:tcBorders>
            <w:shd w:val="clear" w:color="auto" w:fill="auto"/>
            <w:vAlign w:val="center"/>
          </w:tcPr>
          <w:p w14:paraId="0000010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C</w:t>
            </w:r>
          </w:p>
        </w:tc>
        <w:tc>
          <w:tcPr>
            <w:tcW w:w="1340" w:type="dxa"/>
            <w:tcBorders>
              <w:top w:val="nil"/>
              <w:left w:val="nil"/>
              <w:bottom w:val="single" w:sz="4" w:space="0" w:color="000000"/>
              <w:right w:val="single" w:sz="4" w:space="0" w:color="000000"/>
            </w:tcBorders>
            <w:shd w:val="clear" w:color="auto" w:fill="auto"/>
            <w:vAlign w:val="center"/>
          </w:tcPr>
          <w:p w14:paraId="0000010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female</w:t>
            </w:r>
          </w:p>
        </w:tc>
        <w:tc>
          <w:tcPr>
            <w:tcW w:w="1340" w:type="dxa"/>
            <w:tcBorders>
              <w:top w:val="nil"/>
              <w:left w:val="nil"/>
              <w:bottom w:val="single" w:sz="4" w:space="0" w:color="000000"/>
              <w:right w:val="single" w:sz="4" w:space="0" w:color="000000"/>
            </w:tcBorders>
            <w:shd w:val="clear" w:color="auto" w:fill="auto"/>
            <w:vAlign w:val="center"/>
          </w:tcPr>
          <w:p w14:paraId="0000010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16-18 </w:t>
            </w:r>
            <w:proofErr w:type="spellStart"/>
            <w:r w:rsidRPr="00D70D43">
              <w:rPr>
                <w:rFonts w:ascii="Times New Roman" w:eastAsia="Times New Roman" w:hAnsi="Times New Roman" w:cs="Times New Roman"/>
                <w:sz w:val="24"/>
                <w:szCs w:val="24"/>
              </w:rPr>
              <w:t>yrs</w:t>
            </w:r>
            <w:proofErr w:type="spellEnd"/>
          </w:p>
        </w:tc>
      </w:tr>
      <w:tr w:rsidR="00784AF4" w:rsidRPr="00D70D43" w14:paraId="32FD9010"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0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5</w:t>
            </w:r>
          </w:p>
        </w:tc>
        <w:tc>
          <w:tcPr>
            <w:tcW w:w="1060" w:type="dxa"/>
            <w:tcBorders>
              <w:top w:val="nil"/>
              <w:left w:val="nil"/>
              <w:bottom w:val="single" w:sz="4" w:space="0" w:color="000000"/>
              <w:right w:val="single" w:sz="4" w:space="0" w:color="000000"/>
            </w:tcBorders>
            <w:shd w:val="clear" w:color="auto" w:fill="auto"/>
            <w:vAlign w:val="center"/>
          </w:tcPr>
          <w:p w14:paraId="0000010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35971.A</w:t>
            </w:r>
          </w:p>
        </w:tc>
        <w:tc>
          <w:tcPr>
            <w:tcW w:w="1720" w:type="dxa"/>
            <w:tcBorders>
              <w:top w:val="nil"/>
              <w:left w:val="nil"/>
              <w:bottom w:val="single" w:sz="4" w:space="0" w:color="000000"/>
              <w:right w:val="single" w:sz="4" w:space="0" w:color="000000"/>
            </w:tcBorders>
            <w:shd w:val="clear" w:color="auto" w:fill="auto"/>
            <w:vAlign w:val="center"/>
          </w:tcPr>
          <w:p w14:paraId="0000010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TAF_08_6880</w:t>
            </w:r>
          </w:p>
        </w:tc>
        <w:tc>
          <w:tcPr>
            <w:tcW w:w="996" w:type="dxa"/>
            <w:tcBorders>
              <w:top w:val="nil"/>
              <w:left w:val="nil"/>
              <w:bottom w:val="single" w:sz="4" w:space="0" w:color="000000"/>
              <w:right w:val="single" w:sz="4" w:space="0" w:color="000000"/>
            </w:tcBorders>
            <w:shd w:val="clear" w:color="auto" w:fill="auto"/>
            <w:vAlign w:val="center"/>
          </w:tcPr>
          <w:p w14:paraId="0000010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I1</w:t>
            </w:r>
          </w:p>
        </w:tc>
        <w:tc>
          <w:tcPr>
            <w:tcW w:w="1340" w:type="dxa"/>
            <w:tcBorders>
              <w:top w:val="nil"/>
              <w:left w:val="nil"/>
              <w:bottom w:val="single" w:sz="4" w:space="0" w:color="000000"/>
              <w:right w:val="single" w:sz="4" w:space="0" w:color="000000"/>
            </w:tcBorders>
            <w:shd w:val="clear" w:color="auto" w:fill="auto"/>
            <w:vAlign w:val="center"/>
          </w:tcPr>
          <w:p w14:paraId="0000011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female</w:t>
            </w:r>
          </w:p>
        </w:tc>
        <w:tc>
          <w:tcPr>
            <w:tcW w:w="1340" w:type="dxa"/>
            <w:tcBorders>
              <w:top w:val="nil"/>
              <w:left w:val="nil"/>
              <w:bottom w:val="single" w:sz="4" w:space="0" w:color="000000"/>
              <w:right w:val="single" w:sz="4" w:space="0" w:color="000000"/>
            </w:tcBorders>
            <w:shd w:val="clear" w:color="auto" w:fill="auto"/>
            <w:vAlign w:val="center"/>
          </w:tcPr>
          <w:p w14:paraId="0000011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16-18 </w:t>
            </w:r>
            <w:proofErr w:type="spellStart"/>
            <w:r w:rsidRPr="00D70D43">
              <w:rPr>
                <w:rFonts w:ascii="Times New Roman" w:eastAsia="Times New Roman" w:hAnsi="Times New Roman" w:cs="Times New Roman"/>
                <w:sz w:val="24"/>
                <w:szCs w:val="24"/>
              </w:rPr>
              <w:t>yrs</w:t>
            </w:r>
            <w:proofErr w:type="spellEnd"/>
          </w:p>
        </w:tc>
      </w:tr>
      <w:tr w:rsidR="00784AF4" w:rsidRPr="00D70D43" w14:paraId="448C817D"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1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5</w:t>
            </w:r>
          </w:p>
        </w:tc>
        <w:tc>
          <w:tcPr>
            <w:tcW w:w="1060" w:type="dxa"/>
            <w:tcBorders>
              <w:top w:val="nil"/>
              <w:left w:val="nil"/>
              <w:bottom w:val="single" w:sz="4" w:space="0" w:color="000000"/>
              <w:right w:val="single" w:sz="4" w:space="0" w:color="000000"/>
            </w:tcBorders>
            <w:shd w:val="clear" w:color="auto" w:fill="auto"/>
            <w:vAlign w:val="center"/>
          </w:tcPr>
          <w:p w14:paraId="0000011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35971.B</w:t>
            </w:r>
          </w:p>
        </w:tc>
        <w:tc>
          <w:tcPr>
            <w:tcW w:w="1720" w:type="dxa"/>
            <w:tcBorders>
              <w:top w:val="nil"/>
              <w:left w:val="nil"/>
              <w:bottom w:val="single" w:sz="4" w:space="0" w:color="000000"/>
              <w:right w:val="single" w:sz="4" w:space="0" w:color="000000"/>
            </w:tcBorders>
            <w:shd w:val="clear" w:color="auto" w:fill="auto"/>
            <w:vAlign w:val="center"/>
          </w:tcPr>
          <w:p w14:paraId="0000011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TAF_08_6880</w:t>
            </w:r>
          </w:p>
        </w:tc>
        <w:tc>
          <w:tcPr>
            <w:tcW w:w="996" w:type="dxa"/>
            <w:tcBorders>
              <w:top w:val="nil"/>
              <w:left w:val="nil"/>
              <w:bottom w:val="single" w:sz="4" w:space="0" w:color="000000"/>
              <w:right w:val="single" w:sz="4" w:space="0" w:color="000000"/>
            </w:tcBorders>
            <w:shd w:val="clear" w:color="auto" w:fill="auto"/>
            <w:vAlign w:val="center"/>
          </w:tcPr>
          <w:p w14:paraId="0000011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M1</w:t>
            </w:r>
          </w:p>
        </w:tc>
        <w:tc>
          <w:tcPr>
            <w:tcW w:w="1340" w:type="dxa"/>
            <w:tcBorders>
              <w:top w:val="nil"/>
              <w:left w:val="nil"/>
              <w:bottom w:val="single" w:sz="4" w:space="0" w:color="000000"/>
              <w:right w:val="single" w:sz="4" w:space="0" w:color="000000"/>
            </w:tcBorders>
            <w:shd w:val="clear" w:color="auto" w:fill="auto"/>
            <w:vAlign w:val="center"/>
          </w:tcPr>
          <w:p w14:paraId="0000011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female</w:t>
            </w:r>
          </w:p>
        </w:tc>
        <w:tc>
          <w:tcPr>
            <w:tcW w:w="1340" w:type="dxa"/>
            <w:tcBorders>
              <w:top w:val="nil"/>
              <w:left w:val="nil"/>
              <w:bottom w:val="single" w:sz="4" w:space="0" w:color="000000"/>
              <w:right w:val="single" w:sz="4" w:space="0" w:color="000000"/>
            </w:tcBorders>
            <w:shd w:val="clear" w:color="auto" w:fill="auto"/>
            <w:vAlign w:val="center"/>
          </w:tcPr>
          <w:p w14:paraId="0000011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16-18 </w:t>
            </w:r>
            <w:proofErr w:type="spellStart"/>
            <w:r w:rsidRPr="00D70D43">
              <w:rPr>
                <w:rFonts w:ascii="Times New Roman" w:eastAsia="Times New Roman" w:hAnsi="Times New Roman" w:cs="Times New Roman"/>
                <w:sz w:val="24"/>
                <w:szCs w:val="24"/>
              </w:rPr>
              <w:t>yrs</w:t>
            </w:r>
            <w:proofErr w:type="spellEnd"/>
          </w:p>
        </w:tc>
      </w:tr>
      <w:tr w:rsidR="00784AF4" w:rsidRPr="00D70D43" w14:paraId="5D5083C8"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1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6</w:t>
            </w:r>
          </w:p>
        </w:tc>
        <w:tc>
          <w:tcPr>
            <w:tcW w:w="1060" w:type="dxa"/>
            <w:tcBorders>
              <w:top w:val="nil"/>
              <w:left w:val="nil"/>
              <w:bottom w:val="single" w:sz="4" w:space="0" w:color="000000"/>
              <w:right w:val="single" w:sz="4" w:space="0" w:color="000000"/>
            </w:tcBorders>
            <w:shd w:val="clear" w:color="auto" w:fill="auto"/>
            <w:vAlign w:val="center"/>
          </w:tcPr>
          <w:p w14:paraId="0000011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35964</w:t>
            </w:r>
          </w:p>
        </w:tc>
        <w:tc>
          <w:tcPr>
            <w:tcW w:w="1720" w:type="dxa"/>
            <w:tcBorders>
              <w:top w:val="nil"/>
              <w:left w:val="nil"/>
              <w:bottom w:val="single" w:sz="4" w:space="0" w:color="000000"/>
              <w:right w:val="single" w:sz="4" w:space="0" w:color="000000"/>
            </w:tcBorders>
            <w:shd w:val="clear" w:color="auto" w:fill="auto"/>
            <w:vAlign w:val="center"/>
          </w:tcPr>
          <w:p w14:paraId="0000011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TAF_06_4753</w:t>
            </w:r>
          </w:p>
        </w:tc>
        <w:tc>
          <w:tcPr>
            <w:tcW w:w="996" w:type="dxa"/>
            <w:tcBorders>
              <w:top w:val="nil"/>
              <w:left w:val="nil"/>
              <w:bottom w:val="single" w:sz="4" w:space="0" w:color="000000"/>
              <w:right w:val="single" w:sz="4" w:space="0" w:color="000000"/>
            </w:tcBorders>
            <w:shd w:val="clear" w:color="auto" w:fill="auto"/>
            <w:vAlign w:val="center"/>
          </w:tcPr>
          <w:p w14:paraId="0000011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dm2</w:t>
            </w:r>
          </w:p>
        </w:tc>
        <w:tc>
          <w:tcPr>
            <w:tcW w:w="1340" w:type="dxa"/>
            <w:tcBorders>
              <w:top w:val="nil"/>
              <w:left w:val="nil"/>
              <w:bottom w:val="single" w:sz="4" w:space="0" w:color="000000"/>
              <w:right w:val="single" w:sz="4" w:space="0" w:color="000000"/>
            </w:tcBorders>
            <w:shd w:val="clear" w:color="auto" w:fill="auto"/>
            <w:vAlign w:val="center"/>
          </w:tcPr>
          <w:p w14:paraId="0000011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11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6-12 </w:t>
            </w:r>
            <w:proofErr w:type="spellStart"/>
            <w:r w:rsidRPr="00D70D43">
              <w:rPr>
                <w:rFonts w:ascii="Times New Roman" w:eastAsia="Times New Roman" w:hAnsi="Times New Roman" w:cs="Times New Roman"/>
                <w:sz w:val="24"/>
                <w:szCs w:val="24"/>
              </w:rPr>
              <w:t>mo</w:t>
            </w:r>
            <w:proofErr w:type="spellEnd"/>
          </w:p>
        </w:tc>
      </w:tr>
      <w:tr w:rsidR="00784AF4" w:rsidRPr="00D70D43" w14:paraId="74DC74A8"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1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6</w:t>
            </w:r>
          </w:p>
        </w:tc>
        <w:tc>
          <w:tcPr>
            <w:tcW w:w="1060" w:type="dxa"/>
            <w:tcBorders>
              <w:top w:val="nil"/>
              <w:left w:val="nil"/>
              <w:bottom w:val="single" w:sz="4" w:space="0" w:color="000000"/>
              <w:right w:val="single" w:sz="4" w:space="0" w:color="000000"/>
            </w:tcBorders>
            <w:shd w:val="clear" w:color="auto" w:fill="auto"/>
            <w:vAlign w:val="center"/>
          </w:tcPr>
          <w:p w14:paraId="0000011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35965</w:t>
            </w:r>
          </w:p>
        </w:tc>
        <w:tc>
          <w:tcPr>
            <w:tcW w:w="1720" w:type="dxa"/>
            <w:tcBorders>
              <w:top w:val="nil"/>
              <w:left w:val="nil"/>
              <w:bottom w:val="single" w:sz="4" w:space="0" w:color="000000"/>
              <w:right w:val="single" w:sz="4" w:space="0" w:color="000000"/>
            </w:tcBorders>
            <w:shd w:val="clear" w:color="auto" w:fill="auto"/>
            <w:vAlign w:val="center"/>
          </w:tcPr>
          <w:p w14:paraId="0000012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TAF_06_4753</w:t>
            </w:r>
          </w:p>
        </w:tc>
        <w:tc>
          <w:tcPr>
            <w:tcW w:w="996" w:type="dxa"/>
            <w:tcBorders>
              <w:top w:val="nil"/>
              <w:left w:val="nil"/>
              <w:bottom w:val="single" w:sz="4" w:space="0" w:color="000000"/>
              <w:right w:val="single" w:sz="4" w:space="0" w:color="000000"/>
            </w:tcBorders>
            <w:shd w:val="clear" w:color="auto" w:fill="auto"/>
            <w:vAlign w:val="center"/>
          </w:tcPr>
          <w:p w14:paraId="0000012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di1</w:t>
            </w:r>
          </w:p>
        </w:tc>
        <w:tc>
          <w:tcPr>
            <w:tcW w:w="1340" w:type="dxa"/>
            <w:tcBorders>
              <w:top w:val="nil"/>
              <w:left w:val="nil"/>
              <w:bottom w:val="single" w:sz="4" w:space="0" w:color="000000"/>
              <w:right w:val="single" w:sz="4" w:space="0" w:color="000000"/>
            </w:tcBorders>
            <w:shd w:val="clear" w:color="auto" w:fill="auto"/>
            <w:vAlign w:val="center"/>
          </w:tcPr>
          <w:p w14:paraId="0000012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12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6-12 </w:t>
            </w:r>
            <w:proofErr w:type="spellStart"/>
            <w:r w:rsidRPr="00D70D43">
              <w:rPr>
                <w:rFonts w:ascii="Times New Roman" w:eastAsia="Times New Roman" w:hAnsi="Times New Roman" w:cs="Times New Roman"/>
                <w:sz w:val="24"/>
                <w:szCs w:val="24"/>
              </w:rPr>
              <w:t>mo</w:t>
            </w:r>
            <w:proofErr w:type="spellEnd"/>
          </w:p>
        </w:tc>
      </w:tr>
      <w:tr w:rsidR="00784AF4" w:rsidRPr="00D70D43" w14:paraId="48744B8A"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2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6</w:t>
            </w:r>
          </w:p>
        </w:tc>
        <w:tc>
          <w:tcPr>
            <w:tcW w:w="1060" w:type="dxa"/>
            <w:tcBorders>
              <w:top w:val="nil"/>
              <w:left w:val="nil"/>
              <w:bottom w:val="single" w:sz="4" w:space="0" w:color="000000"/>
              <w:right w:val="single" w:sz="4" w:space="0" w:color="000000"/>
            </w:tcBorders>
            <w:shd w:val="clear" w:color="auto" w:fill="auto"/>
            <w:vAlign w:val="center"/>
          </w:tcPr>
          <w:p w14:paraId="0000012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35982</w:t>
            </w:r>
          </w:p>
        </w:tc>
        <w:tc>
          <w:tcPr>
            <w:tcW w:w="1720" w:type="dxa"/>
            <w:tcBorders>
              <w:top w:val="nil"/>
              <w:left w:val="nil"/>
              <w:bottom w:val="single" w:sz="4" w:space="0" w:color="000000"/>
              <w:right w:val="single" w:sz="4" w:space="0" w:color="000000"/>
            </w:tcBorders>
            <w:shd w:val="clear" w:color="auto" w:fill="auto"/>
            <w:vAlign w:val="center"/>
          </w:tcPr>
          <w:p w14:paraId="0000012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TAF_08_5883</w:t>
            </w:r>
          </w:p>
        </w:tc>
        <w:tc>
          <w:tcPr>
            <w:tcW w:w="996" w:type="dxa"/>
            <w:tcBorders>
              <w:top w:val="nil"/>
              <w:left w:val="nil"/>
              <w:bottom w:val="single" w:sz="4" w:space="0" w:color="000000"/>
              <w:right w:val="single" w:sz="4" w:space="0" w:color="000000"/>
            </w:tcBorders>
            <w:shd w:val="clear" w:color="auto" w:fill="auto"/>
            <w:vAlign w:val="center"/>
          </w:tcPr>
          <w:p w14:paraId="0000012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bone</w:t>
            </w:r>
          </w:p>
        </w:tc>
        <w:tc>
          <w:tcPr>
            <w:tcW w:w="1340" w:type="dxa"/>
            <w:tcBorders>
              <w:top w:val="nil"/>
              <w:left w:val="nil"/>
              <w:bottom w:val="single" w:sz="4" w:space="0" w:color="000000"/>
              <w:right w:val="single" w:sz="4" w:space="0" w:color="000000"/>
            </w:tcBorders>
            <w:shd w:val="clear" w:color="auto" w:fill="auto"/>
            <w:vAlign w:val="center"/>
          </w:tcPr>
          <w:p w14:paraId="0000012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12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6-12 </w:t>
            </w:r>
            <w:proofErr w:type="spellStart"/>
            <w:r w:rsidRPr="00D70D43">
              <w:rPr>
                <w:rFonts w:ascii="Times New Roman" w:eastAsia="Times New Roman" w:hAnsi="Times New Roman" w:cs="Times New Roman"/>
                <w:sz w:val="24"/>
                <w:szCs w:val="24"/>
              </w:rPr>
              <w:t>mo</w:t>
            </w:r>
            <w:proofErr w:type="spellEnd"/>
          </w:p>
        </w:tc>
      </w:tr>
      <w:tr w:rsidR="00784AF4" w:rsidRPr="00D70D43" w14:paraId="3082C660"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2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6</w:t>
            </w:r>
          </w:p>
        </w:tc>
        <w:tc>
          <w:tcPr>
            <w:tcW w:w="1060" w:type="dxa"/>
            <w:tcBorders>
              <w:top w:val="nil"/>
              <w:left w:val="nil"/>
              <w:bottom w:val="single" w:sz="4" w:space="0" w:color="000000"/>
              <w:right w:val="single" w:sz="4" w:space="0" w:color="000000"/>
            </w:tcBorders>
            <w:shd w:val="clear" w:color="auto" w:fill="auto"/>
            <w:vAlign w:val="center"/>
          </w:tcPr>
          <w:p w14:paraId="0000012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35983</w:t>
            </w:r>
          </w:p>
        </w:tc>
        <w:tc>
          <w:tcPr>
            <w:tcW w:w="1720" w:type="dxa"/>
            <w:tcBorders>
              <w:top w:val="nil"/>
              <w:left w:val="nil"/>
              <w:bottom w:val="single" w:sz="4" w:space="0" w:color="000000"/>
              <w:right w:val="single" w:sz="4" w:space="0" w:color="000000"/>
            </w:tcBorders>
            <w:shd w:val="clear" w:color="auto" w:fill="auto"/>
            <w:vAlign w:val="center"/>
          </w:tcPr>
          <w:p w14:paraId="0000012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TAF_08_5753</w:t>
            </w:r>
          </w:p>
        </w:tc>
        <w:tc>
          <w:tcPr>
            <w:tcW w:w="996" w:type="dxa"/>
            <w:tcBorders>
              <w:top w:val="nil"/>
              <w:left w:val="nil"/>
              <w:bottom w:val="single" w:sz="4" w:space="0" w:color="000000"/>
              <w:right w:val="single" w:sz="4" w:space="0" w:color="000000"/>
            </w:tcBorders>
            <w:shd w:val="clear" w:color="auto" w:fill="auto"/>
            <w:vAlign w:val="center"/>
          </w:tcPr>
          <w:p w14:paraId="0000012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bone</w:t>
            </w:r>
          </w:p>
        </w:tc>
        <w:tc>
          <w:tcPr>
            <w:tcW w:w="1340" w:type="dxa"/>
            <w:tcBorders>
              <w:top w:val="nil"/>
              <w:left w:val="nil"/>
              <w:bottom w:val="single" w:sz="4" w:space="0" w:color="000000"/>
              <w:right w:val="single" w:sz="4" w:space="0" w:color="000000"/>
            </w:tcBorders>
            <w:shd w:val="clear" w:color="auto" w:fill="auto"/>
            <w:vAlign w:val="center"/>
          </w:tcPr>
          <w:p w14:paraId="0000012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12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6-12 </w:t>
            </w:r>
            <w:proofErr w:type="spellStart"/>
            <w:r w:rsidRPr="00D70D43">
              <w:rPr>
                <w:rFonts w:ascii="Times New Roman" w:eastAsia="Times New Roman" w:hAnsi="Times New Roman" w:cs="Times New Roman"/>
                <w:sz w:val="24"/>
                <w:szCs w:val="24"/>
              </w:rPr>
              <w:t>mo</w:t>
            </w:r>
            <w:proofErr w:type="spellEnd"/>
          </w:p>
        </w:tc>
      </w:tr>
      <w:tr w:rsidR="00784AF4" w:rsidRPr="00D70D43" w14:paraId="2401112A"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3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9</w:t>
            </w:r>
          </w:p>
        </w:tc>
        <w:tc>
          <w:tcPr>
            <w:tcW w:w="1060" w:type="dxa"/>
            <w:tcBorders>
              <w:top w:val="nil"/>
              <w:left w:val="nil"/>
              <w:bottom w:val="single" w:sz="4" w:space="0" w:color="000000"/>
              <w:right w:val="single" w:sz="4" w:space="0" w:color="000000"/>
            </w:tcBorders>
            <w:shd w:val="clear" w:color="auto" w:fill="auto"/>
            <w:vAlign w:val="center"/>
          </w:tcPr>
          <w:p w14:paraId="0000013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35966</w:t>
            </w:r>
          </w:p>
        </w:tc>
        <w:tc>
          <w:tcPr>
            <w:tcW w:w="1720" w:type="dxa"/>
            <w:tcBorders>
              <w:top w:val="nil"/>
              <w:left w:val="nil"/>
              <w:bottom w:val="single" w:sz="4" w:space="0" w:color="000000"/>
              <w:right w:val="single" w:sz="4" w:space="0" w:color="000000"/>
            </w:tcBorders>
            <w:shd w:val="clear" w:color="auto" w:fill="auto"/>
            <w:vAlign w:val="center"/>
          </w:tcPr>
          <w:p w14:paraId="0000013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TAF_09_8111</w:t>
            </w:r>
          </w:p>
        </w:tc>
        <w:tc>
          <w:tcPr>
            <w:tcW w:w="996" w:type="dxa"/>
            <w:tcBorders>
              <w:top w:val="nil"/>
              <w:left w:val="nil"/>
              <w:bottom w:val="single" w:sz="4" w:space="0" w:color="000000"/>
              <w:right w:val="single" w:sz="4" w:space="0" w:color="000000"/>
            </w:tcBorders>
            <w:shd w:val="clear" w:color="auto" w:fill="auto"/>
            <w:vAlign w:val="center"/>
          </w:tcPr>
          <w:p w14:paraId="0000013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di1</w:t>
            </w:r>
          </w:p>
        </w:tc>
        <w:tc>
          <w:tcPr>
            <w:tcW w:w="1340" w:type="dxa"/>
            <w:tcBorders>
              <w:top w:val="nil"/>
              <w:left w:val="nil"/>
              <w:bottom w:val="single" w:sz="4" w:space="0" w:color="000000"/>
              <w:right w:val="single" w:sz="4" w:space="0" w:color="000000"/>
            </w:tcBorders>
            <w:shd w:val="clear" w:color="auto" w:fill="auto"/>
            <w:vAlign w:val="center"/>
          </w:tcPr>
          <w:p w14:paraId="0000013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female</w:t>
            </w:r>
          </w:p>
        </w:tc>
        <w:tc>
          <w:tcPr>
            <w:tcW w:w="1340" w:type="dxa"/>
            <w:tcBorders>
              <w:top w:val="nil"/>
              <w:left w:val="nil"/>
              <w:bottom w:val="single" w:sz="4" w:space="0" w:color="000000"/>
              <w:right w:val="single" w:sz="4" w:space="0" w:color="000000"/>
            </w:tcBorders>
            <w:shd w:val="clear" w:color="auto" w:fill="auto"/>
            <w:vAlign w:val="center"/>
          </w:tcPr>
          <w:p w14:paraId="0000013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5-6 </w:t>
            </w:r>
            <w:proofErr w:type="spellStart"/>
            <w:r w:rsidRPr="00D70D43">
              <w:rPr>
                <w:rFonts w:ascii="Times New Roman" w:eastAsia="Times New Roman" w:hAnsi="Times New Roman" w:cs="Times New Roman"/>
                <w:sz w:val="24"/>
                <w:szCs w:val="24"/>
              </w:rPr>
              <w:t>mo</w:t>
            </w:r>
            <w:proofErr w:type="spellEnd"/>
          </w:p>
        </w:tc>
      </w:tr>
      <w:tr w:rsidR="00784AF4" w:rsidRPr="00D70D43" w14:paraId="57FC4C40"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3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9</w:t>
            </w:r>
          </w:p>
        </w:tc>
        <w:tc>
          <w:tcPr>
            <w:tcW w:w="1060" w:type="dxa"/>
            <w:tcBorders>
              <w:top w:val="nil"/>
              <w:left w:val="nil"/>
              <w:bottom w:val="single" w:sz="4" w:space="0" w:color="000000"/>
              <w:right w:val="single" w:sz="4" w:space="0" w:color="000000"/>
            </w:tcBorders>
            <w:shd w:val="clear" w:color="auto" w:fill="auto"/>
            <w:vAlign w:val="center"/>
          </w:tcPr>
          <w:p w14:paraId="0000013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35966</w:t>
            </w:r>
          </w:p>
        </w:tc>
        <w:tc>
          <w:tcPr>
            <w:tcW w:w="1720" w:type="dxa"/>
            <w:tcBorders>
              <w:top w:val="nil"/>
              <w:left w:val="nil"/>
              <w:bottom w:val="single" w:sz="4" w:space="0" w:color="000000"/>
              <w:right w:val="single" w:sz="4" w:space="0" w:color="000000"/>
            </w:tcBorders>
            <w:shd w:val="clear" w:color="auto" w:fill="auto"/>
            <w:vAlign w:val="center"/>
          </w:tcPr>
          <w:p w14:paraId="0000013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TAF_09_8111</w:t>
            </w:r>
          </w:p>
        </w:tc>
        <w:tc>
          <w:tcPr>
            <w:tcW w:w="996" w:type="dxa"/>
            <w:tcBorders>
              <w:top w:val="nil"/>
              <w:left w:val="nil"/>
              <w:bottom w:val="single" w:sz="4" w:space="0" w:color="000000"/>
              <w:right w:val="single" w:sz="4" w:space="0" w:color="000000"/>
            </w:tcBorders>
            <w:shd w:val="clear" w:color="auto" w:fill="auto"/>
            <w:vAlign w:val="center"/>
          </w:tcPr>
          <w:p w14:paraId="0000013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bone</w:t>
            </w:r>
          </w:p>
        </w:tc>
        <w:tc>
          <w:tcPr>
            <w:tcW w:w="1340" w:type="dxa"/>
            <w:tcBorders>
              <w:top w:val="nil"/>
              <w:left w:val="nil"/>
              <w:bottom w:val="single" w:sz="4" w:space="0" w:color="000000"/>
              <w:right w:val="single" w:sz="4" w:space="0" w:color="000000"/>
            </w:tcBorders>
            <w:shd w:val="clear" w:color="auto" w:fill="auto"/>
            <w:vAlign w:val="center"/>
          </w:tcPr>
          <w:p w14:paraId="0000013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female</w:t>
            </w:r>
          </w:p>
        </w:tc>
        <w:tc>
          <w:tcPr>
            <w:tcW w:w="1340" w:type="dxa"/>
            <w:tcBorders>
              <w:top w:val="nil"/>
              <w:left w:val="nil"/>
              <w:bottom w:val="single" w:sz="4" w:space="0" w:color="000000"/>
              <w:right w:val="single" w:sz="4" w:space="0" w:color="000000"/>
            </w:tcBorders>
            <w:shd w:val="clear" w:color="auto" w:fill="auto"/>
            <w:vAlign w:val="center"/>
          </w:tcPr>
          <w:p w14:paraId="0000013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5-6 </w:t>
            </w:r>
            <w:proofErr w:type="spellStart"/>
            <w:r w:rsidRPr="00D70D43">
              <w:rPr>
                <w:rFonts w:ascii="Times New Roman" w:eastAsia="Times New Roman" w:hAnsi="Times New Roman" w:cs="Times New Roman"/>
                <w:sz w:val="24"/>
                <w:szCs w:val="24"/>
              </w:rPr>
              <w:t>mo</w:t>
            </w:r>
            <w:proofErr w:type="spellEnd"/>
          </w:p>
        </w:tc>
      </w:tr>
      <w:tr w:rsidR="00784AF4" w:rsidRPr="00D70D43" w14:paraId="050624D8"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3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13</w:t>
            </w:r>
          </w:p>
        </w:tc>
        <w:tc>
          <w:tcPr>
            <w:tcW w:w="1060" w:type="dxa"/>
            <w:tcBorders>
              <w:top w:val="nil"/>
              <w:left w:val="nil"/>
              <w:bottom w:val="single" w:sz="4" w:space="0" w:color="000000"/>
              <w:right w:val="single" w:sz="4" w:space="0" w:color="000000"/>
            </w:tcBorders>
            <w:shd w:val="clear" w:color="auto" w:fill="auto"/>
            <w:vAlign w:val="center"/>
          </w:tcPr>
          <w:p w14:paraId="0000013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35975</w:t>
            </w:r>
          </w:p>
        </w:tc>
        <w:tc>
          <w:tcPr>
            <w:tcW w:w="1720" w:type="dxa"/>
            <w:tcBorders>
              <w:top w:val="nil"/>
              <w:left w:val="nil"/>
              <w:bottom w:val="single" w:sz="4" w:space="0" w:color="000000"/>
              <w:right w:val="single" w:sz="4" w:space="0" w:color="000000"/>
            </w:tcBorders>
            <w:shd w:val="clear" w:color="auto" w:fill="auto"/>
            <w:vAlign w:val="center"/>
          </w:tcPr>
          <w:p w14:paraId="0000013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TAF_13_1000</w:t>
            </w:r>
          </w:p>
        </w:tc>
        <w:tc>
          <w:tcPr>
            <w:tcW w:w="996" w:type="dxa"/>
            <w:tcBorders>
              <w:top w:val="nil"/>
              <w:left w:val="nil"/>
              <w:bottom w:val="single" w:sz="4" w:space="0" w:color="000000"/>
              <w:right w:val="single" w:sz="4" w:space="0" w:color="000000"/>
            </w:tcBorders>
            <w:shd w:val="clear" w:color="auto" w:fill="auto"/>
            <w:vAlign w:val="center"/>
          </w:tcPr>
          <w:p w14:paraId="0000013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M3</w:t>
            </w:r>
          </w:p>
        </w:tc>
        <w:tc>
          <w:tcPr>
            <w:tcW w:w="1340" w:type="dxa"/>
            <w:tcBorders>
              <w:top w:val="nil"/>
              <w:left w:val="nil"/>
              <w:bottom w:val="single" w:sz="4" w:space="0" w:color="000000"/>
              <w:right w:val="single" w:sz="4" w:space="0" w:color="000000"/>
            </w:tcBorders>
            <w:shd w:val="clear" w:color="auto" w:fill="auto"/>
            <w:vAlign w:val="center"/>
          </w:tcPr>
          <w:p w14:paraId="0000014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14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18-20 </w:t>
            </w:r>
            <w:proofErr w:type="spellStart"/>
            <w:r w:rsidRPr="00D70D43">
              <w:rPr>
                <w:rFonts w:ascii="Times New Roman" w:eastAsia="Times New Roman" w:hAnsi="Times New Roman" w:cs="Times New Roman"/>
                <w:sz w:val="24"/>
                <w:szCs w:val="24"/>
              </w:rPr>
              <w:t>yrs</w:t>
            </w:r>
            <w:proofErr w:type="spellEnd"/>
          </w:p>
        </w:tc>
      </w:tr>
      <w:tr w:rsidR="00784AF4" w:rsidRPr="00D70D43" w14:paraId="57C03408"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4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13</w:t>
            </w:r>
          </w:p>
        </w:tc>
        <w:tc>
          <w:tcPr>
            <w:tcW w:w="1060" w:type="dxa"/>
            <w:tcBorders>
              <w:top w:val="nil"/>
              <w:left w:val="nil"/>
              <w:bottom w:val="single" w:sz="4" w:space="0" w:color="000000"/>
              <w:right w:val="single" w:sz="4" w:space="0" w:color="000000"/>
            </w:tcBorders>
            <w:shd w:val="clear" w:color="auto" w:fill="auto"/>
            <w:vAlign w:val="center"/>
          </w:tcPr>
          <w:p w14:paraId="0000014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35975</w:t>
            </w:r>
          </w:p>
        </w:tc>
        <w:tc>
          <w:tcPr>
            <w:tcW w:w="1720" w:type="dxa"/>
            <w:tcBorders>
              <w:top w:val="nil"/>
              <w:left w:val="nil"/>
              <w:bottom w:val="single" w:sz="4" w:space="0" w:color="000000"/>
              <w:right w:val="single" w:sz="4" w:space="0" w:color="000000"/>
            </w:tcBorders>
            <w:shd w:val="clear" w:color="auto" w:fill="auto"/>
            <w:vAlign w:val="center"/>
          </w:tcPr>
          <w:p w14:paraId="0000014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TAF_13_1000</w:t>
            </w:r>
          </w:p>
        </w:tc>
        <w:tc>
          <w:tcPr>
            <w:tcW w:w="996" w:type="dxa"/>
            <w:tcBorders>
              <w:top w:val="nil"/>
              <w:left w:val="nil"/>
              <w:bottom w:val="single" w:sz="4" w:space="0" w:color="000000"/>
              <w:right w:val="single" w:sz="4" w:space="0" w:color="000000"/>
            </w:tcBorders>
            <w:shd w:val="clear" w:color="auto" w:fill="auto"/>
            <w:vAlign w:val="center"/>
          </w:tcPr>
          <w:p w14:paraId="0000014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bone</w:t>
            </w:r>
          </w:p>
        </w:tc>
        <w:tc>
          <w:tcPr>
            <w:tcW w:w="1340" w:type="dxa"/>
            <w:tcBorders>
              <w:top w:val="nil"/>
              <w:left w:val="nil"/>
              <w:bottom w:val="single" w:sz="4" w:space="0" w:color="000000"/>
              <w:right w:val="single" w:sz="4" w:space="0" w:color="000000"/>
            </w:tcBorders>
            <w:shd w:val="clear" w:color="auto" w:fill="auto"/>
            <w:vAlign w:val="center"/>
          </w:tcPr>
          <w:p w14:paraId="0000014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14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18-20 </w:t>
            </w:r>
            <w:proofErr w:type="spellStart"/>
            <w:r w:rsidRPr="00D70D43">
              <w:rPr>
                <w:rFonts w:ascii="Times New Roman" w:eastAsia="Times New Roman" w:hAnsi="Times New Roman" w:cs="Times New Roman"/>
                <w:sz w:val="24"/>
                <w:szCs w:val="24"/>
              </w:rPr>
              <w:t>yrs</w:t>
            </w:r>
            <w:proofErr w:type="spellEnd"/>
          </w:p>
        </w:tc>
      </w:tr>
      <w:tr w:rsidR="00784AF4" w:rsidRPr="00D70D43" w14:paraId="0398EE47"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4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14</w:t>
            </w:r>
          </w:p>
        </w:tc>
        <w:tc>
          <w:tcPr>
            <w:tcW w:w="1060" w:type="dxa"/>
            <w:tcBorders>
              <w:top w:val="nil"/>
              <w:left w:val="nil"/>
              <w:bottom w:val="single" w:sz="4" w:space="0" w:color="000000"/>
              <w:right w:val="single" w:sz="4" w:space="0" w:color="000000"/>
            </w:tcBorders>
            <w:shd w:val="clear" w:color="auto" w:fill="auto"/>
            <w:vAlign w:val="center"/>
          </w:tcPr>
          <w:p w14:paraId="0000014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35980</w:t>
            </w:r>
          </w:p>
        </w:tc>
        <w:tc>
          <w:tcPr>
            <w:tcW w:w="1720" w:type="dxa"/>
            <w:tcBorders>
              <w:top w:val="nil"/>
              <w:left w:val="nil"/>
              <w:bottom w:val="single" w:sz="4" w:space="0" w:color="000000"/>
              <w:right w:val="single" w:sz="4" w:space="0" w:color="000000"/>
            </w:tcBorders>
            <w:shd w:val="clear" w:color="auto" w:fill="auto"/>
            <w:vAlign w:val="center"/>
          </w:tcPr>
          <w:p w14:paraId="0000014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TAF_10_10105</w:t>
            </w:r>
          </w:p>
        </w:tc>
        <w:tc>
          <w:tcPr>
            <w:tcW w:w="996" w:type="dxa"/>
            <w:tcBorders>
              <w:top w:val="nil"/>
              <w:left w:val="nil"/>
              <w:bottom w:val="single" w:sz="4" w:space="0" w:color="000000"/>
              <w:right w:val="single" w:sz="4" w:space="0" w:color="000000"/>
            </w:tcBorders>
            <w:shd w:val="clear" w:color="auto" w:fill="auto"/>
            <w:vAlign w:val="center"/>
          </w:tcPr>
          <w:p w14:paraId="0000014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P4</w:t>
            </w:r>
          </w:p>
        </w:tc>
        <w:tc>
          <w:tcPr>
            <w:tcW w:w="1340" w:type="dxa"/>
            <w:tcBorders>
              <w:top w:val="nil"/>
              <w:left w:val="nil"/>
              <w:bottom w:val="single" w:sz="4" w:space="0" w:color="000000"/>
              <w:right w:val="single" w:sz="4" w:space="0" w:color="000000"/>
            </w:tcBorders>
            <w:shd w:val="clear" w:color="auto" w:fill="auto"/>
            <w:vAlign w:val="center"/>
          </w:tcPr>
          <w:p w14:paraId="0000014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male</w:t>
            </w:r>
          </w:p>
        </w:tc>
        <w:tc>
          <w:tcPr>
            <w:tcW w:w="1340" w:type="dxa"/>
            <w:tcBorders>
              <w:top w:val="nil"/>
              <w:left w:val="nil"/>
              <w:bottom w:val="single" w:sz="4" w:space="0" w:color="000000"/>
              <w:right w:val="single" w:sz="4" w:space="0" w:color="000000"/>
            </w:tcBorders>
            <w:shd w:val="clear" w:color="auto" w:fill="auto"/>
            <w:vAlign w:val="center"/>
          </w:tcPr>
          <w:p w14:paraId="0000014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18-20 </w:t>
            </w:r>
            <w:proofErr w:type="spellStart"/>
            <w:r w:rsidRPr="00D70D43">
              <w:rPr>
                <w:rFonts w:ascii="Times New Roman" w:eastAsia="Times New Roman" w:hAnsi="Times New Roman" w:cs="Times New Roman"/>
                <w:sz w:val="24"/>
                <w:szCs w:val="24"/>
              </w:rPr>
              <w:t>yrs</w:t>
            </w:r>
            <w:proofErr w:type="spellEnd"/>
          </w:p>
        </w:tc>
      </w:tr>
      <w:tr w:rsidR="00784AF4" w:rsidRPr="00D70D43" w14:paraId="1CF9C554"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4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4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35959</w:t>
            </w:r>
          </w:p>
        </w:tc>
        <w:tc>
          <w:tcPr>
            <w:tcW w:w="1720" w:type="dxa"/>
            <w:tcBorders>
              <w:top w:val="nil"/>
              <w:left w:val="nil"/>
              <w:bottom w:val="single" w:sz="4" w:space="0" w:color="000000"/>
              <w:right w:val="single" w:sz="4" w:space="0" w:color="000000"/>
            </w:tcBorders>
            <w:shd w:val="clear" w:color="auto" w:fill="auto"/>
            <w:vAlign w:val="center"/>
          </w:tcPr>
          <w:p w14:paraId="0000015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TAF_05_2882</w:t>
            </w:r>
          </w:p>
        </w:tc>
        <w:tc>
          <w:tcPr>
            <w:tcW w:w="996" w:type="dxa"/>
            <w:tcBorders>
              <w:top w:val="nil"/>
              <w:left w:val="nil"/>
              <w:bottom w:val="single" w:sz="4" w:space="0" w:color="000000"/>
              <w:right w:val="single" w:sz="4" w:space="0" w:color="000000"/>
            </w:tcBorders>
            <w:shd w:val="clear" w:color="auto" w:fill="auto"/>
            <w:vAlign w:val="center"/>
          </w:tcPr>
          <w:p w14:paraId="0000015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bone</w:t>
            </w:r>
          </w:p>
        </w:tc>
        <w:tc>
          <w:tcPr>
            <w:tcW w:w="1340" w:type="dxa"/>
            <w:tcBorders>
              <w:top w:val="nil"/>
              <w:left w:val="nil"/>
              <w:bottom w:val="single" w:sz="4" w:space="0" w:color="000000"/>
              <w:right w:val="single" w:sz="4" w:space="0" w:color="000000"/>
            </w:tcBorders>
            <w:shd w:val="clear" w:color="auto" w:fill="auto"/>
            <w:vAlign w:val="center"/>
          </w:tcPr>
          <w:p w14:paraId="0000015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5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3513EF73"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5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5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35959</w:t>
            </w:r>
          </w:p>
        </w:tc>
        <w:tc>
          <w:tcPr>
            <w:tcW w:w="1720" w:type="dxa"/>
            <w:tcBorders>
              <w:top w:val="nil"/>
              <w:left w:val="nil"/>
              <w:bottom w:val="single" w:sz="4" w:space="0" w:color="000000"/>
              <w:right w:val="single" w:sz="4" w:space="0" w:color="000000"/>
            </w:tcBorders>
            <w:shd w:val="clear" w:color="auto" w:fill="auto"/>
            <w:vAlign w:val="center"/>
          </w:tcPr>
          <w:p w14:paraId="0000015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TAF_05_2882</w:t>
            </w:r>
          </w:p>
        </w:tc>
        <w:tc>
          <w:tcPr>
            <w:tcW w:w="996" w:type="dxa"/>
            <w:tcBorders>
              <w:top w:val="nil"/>
              <w:left w:val="nil"/>
              <w:bottom w:val="single" w:sz="4" w:space="0" w:color="000000"/>
              <w:right w:val="single" w:sz="4" w:space="0" w:color="000000"/>
            </w:tcBorders>
            <w:shd w:val="clear" w:color="auto" w:fill="auto"/>
            <w:vAlign w:val="center"/>
          </w:tcPr>
          <w:p w14:paraId="0000015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w:t>
            </w:r>
          </w:p>
        </w:tc>
        <w:tc>
          <w:tcPr>
            <w:tcW w:w="1340" w:type="dxa"/>
            <w:tcBorders>
              <w:top w:val="nil"/>
              <w:left w:val="nil"/>
              <w:bottom w:val="single" w:sz="4" w:space="0" w:color="000000"/>
              <w:right w:val="single" w:sz="4" w:space="0" w:color="000000"/>
            </w:tcBorders>
            <w:shd w:val="clear" w:color="auto" w:fill="auto"/>
            <w:vAlign w:val="center"/>
          </w:tcPr>
          <w:p w14:paraId="0000015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5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58D5D0A3"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5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5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35960</w:t>
            </w:r>
          </w:p>
        </w:tc>
        <w:tc>
          <w:tcPr>
            <w:tcW w:w="1720" w:type="dxa"/>
            <w:tcBorders>
              <w:top w:val="nil"/>
              <w:left w:val="nil"/>
              <w:bottom w:val="single" w:sz="4" w:space="0" w:color="000000"/>
              <w:right w:val="single" w:sz="4" w:space="0" w:color="000000"/>
            </w:tcBorders>
            <w:shd w:val="clear" w:color="auto" w:fill="auto"/>
            <w:vAlign w:val="center"/>
          </w:tcPr>
          <w:p w14:paraId="0000015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TAF_05_3380</w:t>
            </w:r>
          </w:p>
        </w:tc>
        <w:tc>
          <w:tcPr>
            <w:tcW w:w="996" w:type="dxa"/>
            <w:tcBorders>
              <w:top w:val="nil"/>
              <w:left w:val="nil"/>
              <w:bottom w:val="single" w:sz="4" w:space="0" w:color="000000"/>
              <w:right w:val="single" w:sz="4" w:space="0" w:color="000000"/>
            </w:tcBorders>
            <w:shd w:val="clear" w:color="auto" w:fill="auto"/>
            <w:vAlign w:val="center"/>
          </w:tcPr>
          <w:p w14:paraId="0000015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I2</w:t>
            </w:r>
          </w:p>
        </w:tc>
        <w:tc>
          <w:tcPr>
            <w:tcW w:w="1340" w:type="dxa"/>
            <w:tcBorders>
              <w:top w:val="nil"/>
              <w:left w:val="nil"/>
              <w:bottom w:val="single" w:sz="4" w:space="0" w:color="000000"/>
              <w:right w:val="single" w:sz="4" w:space="0" w:color="000000"/>
            </w:tcBorders>
            <w:shd w:val="clear" w:color="auto" w:fill="auto"/>
            <w:vAlign w:val="center"/>
          </w:tcPr>
          <w:p w14:paraId="0000015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5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1DB1F075"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6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lastRenderedPageBreak/>
              <w:t>unassigned</w:t>
            </w:r>
          </w:p>
        </w:tc>
        <w:tc>
          <w:tcPr>
            <w:tcW w:w="1060" w:type="dxa"/>
            <w:tcBorders>
              <w:top w:val="nil"/>
              <w:left w:val="nil"/>
              <w:bottom w:val="single" w:sz="4" w:space="0" w:color="000000"/>
              <w:right w:val="single" w:sz="4" w:space="0" w:color="000000"/>
            </w:tcBorders>
            <w:shd w:val="clear" w:color="auto" w:fill="auto"/>
            <w:vAlign w:val="center"/>
          </w:tcPr>
          <w:p w14:paraId="0000016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35968</w:t>
            </w:r>
          </w:p>
        </w:tc>
        <w:tc>
          <w:tcPr>
            <w:tcW w:w="1720" w:type="dxa"/>
            <w:tcBorders>
              <w:top w:val="nil"/>
              <w:left w:val="nil"/>
              <w:bottom w:val="single" w:sz="4" w:space="0" w:color="000000"/>
              <w:right w:val="single" w:sz="4" w:space="0" w:color="000000"/>
            </w:tcBorders>
            <w:shd w:val="clear" w:color="auto" w:fill="auto"/>
            <w:vAlign w:val="center"/>
          </w:tcPr>
          <w:p w14:paraId="0000016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TAF_04_1031</w:t>
            </w:r>
          </w:p>
        </w:tc>
        <w:tc>
          <w:tcPr>
            <w:tcW w:w="996" w:type="dxa"/>
            <w:tcBorders>
              <w:top w:val="nil"/>
              <w:left w:val="nil"/>
              <w:bottom w:val="single" w:sz="4" w:space="0" w:color="000000"/>
              <w:right w:val="single" w:sz="4" w:space="0" w:color="000000"/>
            </w:tcBorders>
            <w:shd w:val="clear" w:color="auto" w:fill="auto"/>
            <w:vAlign w:val="center"/>
          </w:tcPr>
          <w:p w14:paraId="0000016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M3</w:t>
            </w:r>
          </w:p>
        </w:tc>
        <w:tc>
          <w:tcPr>
            <w:tcW w:w="1340" w:type="dxa"/>
            <w:tcBorders>
              <w:top w:val="nil"/>
              <w:left w:val="nil"/>
              <w:bottom w:val="single" w:sz="4" w:space="0" w:color="000000"/>
              <w:right w:val="single" w:sz="4" w:space="0" w:color="000000"/>
            </w:tcBorders>
            <w:shd w:val="clear" w:color="auto" w:fill="auto"/>
            <w:vAlign w:val="center"/>
          </w:tcPr>
          <w:p w14:paraId="0000016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6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4E6279EA"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6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6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35969</w:t>
            </w:r>
          </w:p>
        </w:tc>
        <w:tc>
          <w:tcPr>
            <w:tcW w:w="1720" w:type="dxa"/>
            <w:tcBorders>
              <w:top w:val="nil"/>
              <w:left w:val="nil"/>
              <w:bottom w:val="single" w:sz="4" w:space="0" w:color="000000"/>
              <w:right w:val="single" w:sz="4" w:space="0" w:color="000000"/>
            </w:tcBorders>
            <w:shd w:val="clear" w:color="auto" w:fill="auto"/>
            <w:vAlign w:val="center"/>
          </w:tcPr>
          <w:p w14:paraId="0000016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TAF_05_3685</w:t>
            </w:r>
          </w:p>
        </w:tc>
        <w:tc>
          <w:tcPr>
            <w:tcW w:w="996" w:type="dxa"/>
            <w:tcBorders>
              <w:top w:val="nil"/>
              <w:left w:val="nil"/>
              <w:bottom w:val="single" w:sz="4" w:space="0" w:color="000000"/>
              <w:right w:val="single" w:sz="4" w:space="0" w:color="000000"/>
            </w:tcBorders>
            <w:shd w:val="clear" w:color="auto" w:fill="auto"/>
            <w:vAlign w:val="center"/>
          </w:tcPr>
          <w:p w14:paraId="0000016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I2</w:t>
            </w:r>
          </w:p>
        </w:tc>
        <w:tc>
          <w:tcPr>
            <w:tcW w:w="1340" w:type="dxa"/>
            <w:tcBorders>
              <w:top w:val="nil"/>
              <w:left w:val="nil"/>
              <w:bottom w:val="single" w:sz="4" w:space="0" w:color="000000"/>
              <w:right w:val="single" w:sz="4" w:space="0" w:color="000000"/>
            </w:tcBorders>
            <w:shd w:val="clear" w:color="auto" w:fill="auto"/>
            <w:vAlign w:val="center"/>
          </w:tcPr>
          <w:p w14:paraId="0000016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6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32EBF5CD"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6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6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35972</w:t>
            </w:r>
          </w:p>
        </w:tc>
        <w:tc>
          <w:tcPr>
            <w:tcW w:w="1720" w:type="dxa"/>
            <w:tcBorders>
              <w:top w:val="nil"/>
              <w:left w:val="nil"/>
              <w:bottom w:val="single" w:sz="4" w:space="0" w:color="000000"/>
              <w:right w:val="single" w:sz="4" w:space="0" w:color="000000"/>
            </w:tcBorders>
            <w:shd w:val="clear" w:color="auto" w:fill="auto"/>
            <w:vAlign w:val="center"/>
          </w:tcPr>
          <w:p w14:paraId="0000016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TAF_06_4224 </w:t>
            </w:r>
          </w:p>
        </w:tc>
        <w:tc>
          <w:tcPr>
            <w:tcW w:w="996" w:type="dxa"/>
            <w:tcBorders>
              <w:top w:val="nil"/>
              <w:left w:val="nil"/>
              <w:bottom w:val="single" w:sz="4" w:space="0" w:color="000000"/>
              <w:right w:val="single" w:sz="4" w:space="0" w:color="000000"/>
            </w:tcBorders>
            <w:shd w:val="clear" w:color="auto" w:fill="auto"/>
            <w:vAlign w:val="center"/>
          </w:tcPr>
          <w:p w14:paraId="0000016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P3</w:t>
            </w:r>
          </w:p>
        </w:tc>
        <w:tc>
          <w:tcPr>
            <w:tcW w:w="1340" w:type="dxa"/>
            <w:tcBorders>
              <w:top w:val="nil"/>
              <w:left w:val="nil"/>
              <w:bottom w:val="single" w:sz="4" w:space="0" w:color="000000"/>
              <w:right w:val="single" w:sz="4" w:space="0" w:color="000000"/>
            </w:tcBorders>
            <w:shd w:val="clear" w:color="auto" w:fill="auto"/>
            <w:vAlign w:val="center"/>
          </w:tcPr>
          <w:p w14:paraId="0000017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7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2141939D"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7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7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35973</w:t>
            </w:r>
          </w:p>
        </w:tc>
        <w:tc>
          <w:tcPr>
            <w:tcW w:w="1720" w:type="dxa"/>
            <w:tcBorders>
              <w:top w:val="nil"/>
              <w:left w:val="nil"/>
              <w:bottom w:val="single" w:sz="4" w:space="0" w:color="000000"/>
              <w:right w:val="single" w:sz="4" w:space="0" w:color="000000"/>
            </w:tcBorders>
            <w:shd w:val="clear" w:color="auto" w:fill="auto"/>
            <w:vAlign w:val="center"/>
          </w:tcPr>
          <w:p w14:paraId="0000017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TAF_05_3144</w:t>
            </w:r>
          </w:p>
        </w:tc>
        <w:tc>
          <w:tcPr>
            <w:tcW w:w="996" w:type="dxa"/>
            <w:tcBorders>
              <w:top w:val="nil"/>
              <w:left w:val="nil"/>
              <w:bottom w:val="single" w:sz="4" w:space="0" w:color="000000"/>
              <w:right w:val="single" w:sz="4" w:space="0" w:color="000000"/>
            </w:tcBorders>
            <w:shd w:val="clear" w:color="auto" w:fill="auto"/>
            <w:vAlign w:val="center"/>
          </w:tcPr>
          <w:p w14:paraId="0000017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I2</w:t>
            </w:r>
          </w:p>
        </w:tc>
        <w:tc>
          <w:tcPr>
            <w:tcW w:w="1340" w:type="dxa"/>
            <w:tcBorders>
              <w:top w:val="nil"/>
              <w:left w:val="nil"/>
              <w:bottom w:val="single" w:sz="4" w:space="0" w:color="000000"/>
              <w:right w:val="single" w:sz="4" w:space="0" w:color="000000"/>
            </w:tcBorders>
            <w:shd w:val="clear" w:color="auto" w:fill="auto"/>
            <w:vAlign w:val="center"/>
          </w:tcPr>
          <w:p w14:paraId="0000017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7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6BC8B537"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7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7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35974</w:t>
            </w:r>
          </w:p>
        </w:tc>
        <w:tc>
          <w:tcPr>
            <w:tcW w:w="1720" w:type="dxa"/>
            <w:tcBorders>
              <w:top w:val="nil"/>
              <w:left w:val="nil"/>
              <w:bottom w:val="single" w:sz="4" w:space="0" w:color="000000"/>
              <w:right w:val="single" w:sz="4" w:space="0" w:color="000000"/>
            </w:tcBorders>
            <w:shd w:val="clear" w:color="auto" w:fill="auto"/>
            <w:vAlign w:val="center"/>
          </w:tcPr>
          <w:p w14:paraId="0000017A"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TAF_06_3907</w:t>
            </w:r>
          </w:p>
        </w:tc>
        <w:tc>
          <w:tcPr>
            <w:tcW w:w="996" w:type="dxa"/>
            <w:tcBorders>
              <w:top w:val="nil"/>
              <w:left w:val="nil"/>
              <w:bottom w:val="single" w:sz="4" w:space="0" w:color="000000"/>
              <w:right w:val="single" w:sz="4" w:space="0" w:color="000000"/>
            </w:tcBorders>
            <w:shd w:val="clear" w:color="auto" w:fill="auto"/>
            <w:vAlign w:val="center"/>
          </w:tcPr>
          <w:p w14:paraId="0000017B"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M3</w:t>
            </w:r>
          </w:p>
        </w:tc>
        <w:tc>
          <w:tcPr>
            <w:tcW w:w="1340" w:type="dxa"/>
            <w:tcBorders>
              <w:top w:val="nil"/>
              <w:left w:val="nil"/>
              <w:bottom w:val="single" w:sz="4" w:space="0" w:color="000000"/>
              <w:right w:val="single" w:sz="4" w:space="0" w:color="000000"/>
            </w:tcBorders>
            <w:shd w:val="clear" w:color="auto" w:fill="auto"/>
            <w:vAlign w:val="center"/>
          </w:tcPr>
          <w:p w14:paraId="0000017C"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7D"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0DDCEE41"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7E"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7F"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35976</w:t>
            </w:r>
          </w:p>
        </w:tc>
        <w:tc>
          <w:tcPr>
            <w:tcW w:w="1720" w:type="dxa"/>
            <w:tcBorders>
              <w:top w:val="nil"/>
              <w:left w:val="nil"/>
              <w:bottom w:val="single" w:sz="4" w:space="0" w:color="000000"/>
              <w:right w:val="single" w:sz="4" w:space="0" w:color="000000"/>
            </w:tcBorders>
            <w:shd w:val="clear" w:color="auto" w:fill="auto"/>
            <w:vAlign w:val="center"/>
          </w:tcPr>
          <w:p w14:paraId="00000180"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TAF_05_3613</w:t>
            </w:r>
          </w:p>
        </w:tc>
        <w:tc>
          <w:tcPr>
            <w:tcW w:w="996" w:type="dxa"/>
            <w:tcBorders>
              <w:top w:val="nil"/>
              <w:left w:val="nil"/>
              <w:bottom w:val="single" w:sz="4" w:space="0" w:color="000000"/>
              <w:right w:val="single" w:sz="4" w:space="0" w:color="000000"/>
            </w:tcBorders>
            <w:shd w:val="clear" w:color="auto" w:fill="auto"/>
            <w:vAlign w:val="center"/>
          </w:tcPr>
          <w:p w14:paraId="00000181"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M</w:t>
            </w:r>
          </w:p>
        </w:tc>
        <w:tc>
          <w:tcPr>
            <w:tcW w:w="1340" w:type="dxa"/>
            <w:tcBorders>
              <w:top w:val="nil"/>
              <w:left w:val="nil"/>
              <w:bottom w:val="single" w:sz="4" w:space="0" w:color="000000"/>
              <w:right w:val="single" w:sz="4" w:space="0" w:color="000000"/>
            </w:tcBorders>
            <w:shd w:val="clear" w:color="auto" w:fill="auto"/>
            <w:vAlign w:val="center"/>
          </w:tcPr>
          <w:p w14:paraId="00000182"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83"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r w:rsidR="00784AF4" w:rsidRPr="00D70D43" w14:paraId="6FACDD0C" w14:textId="77777777">
        <w:trPr>
          <w:trHeight w:val="345"/>
          <w:jc w:val="center"/>
        </w:trPr>
        <w:tc>
          <w:tcPr>
            <w:tcW w:w="1326" w:type="dxa"/>
            <w:tcBorders>
              <w:top w:val="nil"/>
              <w:left w:val="single" w:sz="4" w:space="0" w:color="000000"/>
              <w:bottom w:val="single" w:sz="4" w:space="0" w:color="000000"/>
              <w:right w:val="single" w:sz="4" w:space="0" w:color="000000"/>
            </w:tcBorders>
            <w:shd w:val="clear" w:color="auto" w:fill="auto"/>
            <w:vAlign w:val="center"/>
          </w:tcPr>
          <w:p w14:paraId="00000184"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unassigned</w:t>
            </w:r>
          </w:p>
        </w:tc>
        <w:tc>
          <w:tcPr>
            <w:tcW w:w="1060" w:type="dxa"/>
            <w:tcBorders>
              <w:top w:val="nil"/>
              <w:left w:val="nil"/>
              <w:bottom w:val="single" w:sz="4" w:space="0" w:color="000000"/>
              <w:right w:val="single" w:sz="4" w:space="0" w:color="000000"/>
            </w:tcBorders>
            <w:shd w:val="clear" w:color="auto" w:fill="auto"/>
            <w:vAlign w:val="center"/>
          </w:tcPr>
          <w:p w14:paraId="00000185"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34561</w:t>
            </w:r>
          </w:p>
        </w:tc>
        <w:tc>
          <w:tcPr>
            <w:tcW w:w="1720" w:type="dxa"/>
            <w:tcBorders>
              <w:top w:val="nil"/>
              <w:left w:val="nil"/>
              <w:bottom w:val="single" w:sz="4" w:space="0" w:color="000000"/>
              <w:right w:val="single" w:sz="4" w:space="0" w:color="000000"/>
            </w:tcBorders>
            <w:shd w:val="clear" w:color="auto" w:fill="auto"/>
            <w:vAlign w:val="center"/>
          </w:tcPr>
          <w:p w14:paraId="00000186"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TAF_10_11025</w:t>
            </w:r>
          </w:p>
        </w:tc>
        <w:tc>
          <w:tcPr>
            <w:tcW w:w="996" w:type="dxa"/>
            <w:tcBorders>
              <w:top w:val="nil"/>
              <w:left w:val="nil"/>
              <w:bottom w:val="single" w:sz="4" w:space="0" w:color="000000"/>
              <w:right w:val="single" w:sz="4" w:space="0" w:color="000000"/>
            </w:tcBorders>
            <w:shd w:val="clear" w:color="auto" w:fill="auto"/>
            <w:vAlign w:val="center"/>
          </w:tcPr>
          <w:p w14:paraId="00000187"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I1</w:t>
            </w:r>
          </w:p>
        </w:tc>
        <w:tc>
          <w:tcPr>
            <w:tcW w:w="1340" w:type="dxa"/>
            <w:tcBorders>
              <w:top w:val="nil"/>
              <w:left w:val="nil"/>
              <w:bottom w:val="single" w:sz="4" w:space="0" w:color="000000"/>
              <w:right w:val="single" w:sz="4" w:space="0" w:color="000000"/>
            </w:tcBorders>
            <w:shd w:val="clear" w:color="auto" w:fill="auto"/>
            <w:vAlign w:val="center"/>
          </w:tcPr>
          <w:p w14:paraId="00000188"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c>
          <w:tcPr>
            <w:tcW w:w="1340" w:type="dxa"/>
            <w:tcBorders>
              <w:top w:val="nil"/>
              <w:left w:val="nil"/>
              <w:bottom w:val="single" w:sz="4" w:space="0" w:color="000000"/>
              <w:right w:val="single" w:sz="4" w:space="0" w:color="000000"/>
            </w:tcBorders>
            <w:shd w:val="clear" w:color="auto" w:fill="auto"/>
            <w:vAlign w:val="center"/>
          </w:tcPr>
          <w:p w14:paraId="00000189" w14:textId="77777777" w:rsidR="00784AF4" w:rsidRPr="00D70D43" w:rsidRDefault="0003068C">
            <w:pPr>
              <w:spacing w:after="0" w:line="24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ND</w:t>
            </w:r>
          </w:p>
        </w:tc>
      </w:tr>
    </w:tbl>
    <w:p w14:paraId="1902E5F8" w14:textId="77777777" w:rsidR="00022984" w:rsidRDefault="00022984" w:rsidP="00257581">
      <w:pPr>
        <w:spacing w:after="0" w:line="240" w:lineRule="auto"/>
        <w:rPr>
          <w:rFonts w:ascii="Times New Roman" w:eastAsia="Times New Roman" w:hAnsi="Times New Roman" w:cs="Times New Roman"/>
          <w:b/>
          <w:sz w:val="24"/>
          <w:szCs w:val="24"/>
        </w:rPr>
      </w:pPr>
    </w:p>
    <w:p w14:paraId="56632005" w14:textId="2D8AC35C" w:rsidR="00257581" w:rsidRPr="00812589" w:rsidRDefault="00257581" w:rsidP="000C62A4">
      <w:pPr>
        <w:spacing w:after="0" w:line="240" w:lineRule="auto"/>
        <w:rPr>
          <w:rFonts w:ascii="Times New Roman" w:eastAsia="Times New Roman" w:hAnsi="Times New Roman" w:cs="Times New Roman"/>
          <w:sz w:val="24"/>
          <w:szCs w:val="24"/>
        </w:rPr>
      </w:pPr>
      <w:bookmarkStart w:id="14" w:name="_Hlk137039527"/>
      <w:r w:rsidRPr="00812589">
        <w:rPr>
          <w:rFonts w:ascii="Times New Roman" w:eastAsia="Times New Roman" w:hAnsi="Times New Roman" w:cs="Times New Roman"/>
          <w:b/>
          <w:sz w:val="24"/>
          <w:szCs w:val="24"/>
        </w:rPr>
        <w:t>Table S</w:t>
      </w:r>
      <w:r w:rsidR="00812589" w:rsidRPr="00812589">
        <w:rPr>
          <w:rFonts w:ascii="Times New Roman" w:eastAsia="Times New Roman" w:hAnsi="Times New Roman" w:cs="Times New Roman"/>
          <w:b/>
          <w:sz w:val="24"/>
          <w:szCs w:val="24"/>
        </w:rPr>
        <w:t>3.2</w:t>
      </w:r>
      <w:r w:rsidRPr="00812589">
        <w:rPr>
          <w:rFonts w:ascii="Times New Roman" w:eastAsia="Times New Roman" w:hAnsi="Times New Roman" w:cs="Times New Roman"/>
          <w:b/>
          <w:sz w:val="24"/>
          <w:szCs w:val="24"/>
        </w:rPr>
        <w:t xml:space="preserve">: </w:t>
      </w:r>
      <w:r w:rsidRPr="00812589">
        <w:rPr>
          <w:rFonts w:ascii="Times New Roman" w:eastAsia="Times New Roman" w:hAnsi="Times New Roman" w:cs="Times New Roman"/>
          <w:sz w:val="24"/>
          <w:szCs w:val="24"/>
        </w:rPr>
        <w:t>The human samples from the sector 10 of Taforalt. analyzed in this study with their sex and age of death estimation</w:t>
      </w:r>
      <w:r w:rsidR="009F664A">
        <w:rPr>
          <w:rFonts w:ascii="Times New Roman" w:eastAsia="Times New Roman" w:hAnsi="Times New Roman" w:cs="Times New Roman"/>
          <w:sz w:val="24"/>
          <w:szCs w:val="24"/>
        </w:rPr>
        <w:t xml:space="preserve"> (from Humphrey et al., 2019) </w:t>
      </w:r>
      <w:r w:rsidR="00297476">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{"citationID":"4KcWIJDh","properties":{"formattedCitation":"\\super 6\\nosupersub{}","plainCitation":"6","noteIndex":0},"citationItems":[{"id":895,"uris":["http://zotero.org/users/7125028/items/LNAKZ2VD"],"itemData":{"id":895,"type":"chapter","container-title":"Cemeteries and Sedentism in the Later Stone Age of NW Africa: Excavations at Grotte des Pigeons, Taforalt, Morocco","page":"444-482","publisher":"Monographien des Römisch-Germanischen Zentralmuseums","title":"HUMAN BURIAL EVIDENCE","author":[{"family":"Humphrey","given":"Louise"},{"family":"Freyne","given":"Alison"},{"family":"Berridge","given":"Peter"},{"family":"Berridge","given":"Paul"}],"issued":{"date-parts":[["2019"]]}}}],"schema":"https://github.com/citation-style-language/schema/raw/master/csl-citation.json"} </w:instrText>
      </w:r>
      <w:r w:rsidR="00297476">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6</w:t>
      </w:r>
      <w:r w:rsidR="00297476">
        <w:rPr>
          <w:rFonts w:ascii="Times New Roman" w:eastAsia="Times New Roman" w:hAnsi="Times New Roman" w:cs="Times New Roman"/>
          <w:sz w:val="24"/>
          <w:szCs w:val="24"/>
        </w:rPr>
        <w:fldChar w:fldCharType="end"/>
      </w:r>
      <w:r w:rsidRPr="00812589">
        <w:rPr>
          <w:rFonts w:ascii="Times New Roman" w:eastAsia="Times New Roman" w:hAnsi="Times New Roman" w:cs="Times New Roman"/>
          <w:sz w:val="24"/>
          <w:szCs w:val="24"/>
        </w:rPr>
        <w:t xml:space="preserve">. </w:t>
      </w:r>
      <w:r w:rsidR="00524CA2">
        <w:rPr>
          <w:rFonts w:ascii="Times New Roman" w:eastAsia="Times New Roman" w:hAnsi="Times New Roman" w:cs="Times New Roman"/>
          <w:sz w:val="24"/>
          <w:szCs w:val="24"/>
        </w:rPr>
        <w:t>SEVA are the identification numbers used at the Max Planck Institute for Evolutionary Anthropology)</w:t>
      </w:r>
      <w:r w:rsidR="00175138">
        <w:rPr>
          <w:rFonts w:ascii="Times New Roman" w:eastAsia="Times New Roman" w:hAnsi="Times New Roman" w:cs="Times New Roman"/>
          <w:sz w:val="24"/>
          <w:szCs w:val="24"/>
        </w:rPr>
        <w:t xml:space="preserve">. The ID are the identification numbers given to the samples during the excavations. </w:t>
      </w:r>
      <w:r w:rsidR="002A4583">
        <w:rPr>
          <w:rFonts w:ascii="Times New Roman" w:eastAsia="Times New Roman" w:hAnsi="Times New Roman" w:cs="Times New Roman"/>
          <w:sz w:val="24"/>
          <w:szCs w:val="24"/>
        </w:rPr>
        <w:t xml:space="preserve">ND </w:t>
      </w:r>
      <w:r w:rsidR="007B250A">
        <w:rPr>
          <w:rFonts w:ascii="Times New Roman" w:eastAsia="Times New Roman" w:hAnsi="Times New Roman" w:cs="Times New Roman"/>
          <w:sz w:val="24"/>
          <w:szCs w:val="24"/>
        </w:rPr>
        <w:t xml:space="preserve">stands for Not Determined </w:t>
      </w:r>
    </w:p>
    <w:bookmarkEnd w:id="14"/>
    <w:p w14:paraId="33D05408" w14:textId="77777777" w:rsidR="00257581" w:rsidRPr="00D70D43" w:rsidRDefault="00257581" w:rsidP="00257581">
      <w:pPr>
        <w:spacing w:after="0" w:line="240" w:lineRule="auto"/>
        <w:rPr>
          <w:rFonts w:ascii="Times New Roman" w:eastAsia="Times New Roman" w:hAnsi="Times New Roman" w:cs="Times New Roman"/>
          <w:b/>
          <w:i/>
          <w:sz w:val="24"/>
          <w:szCs w:val="24"/>
        </w:rPr>
      </w:pPr>
    </w:p>
    <w:p w14:paraId="0000018A" w14:textId="77777777" w:rsidR="00784AF4" w:rsidRPr="00D70D43" w:rsidRDefault="00784AF4">
      <w:pPr>
        <w:rPr>
          <w:rFonts w:ascii="Times New Roman" w:eastAsia="Times New Roman" w:hAnsi="Times New Roman" w:cs="Times New Roman"/>
          <w:b/>
          <w:sz w:val="24"/>
          <w:szCs w:val="24"/>
          <w:highlight w:val="yellow"/>
        </w:rPr>
      </w:pPr>
    </w:p>
    <w:p w14:paraId="0000018B" w14:textId="646BCE0F" w:rsidR="00784AF4" w:rsidRDefault="00784AF4">
      <w:pPr>
        <w:ind w:firstLine="720"/>
        <w:rPr>
          <w:rFonts w:ascii="Times New Roman" w:eastAsia="Times New Roman" w:hAnsi="Times New Roman" w:cs="Times New Roman"/>
          <w:b/>
          <w:sz w:val="24"/>
          <w:szCs w:val="24"/>
          <w:highlight w:val="yellow"/>
        </w:rPr>
      </w:pPr>
    </w:p>
    <w:p w14:paraId="16CCF7E8" w14:textId="50DBC7DB" w:rsidR="00C12443" w:rsidRDefault="00C12443">
      <w:pPr>
        <w:ind w:firstLine="720"/>
        <w:rPr>
          <w:rFonts w:ascii="Times New Roman" w:eastAsia="Times New Roman" w:hAnsi="Times New Roman" w:cs="Times New Roman"/>
          <w:b/>
          <w:sz w:val="24"/>
          <w:szCs w:val="24"/>
          <w:highlight w:val="yellow"/>
        </w:rPr>
      </w:pPr>
    </w:p>
    <w:p w14:paraId="642446E6" w14:textId="77777777" w:rsidR="00C12443" w:rsidRDefault="00C12443">
      <w:pPr>
        <w:ind w:firstLine="720"/>
        <w:rPr>
          <w:rFonts w:ascii="Times New Roman" w:eastAsia="Times New Roman" w:hAnsi="Times New Roman" w:cs="Times New Roman"/>
          <w:b/>
          <w:sz w:val="24"/>
          <w:szCs w:val="24"/>
          <w:highlight w:val="yellow"/>
        </w:rPr>
        <w:sectPr w:rsidR="00C12443" w:rsidSect="00E10A1F">
          <w:pgSz w:w="12240" w:h="15840"/>
          <w:pgMar w:top="1440" w:right="1440" w:bottom="1440" w:left="1440" w:header="720" w:footer="720" w:gutter="0"/>
          <w:lnNumType w:countBy="1" w:restart="continuous"/>
          <w:pgNumType w:start="1"/>
          <w:cols w:space="720"/>
          <w:docGrid w:linePitch="299"/>
        </w:sectPr>
      </w:pPr>
    </w:p>
    <w:p w14:paraId="4AEF2D0F" w14:textId="2A187E1D" w:rsidR="00D40D44" w:rsidRDefault="00D40D44" w:rsidP="0078770C">
      <w:pPr>
        <w:ind w:firstLine="720"/>
        <w:rPr>
          <w:rFonts w:ascii="Times New Roman" w:eastAsia="Times New Roman" w:hAnsi="Times New Roman" w:cs="Times New Roman"/>
          <w:sz w:val="24"/>
          <w:szCs w:val="24"/>
        </w:rPr>
      </w:pPr>
      <w:bookmarkStart w:id="15" w:name="_Hlk137039546"/>
      <w:r w:rsidRPr="0064579A">
        <w:rPr>
          <w:rFonts w:ascii="Times New Roman" w:eastAsia="Times New Roman" w:hAnsi="Times New Roman" w:cs="Times New Roman"/>
          <w:b/>
          <w:sz w:val="24"/>
          <w:szCs w:val="24"/>
        </w:rPr>
        <w:lastRenderedPageBreak/>
        <w:t xml:space="preserve">Table S3.3: </w:t>
      </w:r>
      <w:r w:rsidRPr="00D70D43">
        <w:rPr>
          <w:rFonts w:ascii="Times New Roman" w:eastAsia="Times New Roman" w:hAnsi="Times New Roman" w:cs="Times New Roman"/>
          <w:sz w:val="24"/>
          <w:szCs w:val="24"/>
        </w:rPr>
        <w:t>Caries and hypoplasia presence in the</w:t>
      </w:r>
      <w:r>
        <w:rPr>
          <w:rFonts w:ascii="Times New Roman" w:eastAsia="Times New Roman" w:hAnsi="Times New Roman" w:cs="Times New Roman"/>
          <w:sz w:val="24"/>
          <w:szCs w:val="24"/>
        </w:rPr>
        <w:t xml:space="preserve"> human</w:t>
      </w:r>
      <w:r w:rsidRPr="00D70D43">
        <w:rPr>
          <w:rFonts w:ascii="Times New Roman" w:eastAsia="Times New Roman" w:hAnsi="Times New Roman" w:cs="Times New Roman"/>
          <w:sz w:val="24"/>
          <w:szCs w:val="24"/>
        </w:rPr>
        <w:t xml:space="preserve"> teeth from Taforalt included in this study. </w:t>
      </w:r>
      <w:r>
        <w:rPr>
          <w:rFonts w:ascii="Times New Roman" w:eastAsia="Times New Roman" w:hAnsi="Times New Roman" w:cs="Times New Roman"/>
          <w:sz w:val="24"/>
          <w:szCs w:val="24"/>
        </w:rPr>
        <w:t xml:space="preserve">Hypoplasia are detected on the CT </w:t>
      </w:r>
      <w:r w:rsidRPr="004F79D0">
        <w:rPr>
          <w:rFonts w:ascii="Times New Roman" w:eastAsia="Times New Roman" w:hAnsi="Times New Roman" w:cs="Times New Roman"/>
          <w:sz w:val="24"/>
          <w:szCs w:val="24"/>
        </w:rPr>
        <w:t>scans (</w:t>
      </w:r>
      <w:r w:rsidR="00D71D1A" w:rsidRPr="004F79D0">
        <w:rPr>
          <w:rFonts w:ascii="Times New Roman" w:eastAsia="Times New Roman" w:hAnsi="Times New Roman" w:cs="Times New Roman"/>
          <w:sz w:val="24"/>
          <w:szCs w:val="24"/>
        </w:rPr>
        <w:t>3D</w:t>
      </w:r>
      <w:r w:rsidR="001868C4" w:rsidRPr="004F79D0">
        <w:rPr>
          <w:rFonts w:ascii="Times New Roman" w:eastAsia="Times New Roman" w:hAnsi="Times New Roman" w:cs="Times New Roman"/>
          <w:sz w:val="24"/>
          <w:szCs w:val="24"/>
        </w:rPr>
        <w:t xml:space="preserve"> </w:t>
      </w:r>
      <w:r w:rsidR="00841A18" w:rsidRPr="004F79D0">
        <w:rPr>
          <w:rFonts w:ascii="Times New Roman" w:eastAsia="Times New Roman" w:hAnsi="Times New Roman" w:cs="Times New Roman"/>
          <w:sz w:val="24"/>
          <w:szCs w:val="24"/>
        </w:rPr>
        <w:t xml:space="preserve">models </w:t>
      </w:r>
      <w:r w:rsidR="001868C4" w:rsidRPr="004F79D0">
        <w:rPr>
          <w:rFonts w:ascii="Times New Roman" w:eastAsia="Times New Roman" w:hAnsi="Times New Roman" w:cs="Times New Roman"/>
          <w:sz w:val="24"/>
          <w:szCs w:val="24"/>
        </w:rPr>
        <w:t>and 2D virtual sections</w:t>
      </w:r>
      <w:r w:rsidR="00841A18" w:rsidRPr="004F79D0">
        <w:rPr>
          <w:rFonts w:ascii="Times New Roman" w:eastAsia="Times New Roman" w:hAnsi="Times New Roman" w:cs="Times New Roman"/>
          <w:sz w:val="24"/>
          <w:szCs w:val="24"/>
        </w:rPr>
        <w:t xml:space="preserve"> </w:t>
      </w:r>
      <w:r w:rsidRPr="004F79D0">
        <w:rPr>
          <w:rFonts w:ascii="Times New Roman" w:eastAsia="Times New Roman" w:hAnsi="Times New Roman" w:cs="Times New Roman"/>
          <w:sz w:val="24"/>
          <w:szCs w:val="24"/>
        </w:rPr>
        <w:t>in Supplementary 7)</w:t>
      </w:r>
      <w:r w:rsidR="00A5764C" w:rsidRPr="004F79D0">
        <w:t>.</w:t>
      </w:r>
      <w:r w:rsidR="00A5764C">
        <w:t xml:space="preserve"> </w:t>
      </w:r>
      <w:r w:rsidR="00A5764C" w:rsidRPr="00A5764C">
        <w:rPr>
          <w:rFonts w:ascii="Times New Roman" w:eastAsia="Times New Roman" w:hAnsi="Times New Roman" w:cs="Times New Roman"/>
          <w:sz w:val="24"/>
          <w:szCs w:val="24"/>
        </w:rPr>
        <w:t xml:space="preserve">We utilized the positioning of hypoplasia within the teeth in relation to the tooth's developmental timeline </w:t>
      </w:r>
      <w:r w:rsidR="00322B92">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{"citationID":"pntMM7eW","properties":{"formattedCitation":"\\super 59\\nosupersub{}","plainCitation":"59","noteIndex":0},"citationItems":[{"id":94,"uris":["http://zotero.org/users/7125028/items/AICRDAVC"],"itemData":{"id":94,"type":"thesis","abstract":"Aim: \nTo develop a comprehensive, validated, evidence based, practical, user-friendly atlas of dental age \nestimation and compare its performance with two widely used atlases. \nMethods: \nBased on the radiographic appearance of tooth development in 528 individuals aged 2-23 years \nand 176 neonates, the median stage of tooth development for each tooth in each age \ncategory/chronological year was used to construct diagrams representing ages between 28 weeks \nin-utero and 23 years were developed (The London Atlas) \nAccuracy was determined by ageing skeletal remains/radiographs of 1514 individuals (aged 32 \nweeks in-utero to 23 years) using The London Atlas (LA), the Schour and Massler (SM) and \nUbelaker (Ub) atlases. Estimated age was compared to real age. Bias, absolute mean difference \nand proportion of individuals correctly assigned by age were calculated. Intra-observer variation \n(Kappa) was measured by re-assessment of 130 radiographs. \nTo test the application of The London Atlas, a questionnaire was used to validate its use. Ninety 3rd \nyear dental students were divided randomly into three subgroups, and blinded from the \nresearcher. Each group used one of the 3 atlases to estimate the radiographic age of 6 individuals \nand complete a questionnaire focussed on the design, clarity, simplicity and self-explanation of the \nthree atlases. \nResults: \nExcellent reproducibility was observed for all three atlases (Kappa: LA 0.879, SM 0.838 and Ub \n0.857). LA showed no bias (P=0.720) and correctly estimated 53% of cases. SM and Ub showed \nsignificant bias by consistently underestimating age (P=0.026 and P=0.002) with 35% and 36% \ncorrectly estimated for SM and Ub respectively. The mean absolute difference for LA (0.72 years) \nwas smaller than SM (1.15 years) and Ub (1.17 years). \nLA was preferred over the other two atlases in all quality measures tested (clarity, design, \nsimplicity and self-explanation). \nConclusion: \nThe London Atlas represents a substantial improvement on existing atlases facilitating accurate \nage estimation from developing teeth. Development of interactive online and mobile app versions \nis complete.","genre":"Thesis","language":"en","note":"Accepted: 2015-09-01T13:32:18Z","publisher":"Queen Mary University of London","source":"qmro.qmul.ac.uk","title":"The London Atlas: developing an atlas of tooth development and testing its quality and performance measures","title-short":"The London Atlas","URL":"https://qmro.qmul.ac.uk/xmlui/handle/123456789/8364","author":[{"family":"AlQahtani","given":"Sakher Jaber"}],"accessed":{"date-parts":[["2021",7,28]]},"issued":{"date-parts":[["2012"]]}}}],"schema":"https://github.com/citation-style-language/schema/raw/master/csl-citation.json"} </w:instrText>
      </w:r>
      <w:r w:rsidR="00322B92">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59</w:t>
      </w:r>
      <w:r w:rsidR="00322B92">
        <w:rPr>
          <w:rFonts w:ascii="Times New Roman" w:eastAsia="Times New Roman" w:hAnsi="Times New Roman" w:cs="Times New Roman"/>
          <w:sz w:val="24"/>
          <w:szCs w:val="24"/>
        </w:rPr>
        <w:fldChar w:fldCharType="end"/>
      </w:r>
      <w:r w:rsidR="00A5764C" w:rsidRPr="00A5764C">
        <w:rPr>
          <w:rFonts w:ascii="Times New Roman" w:eastAsia="Times New Roman" w:hAnsi="Times New Roman" w:cs="Times New Roman"/>
          <w:sz w:val="24"/>
          <w:szCs w:val="24"/>
        </w:rPr>
        <w:t xml:space="preserve">to make an </w:t>
      </w:r>
      <w:r w:rsidR="00322B92">
        <w:rPr>
          <w:rFonts w:ascii="Times New Roman" w:eastAsia="Times New Roman" w:hAnsi="Times New Roman" w:cs="Times New Roman"/>
          <w:sz w:val="24"/>
          <w:szCs w:val="24"/>
        </w:rPr>
        <w:t xml:space="preserve">approximate </w:t>
      </w:r>
      <w:r w:rsidR="00A5764C" w:rsidRPr="00A5764C">
        <w:rPr>
          <w:rFonts w:ascii="Times New Roman" w:eastAsia="Times New Roman" w:hAnsi="Times New Roman" w:cs="Times New Roman"/>
          <w:sz w:val="24"/>
          <w:szCs w:val="24"/>
        </w:rPr>
        <w:t>estimation of its occurrence period.</w:t>
      </w:r>
      <w:r w:rsidR="0078770C">
        <w:rPr>
          <w:rFonts w:ascii="Times New Roman" w:eastAsia="Times New Roman" w:hAnsi="Times New Roman" w:cs="Times New Roman"/>
          <w:sz w:val="24"/>
          <w:szCs w:val="24"/>
        </w:rPr>
        <w:t xml:space="preserve"> </w:t>
      </w:r>
    </w:p>
    <w:bookmarkEnd w:id="15"/>
    <w:p w14:paraId="6938A3E0" w14:textId="18FE0576" w:rsidR="00C12443" w:rsidRPr="00D70D43" w:rsidRDefault="00C12443">
      <w:pPr>
        <w:ind w:firstLine="720"/>
        <w:rPr>
          <w:rFonts w:ascii="Times New Roman" w:eastAsia="Times New Roman" w:hAnsi="Times New Roman" w:cs="Times New Roman"/>
          <w:b/>
          <w:sz w:val="24"/>
          <w:szCs w:val="24"/>
          <w:highlight w:val="yellow"/>
        </w:rPr>
      </w:pPr>
    </w:p>
    <w:tbl>
      <w:tblPr>
        <w:tblW w:w="0" w:type="auto"/>
        <w:tblInd w:w="-5" w:type="dxa"/>
        <w:tblLayout w:type="fixed"/>
        <w:tblLook w:val="04A0" w:firstRow="1" w:lastRow="0" w:firstColumn="1" w:lastColumn="0" w:noHBand="0" w:noVBand="1"/>
      </w:tblPr>
      <w:tblGrid>
        <w:gridCol w:w="1276"/>
        <w:gridCol w:w="851"/>
        <w:gridCol w:w="992"/>
        <w:gridCol w:w="992"/>
        <w:gridCol w:w="992"/>
        <w:gridCol w:w="1134"/>
        <w:gridCol w:w="1418"/>
        <w:gridCol w:w="1559"/>
        <w:gridCol w:w="3741"/>
      </w:tblGrid>
      <w:tr w:rsidR="00C12443" w:rsidRPr="00C12443" w14:paraId="3395BB6B" w14:textId="77777777" w:rsidTr="007B0C94">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16C315"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Individual</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0946D233"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sex</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7CFAB2A2"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 xml:space="preserve">age of death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8A3F553"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SEVA</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05075064"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 xml:space="preserve">tooth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4A3BAA3"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presence of caries</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183BBC6F"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 xml:space="preserve">presence of hypoplasia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46B8B129"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 xml:space="preserve">location </w:t>
            </w:r>
          </w:p>
        </w:tc>
        <w:tc>
          <w:tcPr>
            <w:tcW w:w="3741" w:type="dxa"/>
            <w:tcBorders>
              <w:top w:val="single" w:sz="4" w:space="0" w:color="auto"/>
              <w:left w:val="nil"/>
              <w:bottom w:val="single" w:sz="4" w:space="0" w:color="auto"/>
              <w:right w:val="single" w:sz="4" w:space="0" w:color="auto"/>
            </w:tcBorders>
            <w:shd w:val="clear" w:color="auto" w:fill="auto"/>
            <w:noWrap/>
            <w:vAlign w:val="bottom"/>
            <w:hideMark/>
          </w:tcPr>
          <w:p w14:paraId="36714CA2" w14:textId="77777777" w:rsidR="00C12443" w:rsidRPr="00C12443" w:rsidRDefault="00C12443" w:rsidP="00C12443">
            <w:pPr>
              <w:spacing w:after="0" w:line="240" w:lineRule="auto"/>
              <w:jc w:val="center"/>
              <w:rPr>
                <w:rFonts w:asciiTheme="majorBidi" w:eastAsia="Times New Roman" w:hAnsiTheme="majorBidi" w:cstheme="majorBidi"/>
                <w:b/>
                <w:bCs/>
                <w:lang w:eastAsia="en-US"/>
              </w:rPr>
            </w:pPr>
            <w:r w:rsidRPr="00C12443">
              <w:rPr>
                <w:rFonts w:asciiTheme="majorBidi" w:eastAsia="Times New Roman" w:hAnsiTheme="majorBidi" w:cstheme="majorBidi"/>
                <w:b/>
                <w:bCs/>
                <w:lang w:eastAsia="en-US"/>
              </w:rPr>
              <w:t>period of hypoplasia/ stress</w:t>
            </w:r>
          </w:p>
        </w:tc>
      </w:tr>
      <w:tr w:rsidR="00C12443" w:rsidRPr="00C12443" w14:paraId="343DEF8D" w14:textId="77777777" w:rsidTr="007B0C94">
        <w:trPr>
          <w:trHeight w:val="300"/>
        </w:trPr>
        <w:tc>
          <w:tcPr>
            <w:tcW w:w="127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243C62D"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1</w:t>
            </w:r>
          </w:p>
        </w:tc>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D1658B4"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male</w:t>
            </w:r>
          </w:p>
        </w:tc>
        <w:tc>
          <w:tcPr>
            <w:tcW w:w="99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D55DF9C"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20 </w:t>
            </w:r>
            <w:proofErr w:type="spellStart"/>
            <w:r w:rsidRPr="00C12443">
              <w:rPr>
                <w:rFonts w:asciiTheme="majorBidi" w:eastAsia="Times New Roman" w:hAnsiTheme="majorBidi" w:cstheme="majorBidi"/>
                <w:color w:val="000000"/>
                <w:lang w:eastAsia="en-US"/>
              </w:rPr>
              <w:t>yr</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127044EF"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35963.B</w:t>
            </w:r>
          </w:p>
        </w:tc>
        <w:tc>
          <w:tcPr>
            <w:tcW w:w="992" w:type="dxa"/>
            <w:tcBorders>
              <w:top w:val="nil"/>
              <w:left w:val="nil"/>
              <w:bottom w:val="single" w:sz="4" w:space="0" w:color="auto"/>
              <w:right w:val="single" w:sz="4" w:space="0" w:color="auto"/>
            </w:tcBorders>
            <w:shd w:val="clear" w:color="auto" w:fill="auto"/>
            <w:noWrap/>
            <w:vAlign w:val="center"/>
            <w:hideMark/>
          </w:tcPr>
          <w:p w14:paraId="78112F9B"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LLM2</w:t>
            </w:r>
          </w:p>
        </w:tc>
        <w:tc>
          <w:tcPr>
            <w:tcW w:w="1134" w:type="dxa"/>
            <w:tcBorders>
              <w:top w:val="nil"/>
              <w:left w:val="nil"/>
              <w:bottom w:val="single" w:sz="4" w:space="0" w:color="auto"/>
              <w:right w:val="single" w:sz="4" w:space="0" w:color="auto"/>
            </w:tcBorders>
            <w:shd w:val="clear" w:color="auto" w:fill="auto"/>
            <w:noWrap/>
            <w:vAlign w:val="center"/>
            <w:hideMark/>
          </w:tcPr>
          <w:p w14:paraId="465C42A5"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418" w:type="dxa"/>
            <w:tcBorders>
              <w:top w:val="nil"/>
              <w:left w:val="nil"/>
              <w:bottom w:val="single" w:sz="4" w:space="0" w:color="auto"/>
              <w:right w:val="single" w:sz="4" w:space="0" w:color="auto"/>
            </w:tcBorders>
            <w:shd w:val="clear" w:color="auto" w:fill="auto"/>
            <w:noWrap/>
            <w:vAlign w:val="center"/>
            <w:hideMark/>
          </w:tcPr>
          <w:p w14:paraId="5C759F2A"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2767E554" w14:textId="5C76E9C1" w:rsidR="00C12443" w:rsidRPr="00C12443" w:rsidRDefault="00322B92" w:rsidP="00C12443">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57D57D8A" w14:textId="77777777" w:rsidR="00C12443" w:rsidRPr="00C12443" w:rsidRDefault="00C12443" w:rsidP="00C12443">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3yrs-16yrs</w:t>
            </w:r>
          </w:p>
        </w:tc>
      </w:tr>
      <w:tr w:rsidR="00322B92" w:rsidRPr="00C12443" w14:paraId="3FCFE0D9"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471BB496"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0CEBB975"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4A36849C"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288A3CF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35961</w:t>
            </w:r>
          </w:p>
        </w:tc>
        <w:tc>
          <w:tcPr>
            <w:tcW w:w="992" w:type="dxa"/>
            <w:tcBorders>
              <w:top w:val="nil"/>
              <w:left w:val="nil"/>
              <w:bottom w:val="single" w:sz="4" w:space="0" w:color="auto"/>
              <w:right w:val="single" w:sz="4" w:space="0" w:color="auto"/>
            </w:tcBorders>
            <w:shd w:val="clear" w:color="auto" w:fill="auto"/>
            <w:noWrap/>
            <w:vAlign w:val="center"/>
            <w:hideMark/>
          </w:tcPr>
          <w:p w14:paraId="5A51F04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ULM2</w:t>
            </w:r>
          </w:p>
        </w:tc>
        <w:tc>
          <w:tcPr>
            <w:tcW w:w="1134" w:type="dxa"/>
            <w:tcBorders>
              <w:top w:val="nil"/>
              <w:left w:val="nil"/>
              <w:bottom w:val="single" w:sz="4" w:space="0" w:color="auto"/>
              <w:right w:val="single" w:sz="4" w:space="0" w:color="auto"/>
            </w:tcBorders>
            <w:shd w:val="clear" w:color="auto" w:fill="auto"/>
            <w:noWrap/>
            <w:vAlign w:val="center"/>
            <w:hideMark/>
          </w:tcPr>
          <w:p w14:paraId="147C9DA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0BB7F34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2AFD5ADD" w14:textId="3D878473"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5493A93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 yrs-16yrs</w:t>
            </w:r>
          </w:p>
        </w:tc>
      </w:tr>
      <w:tr w:rsidR="00322B92" w:rsidRPr="00C12443" w14:paraId="08913CD9"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24F1C950"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6AC4CBCA"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1ACAFA66"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77F4D1D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35963.A</w:t>
            </w:r>
          </w:p>
        </w:tc>
        <w:tc>
          <w:tcPr>
            <w:tcW w:w="992" w:type="dxa"/>
            <w:tcBorders>
              <w:top w:val="nil"/>
              <w:left w:val="nil"/>
              <w:bottom w:val="single" w:sz="4" w:space="0" w:color="auto"/>
              <w:right w:val="single" w:sz="4" w:space="0" w:color="auto"/>
            </w:tcBorders>
            <w:shd w:val="clear" w:color="auto" w:fill="auto"/>
            <w:noWrap/>
            <w:vAlign w:val="center"/>
            <w:hideMark/>
          </w:tcPr>
          <w:p w14:paraId="0622836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LLC</w:t>
            </w:r>
          </w:p>
        </w:tc>
        <w:tc>
          <w:tcPr>
            <w:tcW w:w="1134" w:type="dxa"/>
            <w:tcBorders>
              <w:top w:val="nil"/>
              <w:left w:val="nil"/>
              <w:bottom w:val="single" w:sz="4" w:space="0" w:color="auto"/>
              <w:right w:val="single" w:sz="4" w:space="0" w:color="auto"/>
            </w:tcBorders>
            <w:shd w:val="clear" w:color="auto" w:fill="auto"/>
            <w:noWrap/>
            <w:vAlign w:val="center"/>
            <w:hideMark/>
          </w:tcPr>
          <w:p w14:paraId="751750F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1A8B0CE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637B7BE5" w14:textId="11CB89E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134CE8F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4yrs- 14yrs</w:t>
            </w:r>
          </w:p>
        </w:tc>
      </w:tr>
      <w:tr w:rsidR="00322B92" w:rsidRPr="00C12443" w14:paraId="7256A78C"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46D7F566"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65EE161B"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79D2F1A8"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2C8DB0C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35962</w:t>
            </w:r>
          </w:p>
        </w:tc>
        <w:tc>
          <w:tcPr>
            <w:tcW w:w="992" w:type="dxa"/>
            <w:tcBorders>
              <w:top w:val="nil"/>
              <w:left w:val="nil"/>
              <w:bottom w:val="single" w:sz="4" w:space="0" w:color="auto"/>
              <w:right w:val="single" w:sz="4" w:space="0" w:color="auto"/>
            </w:tcBorders>
            <w:shd w:val="clear" w:color="auto" w:fill="auto"/>
            <w:noWrap/>
            <w:vAlign w:val="center"/>
            <w:hideMark/>
          </w:tcPr>
          <w:p w14:paraId="52C431D6"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LLM2</w:t>
            </w:r>
          </w:p>
        </w:tc>
        <w:tc>
          <w:tcPr>
            <w:tcW w:w="1134" w:type="dxa"/>
            <w:tcBorders>
              <w:top w:val="nil"/>
              <w:left w:val="nil"/>
              <w:bottom w:val="single" w:sz="4" w:space="0" w:color="auto"/>
              <w:right w:val="single" w:sz="4" w:space="0" w:color="auto"/>
            </w:tcBorders>
            <w:shd w:val="clear" w:color="auto" w:fill="auto"/>
            <w:noWrap/>
            <w:vAlign w:val="center"/>
            <w:hideMark/>
          </w:tcPr>
          <w:p w14:paraId="4BB8D3A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418" w:type="dxa"/>
            <w:tcBorders>
              <w:top w:val="nil"/>
              <w:left w:val="nil"/>
              <w:bottom w:val="single" w:sz="4" w:space="0" w:color="auto"/>
              <w:right w:val="single" w:sz="4" w:space="0" w:color="auto"/>
            </w:tcBorders>
            <w:shd w:val="clear" w:color="auto" w:fill="auto"/>
            <w:noWrap/>
            <w:vAlign w:val="center"/>
            <w:hideMark/>
          </w:tcPr>
          <w:p w14:paraId="0C9BAF1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4B99CD6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root </w:t>
            </w:r>
          </w:p>
        </w:tc>
        <w:tc>
          <w:tcPr>
            <w:tcW w:w="3741" w:type="dxa"/>
            <w:tcBorders>
              <w:top w:val="nil"/>
              <w:left w:val="nil"/>
              <w:bottom w:val="single" w:sz="4" w:space="0" w:color="auto"/>
              <w:right w:val="single" w:sz="4" w:space="0" w:color="auto"/>
            </w:tcBorders>
            <w:shd w:val="clear" w:color="auto" w:fill="auto"/>
            <w:noWrap/>
            <w:vAlign w:val="bottom"/>
            <w:hideMark/>
          </w:tcPr>
          <w:p w14:paraId="666957B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7 </w:t>
            </w:r>
            <w:proofErr w:type="spellStart"/>
            <w:r w:rsidRPr="00C12443">
              <w:rPr>
                <w:rFonts w:asciiTheme="majorBidi" w:eastAsia="Times New Roman" w:hAnsiTheme="majorBidi" w:cstheme="majorBidi"/>
                <w:color w:val="000000"/>
                <w:lang w:eastAsia="en-US"/>
              </w:rPr>
              <w:t>yrs</w:t>
            </w:r>
            <w:proofErr w:type="spellEnd"/>
            <w:r w:rsidRPr="00C12443">
              <w:rPr>
                <w:rFonts w:asciiTheme="majorBidi" w:eastAsia="Times New Roman" w:hAnsiTheme="majorBidi" w:cstheme="majorBidi"/>
                <w:color w:val="000000"/>
                <w:lang w:eastAsia="en-US"/>
              </w:rPr>
              <w:t>- 15yrs</w:t>
            </w:r>
          </w:p>
        </w:tc>
      </w:tr>
      <w:tr w:rsidR="00322B92" w:rsidRPr="00C12443" w14:paraId="38F5393D"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01669C2D"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588216A1"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11AB05BE"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69081480"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35970</w:t>
            </w:r>
          </w:p>
        </w:tc>
        <w:tc>
          <w:tcPr>
            <w:tcW w:w="992" w:type="dxa"/>
            <w:tcBorders>
              <w:top w:val="nil"/>
              <w:left w:val="nil"/>
              <w:bottom w:val="single" w:sz="4" w:space="0" w:color="auto"/>
              <w:right w:val="single" w:sz="4" w:space="0" w:color="auto"/>
            </w:tcBorders>
            <w:shd w:val="clear" w:color="auto" w:fill="auto"/>
            <w:noWrap/>
            <w:vAlign w:val="center"/>
            <w:hideMark/>
          </w:tcPr>
          <w:p w14:paraId="7607617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proofErr w:type="spellStart"/>
            <w:r w:rsidRPr="00C12443">
              <w:rPr>
                <w:rFonts w:asciiTheme="majorBidi" w:eastAsia="Times New Roman" w:hAnsiTheme="majorBidi" w:cstheme="majorBidi"/>
                <w:color w:val="000000"/>
                <w:lang w:eastAsia="en-US"/>
              </w:rPr>
              <w:t>UxM</w:t>
            </w:r>
            <w:proofErr w:type="spellEnd"/>
          </w:p>
        </w:tc>
        <w:tc>
          <w:tcPr>
            <w:tcW w:w="1134" w:type="dxa"/>
            <w:tcBorders>
              <w:top w:val="nil"/>
              <w:left w:val="nil"/>
              <w:bottom w:val="single" w:sz="4" w:space="0" w:color="auto"/>
              <w:right w:val="single" w:sz="4" w:space="0" w:color="auto"/>
            </w:tcBorders>
            <w:shd w:val="clear" w:color="auto" w:fill="auto"/>
            <w:noWrap/>
            <w:vAlign w:val="center"/>
            <w:hideMark/>
          </w:tcPr>
          <w:p w14:paraId="143312CF"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06655D5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79BB0A7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crown </w:t>
            </w:r>
          </w:p>
        </w:tc>
        <w:tc>
          <w:tcPr>
            <w:tcW w:w="3741" w:type="dxa"/>
            <w:tcBorders>
              <w:top w:val="nil"/>
              <w:left w:val="nil"/>
              <w:bottom w:val="single" w:sz="4" w:space="0" w:color="auto"/>
              <w:right w:val="single" w:sz="4" w:space="0" w:color="auto"/>
            </w:tcBorders>
            <w:shd w:val="clear" w:color="auto" w:fill="auto"/>
            <w:noWrap/>
            <w:vAlign w:val="bottom"/>
            <w:hideMark/>
          </w:tcPr>
          <w:p w14:paraId="178DE0C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w:t>
            </w:r>
          </w:p>
        </w:tc>
      </w:tr>
      <w:tr w:rsidR="00322B92" w:rsidRPr="00C12443" w14:paraId="49B6D52A"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32A1B82C"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01232FC1"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3DEBA254"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13BF5898"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35967</w:t>
            </w:r>
          </w:p>
        </w:tc>
        <w:tc>
          <w:tcPr>
            <w:tcW w:w="992" w:type="dxa"/>
            <w:tcBorders>
              <w:top w:val="nil"/>
              <w:left w:val="nil"/>
              <w:bottom w:val="single" w:sz="4" w:space="0" w:color="auto"/>
              <w:right w:val="single" w:sz="4" w:space="0" w:color="auto"/>
            </w:tcBorders>
            <w:shd w:val="clear" w:color="auto" w:fill="auto"/>
            <w:noWrap/>
            <w:vAlign w:val="center"/>
            <w:hideMark/>
          </w:tcPr>
          <w:p w14:paraId="2EB689A0"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LRI2</w:t>
            </w:r>
          </w:p>
        </w:tc>
        <w:tc>
          <w:tcPr>
            <w:tcW w:w="1134" w:type="dxa"/>
            <w:tcBorders>
              <w:top w:val="nil"/>
              <w:left w:val="nil"/>
              <w:bottom w:val="single" w:sz="4" w:space="0" w:color="auto"/>
              <w:right w:val="single" w:sz="4" w:space="0" w:color="auto"/>
            </w:tcBorders>
            <w:shd w:val="clear" w:color="auto" w:fill="auto"/>
            <w:noWrap/>
            <w:vAlign w:val="center"/>
            <w:hideMark/>
          </w:tcPr>
          <w:p w14:paraId="2BCA80C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12BA972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1B466720" w14:textId="368FB55A"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76EEFEE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 yrs-10yrs</w:t>
            </w:r>
          </w:p>
        </w:tc>
      </w:tr>
      <w:tr w:rsidR="00322B92" w:rsidRPr="00C12443" w14:paraId="7770C562" w14:textId="77777777" w:rsidTr="007B0C94">
        <w:trPr>
          <w:trHeight w:val="300"/>
        </w:trPr>
        <w:tc>
          <w:tcPr>
            <w:tcW w:w="127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1C8AE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5</w:t>
            </w:r>
          </w:p>
        </w:tc>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009367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female</w:t>
            </w:r>
          </w:p>
        </w:tc>
        <w:tc>
          <w:tcPr>
            <w:tcW w:w="99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C7BC48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16-18 </w:t>
            </w:r>
            <w:proofErr w:type="spellStart"/>
            <w:r w:rsidRPr="00C12443">
              <w:rPr>
                <w:rFonts w:asciiTheme="majorBidi" w:eastAsia="Times New Roman" w:hAnsiTheme="majorBidi" w:cstheme="majorBidi"/>
                <w:color w:val="000000"/>
                <w:lang w:eastAsia="en-US"/>
              </w:rPr>
              <w:t>yr</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432E6F1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35971.A</w:t>
            </w:r>
          </w:p>
        </w:tc>
        <w:tc>
          <w:tcPr>
            <w:tcW w:w="992" w:type="dxa"/>
            <w:tcBorders>
              <w:top w:val="nil"/>
              <w:left w:val="nil"/>
              <w:bottom w:val="single" w:sz="4" w:space="0" w:color="auto"/>
              <w:right w:val="single" w:sz="4" w:space="0" w:color="auto"/>
            </w:tcBorders>
            <w:shd w:val="clear" w:color="auto" w:fill="auto"/>
            <w:noWrap/>
            <w:vAlign w:val="center"/>
            <w:hideMark/>
          </w:tcPr>
          <w:p w14:paraId="6767AFB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LLI1</w:t>
            </w:r>
          </w:p>
        </w:tc>
        <w:tc>
          <w:tcPr>
            <w:tcW w:w="1134" w:type="dxa"/>
            <w:tcBorders>
              <w:top w:val="nil"/>
              <w:left w:val="nil"/>
              <w:bottom w:val="single" w:sz="4" w:space="0" w:color="auto"/>
              <w:right w:val="single" w:sz="4" w:space="0" w:color="auto"/>
            </w:tcBorders>
            <w:shd w:val="clear" w:color="auto" w:fill="auto"/>
            <w:noWrap/>
            <w:vAlign w:val="center"/>
            <w:hideMark/>
          </w:tcPr>
          <w:p w14:paraId="0FCD302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4DBD7A9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79141F88" w14:textId="47F6FB8A"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028FDBB5" w14:textId="77777777" w:rsidR="00322B92"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small hypoplasia around</w:t>
            </w:r>
          </w:p>
          <w:p w14:paraId="140AA536" w14:textId="4A4635EF"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 3 </w:t>
            </w:r>
            <w:proofErr w:type="spellStart"/>
            <w:r w:rsidRPr="00C12443">
              <w:rPr>
                <w:rFonts w:asciiTheme="majorBidi" w:eastAsia="Times New Roman" w:hAnsiTheme="majorBidi" w:cstheme="majorBidi"/>
                <w:color w:val="000000"/>
                <w:lang w:eastAsia="en-US"/>
              </w:rPr>
              <w:t>yrs</w:t>
            </w:r>
            <w:proofErr w:type="spellEnd"/>
            <w:r w:rsidRPr="00C12443">
              <w:rPr>
                <w:rFonts w:asciiTheme="majorBidi" w:eastAsia="Times New Roman" w:hAnsiTheme="majorBidi" w:cstheme="majorBidi"/>
                <w:color w:val="000000"/>
                <w:lang w:eastAsia="en-US"/>
              </w:rPr>
              <w:t xml:space="preserve"> and again 5yrs</w:t>
            </w:r>
          </w:p>
        </w:tc>
      </w:tr>
      <w:tr w:rsidR="00322B92" w:rsidRPr="00C12443" w14:paraId="16F0CDD6"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3C51265B"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10393E50"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7F1840F3"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6080ABD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35971.B</w:t>
            </w:r>
          </w:p>
        </w:tc>
        <w:tc>
          <w:tcPr>
            <w:tcW w:w="992" w:type="dxa"/>
            <w:tcBorders>
              <w:top w:val="nil"/>
              <w:left w:val="nil"/>
              <w:bottom w:val="single" w:sz="4" w:space="0" w:color="auto"/>
              <w:right w:val="single" w:sz="4" w:space="0" w:color="auto"/>
            </w:tcBorders>
            <w:shd w:val="clear" w:color="auto" w:fill="auto"/>
            <w:noWrap/>
            <w:vAlign w:val="center"/>
            <w:hideMark/>
          </w:tcPr>
          <w:p w14:paraId="434CC01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LRM1</w:t>
            </w:r>
          </w:p>
        </w:tc>
        <w:tc>
          <w:tcPr>
            <w:tcW w:w="1134" w:type="dxa"/>
            <w:tcBorders>
              <w:top w:val="nil"/>
              <w:left w:val="nil"/>
              <w:bottom w:val="single" w:sz="4" w:space="0" w:color="auto"/>
              <w:right w:val="single" w:sz="4" w:space="0" w:color="auto"/>
            </w:tcBorders>
            <w:shd w:val="clear" w:color="auto" w:fill="auto"/>
            <w:noWrap/>
            <w:vAlign w:val="center"/>
            <w:hideMark/>
          </w:tcPr>
          <w:p w14:paraId="7272885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2EE5B58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3D726F0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crown enamel</w:t>
            </w:r>
          </w:p>
        </w:tc>
        <w:tc>
          <w:tcPr>
            <w:tcW w:w="3741" w:type="dxa"/>
            <w:tcBorders>
              <w:top w:val="nil"/>
              <w:left w:val="nil"/>
              <w:bottom w:val="single" w:sz="4" w:space="0" w:color="auto"/>
              <w:right w:val="single" w:sz="4" w:space="0" w:color="auto"/>
            </w:tcBorders>
            <w:shd w:val="clear" w:color="auto" w:fill="auto"/>
            <w:noWrap/>
            <w:vAlign w:val="bottom"/>
            <w:hideMark/>
          </w:tcPr>
          <w:p w14:paraId="6A1A886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between 2.5 </w:t>
            </w:r>
            <w:proofErr w:type="spellStart"/>
            <w:r w:rsidRPr="00C12443">
              <w:rPr>
                <w:rFonts w:asciiTheme="majorBidi" w:eastAsia="Times New Roman" w:hAnsiTheme="majorBidi" w:cstheme="majorBidi"/>
                <w:color w:val="000000"/>
                <w:lang w:eastAsia="en-US"/>
              </w:rPr>
              <w:t>yrs</w:t>
            </w:r>
            <w:proofErr w:type="spellEnd"/>
            <w:r w:rsidRPr="00C12443">
              <w:rPr>
                <w:rFonts w:asciiTheme="majorBidi" w:eastAsia="Times New Roman" w:hAnsiTheme="majorBidi" w:cstheme="majorBidi"/>
                <w:color w:val="000000"/>
                <w:lang w:eastAsia="en-US"/>
              </w:rPr>
              <w:t xml:space="preserve"> and 5 </w:t>
            </w:r>
            <w:proofErr w:type="spellStart"/>
            <w:r w:rsidRPr="00C12443">
              <w:rPr>
                <w:rFonts w:asciiTheme="majorBidi" w:eastAsia="Times New Roman" w:hAnsiTheme="majorBidi" w:cstheme="majorBidi"/>
                <w:color w:val="000000"/>
                <w:lang w:eastAsia="en-US"/>
              </w:rPr>
              <w:t>yrs</w:t>
            </w:r>
            <w:proofErr w:type="spellEnd"/>
          </w:p>
        </w:tc>
      </w:tr>
      <w:tr w:rsidR="00322B92" w:rsidRPr="00C12443" w14:paraId="4E7B7DF0"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2F155778"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60C9706E"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2AEB23FF"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19D0C70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35978</w:t>
            </w:r>
          </w:p>
        </w:tc>
        <w:tc>
          <w:tcPr>
            <w:tcW w:w="992" w:type="dxa"/>
            <w:tcBorders>
              <w:top w:val="nil"/>
              <w:left w:val="nil"/>
              <w:bottom w:val="single" w:sz="4" w:space="0" w:color="auto"/>
              <w:right w:val="single" w:sz="4" w:space="0" w:color="auto"/>
            </w:tcBorders>
            <w:shd w:val="clear" w:color="auto" w:fill="auto"/>
            <w:noWrap/>
            <w:vAlign w:val="center"/>
            <w:hideMark/>
          </w:tcPr>
          <w:p w14:paraId="797025C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ULC</w:t>
            </w:r>
          </w:p>
        </w:tc>
        <w:tc>
          <w:tcPr>
            <w:tcW w:w="1134" w:type="dxa"/>
            <w:tcBorders>
              <w:top w:val="nil"/>
              <w:left w:val="nil"/>
              <w:bottom w:val="single" w:sz="4" w:space="0" w:color="auto"/>
              <w:right w:val="single" w:sz="4" w:space="0" w:color="auto"/>
            </w:tcBorders>
            <w:shd w:val="clear" w:color="auto" w:fill="auto"/>
            <w:noWrap/>
            <w:vAlign w:val="center"/>
            <w:hideMark/>
          </w:tcPr>
          <w:p w14:paraId="5E65C25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00DC8FD8"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559" w:type="dxa"/>
            <w:tcBorders>
              <w:top w:val="nil"/>
              <w:left w:val="nil"/>
              <w:bottom w:val="single" w:sz="4" w:space="0" w:color="auto"/>
              <w:right w:val="single" w:sz="4" w:space="0" w:color="auto"/>
            </w:tcBorders>
            <w:shd w:val="clear" w:color="auto" w:fill="auto"/>
            <w:noWrap/>
            <w:vAlign w:val="center"/>
            <w:hideMark/>
          </w:tcPr>
          <w:p w14:paraId="288712F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crown</w:t>
            </w:r>
          </w:p>
        </w:tc>
        <w:tc>
          <w:tcPr>
            <w:tcW w:w="3741" w:type="dxa"/>
            <w:tcBorders>
              <w:top w:val="nil"/>
              <w:left w:val="nil"/>
              <w:bottom w:val="single" w:sz="4" w:space="0" w:color="auto"/>
              <w:right w:val="single" w:sz="4" w:space="0" w:color="auto"/>
            </w:tcBorders>
            <w:shd w:val="clear" w:color="auto" w:fill="auto"/>
            <w:noWrap/>
            <w:vAlign w:val="bottom"/>
            <w:hideMark/>
          </w:tcPr>
          <w:p w14:paraId="60EF116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light EH around 3.5 </w:t>
            </w:r>
            <w:proofErr w:type="spellStart"/>
            <w:r w:rsidRPr="00C12443">
              <w:rPr>
                <w:rFonts w:asciiTheme="majorBidi" w:eastAsia="Times New Roman" w:hAnsiTheme="majorBidi" w:cstheme="majorBidi"/>
                <w:color w:val="000000"/>
                <w:lang w:eastAsia="en-US"/>
              </w:rPr>
              <w:t>yrs</w:t>
            </w:r>
            <w:proofErr w:type="spellEnd"/>
          </w:p>
        </w:tc>
      </w:tr>
      <w:tr w:rsidR="00322B92" w:rsidRPr="00C12443" w14:paraId="4EE85BB9" w14:textId="77777777" w:rsidTr="007B0C94">
        <w:trPr>
          <w:trHeight w:val="300"/>
        </w:trPr>
        <w:tc>
          <w:tcPr>
            <w:tcW w:w="127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29B365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6</w:t>
            </w:r>
          </w:p>
        </w:tc>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81168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male</w:t>
            </w:r>
          </w:p>
        </w:tc>
        <w:tc>
          <w:tcPr>
            <w:tcW w:w="99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E4B02C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6-12 </w:t>
            </w:r>
            <w:proofErr w:type="spellStart"/>
            <w:r w:rsidRPr="00C12443">
              <w:rPr>
                <w:rFonts w:asciiTheme="majorBidi" w:eastAsia="Times New Roman" w:hAnsiTheme="majorBidi" w:cstheme="majorBidi"/>
                <w:color w:val="000000"/>
                <w:lang w:eastAsia="en-US"/>
              </w:rPr>
              <w:t>mo</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5EB75BA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35965</w:t>
            </w:r>
          </w:p>
        </w:tc>
        <w:tc>
          <w:tcPr>
            <w:tcW w:w="992" w:type="dxa"/>
            <w:tcBorders>
              <w:top w:val="nil"/>
              <w:left w:val="nil"/>
              <w:bottom w:val="single" w:sz="4" w:space="0" w:color="auto"/>
              <w:right w:val="single" w:sz="4" w:space="0" w:color="auto"/>
            </w:tcBorders>
            <w:shd w:val="clear" w:color="auto" w:fill="auto"/>
            <w:noWrap/>
            <w:vAlign w:val="center"/>
            <w:hideMark/>
          </w:tcPr>
          <w:p w14:paraId="3B44B03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URdi1</w:t>
            </w:r>
          </w:p>
        </w:tc>
        <w:tc>
          <w:tcPr>
            <w:tcW w:w="1134" w:type="dxa"/>
            <w:tcBorders>
              <w:top w:val="nil"/>
              <w:left w:val="nil"/>
              <w:bottom w:val="single" w:sz="4" w:space="0" w:color="auto"/>
              <w:right w:val="single" w:sz="4" w:space="0" w:color="auto"/>
            </w:tcBorders>
            <w:shd w:val="clear" w:color="auto" w:fill="auto"/>
            <w:noWrap/>
            <w:vAlign w:val="center"/>
            <w:hideMark/>
          </w:tcPr>
          <w:p w14:paraId="5529534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2D6C72B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347A42A8"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root dentine</w:t>
            </w:r>
          </w:p>
        </w:tc>
        <w:tc>
          <w:tcPr>
            <w:tcW w:w="3741" w:type="dxa"/>
            <w:tcBorders>
              <w:top w:val="nil"/>
              <w:left w:val="nil"/>
              <w:bottom w:val="single" w:sz="4" w:space="0" w:color="auto"/>
              <w:right w:val="single" w:sz="4" w:space="0" w:color="auto"/>
            </w:tcBorders>
            <w:shd w:val="clear" w:color="auto" w:fill="auto"/>
            <w:noWrap/>
            <w:vAlign w:val="bottom"/>
            <w:hideMark/>
          </w:tcPr>
          <w:p w14:paraId="515BEEE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4.5mo-11mo</w:t>
            </w:r>
          </w:p>
        </w:tc>
      </w:tr>
      <w:tr w:rsidR="00322B92" w:rsidRPr="00C12443" w14:paraId="3B1F5470" w14:textId="77777777" w:rsidTr="007B0C94">
        <w:trPr>
          <w:trHeight w:val="300"/>
        </w:trPr>
        <w:tc>
          <w:tcPr>
            <w:tcW w:w="1276" w:type="dxa"/>
            <w:vMerge/>
            <w:tcBorders>
              <w:top w:val="nil"/>
              <w:left w:val="single" w:sz="4" w:space="0" w:color="auto"/>
              <w:bottom w:val="single" w:sz="4" w:space="0" w:color="auto"/>
              <w:right w:val="single" w:sz="4" w:space="0" w:color="auto"/>
            </w:tcBorders>
            <w:shd w:val="clear" w:color="auto" w:fill="auto"/>
            <w:vAlign w:val="center"/>
            <w:hideMark/>
          </w:tcPr>
          <w:p w14:paraId="43139934"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851" w:type="dxa"/>
            <w:vMerge/>
            <w:tcBorders>
              <w:top w:val="nil"/>
              <w:left w:val="single" w:sz="4" w:space="0" w:color="auto"/>
              <w:bottom w:val="single" w:sz="4" w:space="0" w:color="auto"/>
              <w:right w:val="single" w:sz="4" w:space="0" w:color="auto"/>
            </w:tcBorders>
            <w:shd w:val="clear" w:color="auto" w:fill="auto"/>
            <w:vAlign w:val="center"/>
            <w:hideMark/>
          </w:tcPr>
          <w:p w14:paraId="61E9474A"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vMerge/>
            <w:tcBorders>
              <w:top w:val="nil"/>
              <w:left w:val="single" w:sz="4" w:space="0" w:color="auto"/>
              <w:bottom w:val="single" w:sz="4" w:space="0" w:color="auto"/>
              <w:right w:val="single" w:sz="4" w:space="0" w:color="auto"/>
            </w:tcBorders>
            <w:shd w:val="clear" w:color="auto" w:fill="auto"/>
            <w:vAlign w:val="center"/>
            <w:hideMark/>
          </w:tcPr>
          <w:p w14:paraId="4D60D532" w14:textId="77777777" w:rsidR="00322B92" w:rsidRPr="00C12443" w:rsidRDefault="00322B92" w:rsidP="00322B92">
            <w:pPr>
              <w:spacing w:after="0" w:line="240" w:lineRule="auto"/>
              <w:rPr>
                <w:rFonts w:asciiTheme="majorBidi" w:eastAsia="Times New Roman" w:hAnsiTheme="majorBidi" w:cstheme="majorBidi"/>
                <w:color w:val="000000"/>
                <w:lang w:eastAsia="en-US"/>
              </w:rPr>
            </w:pPr>
          </w:p>
        </w:tc>
        <w:tc>
          <w:tcPr>
            <w:tcW w:w="992" w:type="dxa"/>
            <w:tcBorders>
              <w:top w:val="nil"/>
              <w:left w:val="nil"/>
              <w:bottom w:val="single" w:sz="4" w:space="0" w:color="auto"/>
              <w:right w:val="single" w:sz="4" w:space="0" w:color="auto"/>
            </w:tcBorders>
            <w:shd w:val="clear" w:color="auto" w:fill="auto"/>
            <w:noWrap/>
            <w:vAlign w:val="center"/>
            <w:hideMark/>
          </w:tcPr>
          <w:p w14:paraId="16DFCDE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35964</w:t>
            </w:r>
          </w:p>
        </w:tc>
        <w:tc>
          <w:tcPr>
            <w:tcW w:w="992" w:type="dxa"/>
            <w:tcBorders>
              <w:top w:val="nil"/>
              <w:left w:val="nil"/>
              <w:bottom w:val="single" w:sz="4" w:space="0" w:color="auto"/>
              <w:right w:val="single" w:sz="4" w:space="0" w:color="auto"/>
            </w:tcBorders>
            <w:shd w:val="clear" w:color="auto" w:fill="auto"/>
            <w:noWrap/>
            <w:vAlign w:val="center"/>
            <w:hideMark/>
          </w:tcPr>
          <w:p w14:paraId="22EB28F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URdm2</w:t>
            </w:r>
          </w:p>
        </w:tc>
        <w:tc>
          <w:tcPr>
            <w:tcW w:w="1134" w:type="dxa"/>
            <w:tcBorders>
              <w:top w:val="nil"/>
              <w:left w:val="nil"/>
              <w:bottom w:val="single" w:sz="4" w:space="0" w:color="auto"/>
              <w:right w:val="single" w:sz="4" w:space="0" w:color="auto"/>
            </w:tcBorders>
            <w:shd w:val="clear" w:color="auto" w:fill="auto"/>
            <w:noWrap/>
            <w:vAlign w:val="center"/>
            <w:hideMark/>
          </w:tcPr>
          <w:p w14:paraId="328EF328"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3113093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559" w:type="dxa"/>
            <w:tcBorders>
              <w:top w:val="nil"/>
              <w:left w:val="nil"/>
              <w:bottom w:val="single" w:sz="4" w:space="0" w:color="auto"/>
              <w:right w:val="single" w:sz="4" w:space="0" w:color="auto"/>
            </w:tcBorders>
            <w:shd w:val="clear" w:color="auto" w:fill="auto"/>
            <w:noWrap/>
            <w:vAlign w:val="center"/>
            <w:hideMark/>
          </w:tcPr>
          <w:p w14:paraId="4254777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3741" w:type="dxa"/>
            <w:tcBorders>
              <w:top w:val="nil"/>
              <w:left w:val="nil"/>
              <w:bottom w:val="single" w:sz="4" w:space="0" w:color="auto"/>
              <w:right w:val="single" w:sz="4" w:space="0" w:color="auto"/>
            </w:tcBorders>
            <w:shd w:val="clear" w:color="auto" w:fill="auto"/>
            <w:noWrap/>
            <w:vAlign w:val="bottom"/>
            <w:hideMark/>
          </w:tcPr>
          <w:p w14:paraId="3D77E1D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r>
      <w:tr w:rsidR="00322B92" w:rsidRPr="00C12443" w14:paraId="4EDD6D0D" w14:textId="77777777" w:rsidTr="007B0C94">
        <w:trPr>
          <w:trHeight w:val="3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3BF71F0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9</w:t>
            </w:r>
          </w:p>
        </w:tc>
        <w:tc>
          <w:tcPr>
            <w:tcW w:w="851" w:type="dxa"/>
            <w:tcBorders>
              <w:top w:val="nil"/>
              <w:left w:val="nil"/>
              <w:bottom w:val="single" w:sz="4" w:space="0" w:color="auto"/>
              <w:right w:val="single" w:sz="4" w:space="0" w:color="auto"/>
            </w:tcBorders>
            <w:shd w:val="clear" w:color="auto" w:fill="auto"/>
            <w:noWrap/>
            <w:vAlign w:val="center"/>
            <w:hideMark/>
          </w:tcPr>
          <w:p w14:paraId="126E67A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female</w:t>
            </w:r>
          </w:p>
        </w:tc>
        <w:tc>
          <w:tcPr>
            <w:tcW w:w="992" w:type="dxa"/>
            <w:tcBorders>
              <w:top w:val="nil"/>
              <w:left w:val="nil"/>
              <w:bottom w:val="single" w:sz="4" w:space="0" w:color="auto"/>
              <w:right w:val="single" w:sz="4" w:space="0" w:color="auto"/>
            </w:tcBorders>
            <w:shd w:val="clear" w:color="auto" w:fill="auto"/>
            <w:noWrap/>
            <w:vAlign w:val="center"/>
            <w:hideMark/>
          </w:tcPr>
          <w:p w14:paraId="308B1AC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5-6 </w:t>
            </w:r>
            <w:proofErr w:type="spellStart"/>
            <w:r w:rsidRPr="00C12443">
              <w:rPr>
                <w:rFonts w:asciiTheme="majorBidi" w:eastAsia="Times New Roman" w:hAnsiTheme="majorBidi" w:cstheme="majorBidi"/>
                <w:color w:val="000000"/>
                <w:lang w:eastAsia="en-US"/>
              </w:rPr>
              <w:t>mo</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63901FF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35966</w:t>
            </w:r>
          </w:p>
        </w:tc>
        <w:tc>
          <w:tcPr>
            <w:tcW w:w="992" w:type="dxa"/>
            <w:tcBorders>
              <w:top w:val="nil"/>
              <w:left w:val="nil"/>
              <w:bottom w:val="single" w:sz="4" w:space="0" w:color="auto"/>
              <w:right w:val="single" w:sz="4" w:space="0" w:color="auto"/>
            </w:tcBorders>
            <w:shd w:val="clear" w:color="auto" w:fill="auto"/>
            <w:noWrap/>
            <w:vAlign w:val="center"/>
            <w:hideMark/>
          </w:tcPr>
          <w:p w14:paraId="2B26F30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ULM2</w:t>
            </w:r>
          </w:p>
        </w:tc>
        <w:tc>
          <w:tcPr>
            <w:tcW w:w="1134" w:type="dxa"/>
            <w:tcBorders>
              <w:top w:val="nil"/>
              <w:left w:val="nil"/>
              <w:bottom w:val="single" w:sz="4" w:space="0" w:color="auto"/>
              <w:right w:val="single" w:sz="4" w:space="0" w:color="auto"/>
            </w:tcBorders>
            <w:shd w:val="clear" w:color="auto" w:fill="auto"/>
            <w:noWrap/>
            <w:vAlign w:val="center"/>
            <w:hideMark/>
          </w:tcPr>
          <w:p w14:paraId="1045A158"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5A4B6BF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559" w:type="dxa"/>
            <w:tcBorders>
              <w:top w:val="nil"/>
              <w:left w:val="nil"/>
              <w:bottom w:val="single" w:sz="4" w:space="0" w:color="auto"/>
              <w:right w:val="single" w:sz="4" w:space="0" w:color="auto"/>
            </w:tcBorders>
            <w:shd w:val="clear" w:color="auto" w:fill="auto"/>
            <w:noWrap/>
            <w:vAlign w:val="center"/>
            <w:hideMark/>
          </w:tcPr>
          <w:p w14:paraId="1A7A732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3741" w:type="dxa"/>
            <w:tcBorders>
              <w:top w:val="nil"/>
              <w:left w:val="nil"/>
              <w:bottom w:val="single" w:sz="4" w:space="0" w:color="auto"/>
              <w:right w:val="single" w:sz="4" w:space="0" w:color="auto"/>
            </w:tcBorders>
            <w:shd w:val="clear" w:color="auto" w:fill="auto"/>
            <w:noWrap/>
            <w:vAlign w:val="bottom"/>
            <w:hideMark/>
          </w:tcPr>
          <w:p w14:paraId="66A1238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r>
      <w:tr w:rsidR="00322B92" w:rsidRPr="00C12443" w14:paraId="35A1B6A2" w14:textId="77777777" w:rsidTr="007B0C94">
        <w:trPr>
          <w:trHeight w:val="3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1FAD789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13</w:t>
            </w:r>
          </w:p>
        </w:tc>
        <w:tc>
          <w:tcPr>
            <w:tcW w:w="851" w:type="dxa"/>
            <w:tcBorders>
              <w:top w:val="nil"/>
              <w:left w:val="nil"/>
              <w:bottom w:val="single" w:sz="4" w:space="0" w:color="auto"/>
              <w:right w:val="single" w:sz="4" w:space="0" w:color="auto"/>
            </w:tcBorders>
            <w:shd w:val="clear" w:color="auto" w:fill="auto"/>
            <w:noWrap/>
            <w:vAlign w:val="center"/>
            <w:hideMark/>
          </w:tcPr>
          <w:p w14:paraId="5CF8362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male</w:t>
            </w:r>
          </w:p>
        </w:tc>
        <w:tc>
          <w:tcPr>
            <w:tcW w:w="992" w:type="dxa"/>
            <w:tcBorders>
              <w:top w:val="nil"/>
              <w:left w:val="nil"/>
              <w:bottom w:val="single" w:sz="4" w:space="0" w:color="auto"/>
              <w:right w:val="single" w:sz="4" w:space="0" w:color="auto"/>
            </w:tcBorders>
            <w:shd w:val="clear" w:color="auto" w:fill="auto"/>
            <w:noWrap/>
            <w:vAlign w:val="center"/>
            <w:hideMark/>
          </w:tcPr>
          <w:p w14:paraId="3941AB2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18-20 </w:t>
            </w:r>
            <w:proofErr w:type="spellStart"/>
            <w:r w:rsidRPr="00C12443">
              <w:rPr>
                <w:rFonts w:asciiTheme="majorBidi" w:eastAsia="Times New Roman" w:hAnsiTheme="majorBidi" w:cstheme="majorBidi"/>
                <w:color w:val="000000"/>
                <w:lang w:eastAsia="en-US"/>
              </w:rPr>
              <w:t>yr</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27504AE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35975</w:t>
            </w:r>
          </w:p>
        </w:tc>
        <w:tc>
          <w:tcPr>
            <w:tcW w:w="992" w:type="dxa"/>
            <w:tcBorders>
              <w:top w:val="nil"/>
              <w:left w:val="nil"/>
              <w:bottom w:val="single" w:sz="4" w:space="0" w:color="auto"/>
              <w:right w:val="single" w:sz="4" w:space="0" w:color="auto"/>
            </w:tcBorders>
            <w:shd w:val="clear" w:color="auto" w:fill="auto"/>
            <w:noWrap/>
            <w:vAlign w:val="center"/>
            <w:hideMark/>
          </w:tcPr>
          <w:p w14:paraId="4E56D8F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LRM3</w:t>
            </w:r>
          </w:p>
        </w:tc>
        <w:tc>
          <w:tcPr>
            <w:tcW w:w="1134" w:type="dxa"/>
            <w:tcBorders>
              <w:top w:val="nil"/>
              <w:left w:val="nil"/>
              <w:bottom w:val="single" w:sz="4" w:space="0" w:color="auto"/>
              <w:right w:val="single" w:sz="4" w:space="0" w:color="auto"/>
            </w:tcBorders>
            <w:shd w:val="clear" w:color="auto" w:fill="auto"/>
            <w:noWrap/>
            <w:vAlign w:val="center"/>
            <w:hideMark/>
          </w:tcPr>
          <w:p w14:paraId="74CF1D8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48AD9A8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470E84C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crown enamel</w:t>
            </w:r>
          </w:p>
        </w:tc>
        <w:tc>
          <w:tcPr>
            <w:tcW w:w="3741" w:type="dxa"/>
            <w:tcBorders>
              <w:top w:val="nil"/>
              <w:left w:val="nil"/>
              <w:bottom w:val="single" w:sz="4" w:space="0" w:color="auto"/>
              <w:right w:val="single" w:sz="4" w:space="0" w:color="auto"/>
            </w:tcBorders>
            <w:shd w:val="clear" w:color="auto" w:fill="auto"/>
            <w:noWrap/>
            <w:vAlign w:val="bottom"/>
            <w:hideMark/>
          </w:tcPr>
          <w:p w14:paraId="1308048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around 13-14yrs</w:t>
            </w:r>
          </w:p>
        </w:tc>
      </w:tr>
      <w:tr w:rsidR="00322B92" w:rsidRPr="00C12443" w14:paraId="4B9A5E4C" w14:textId="77777777" w:rsidTr="007B0C94">
        <w:trPr>
          <w:trHeight w:val="3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17E842A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14</w:t>
            </w:r>
          </w:p>
        </w:tc>
        <w:tc>
          <w:tcPr>
            <w:tcW w:w="851" w:type="dxa"/>
            <w:tcBorders>
              <w:top w:val="nil"/>
              <w:left w:val="nil"/>
              <w:bottom w:val="single" w:sz="4" w:space="0" w:color="auto"/>
              <w:right w:val="single" w:sz="4" w:space="0" w:color="auto"/>
            </w:tcBorders>
            <w:shd w:val="clear" w:color="auto" w:fill="auto"/>
            <w:noWrap/>
            <w:vAlign w:val="center"/>
            <w:hideMark/>
          </w:tcPr>
          <w:p w14:paraId="4452371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male</w:t>
            </w:r>
          </w:p>
        </w:tc>
        <w:tc>
          <w:tcPr>
            <w:tcW w:w="992" w:type="dxa"/>
            <w:tcBorders>
              <w:top w:val="nil"/>
              <w:left w:val="nil"/>
              <w:bottom w:val="single" w:sz="4" w:space="0" w:color="auto"/>
              <w:right w:val="single" w:sz="4" w:space="0" w:color="auto"/>
            </w:tcBorders>
            <w:shd w:val="clear" w:color="auto" w:fill="auto"/>
            <w:noWrap/>
            <w:vAlign w:val="center"/>
            <w:hideMark/>
          </w:tcPr>
          <w:p w14:paraId="21195F0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18-20 </w:t>
            </w:r>
            <w:proofErr w:type="spellStart"/>
            <w:r w:rsidRPr="00C12443">
              <w:rPr>
                <w:rFonts w:asciiTheme="majorBidi" w:eastAsia="Times New Roman" w:hAnsiTheme="majorBidi" w:cstheme="majorBidi"/>
                <w:color w:val="000000"/>
                <w:lang w:eastAsia="en-US"/>
              </w:rPr>
              <w:t>yr</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656057C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35980</w:t>
            </w:r>
          </w:p>
        </w:tc>
        <w:tc>
          <w:tcPr>
            <w:tcW w:w="992" w:type="dxa"/>
            <w:tcBorders>
              <w:top w:val="nil"/>
              <w:left w:val="nil"/>
              <w:bottom w:val="single" w:sz="4" w:space="0" w:color="auto"/>
              <w:right w:val="single" w:sz="4" w:space="0" w:color="auto"/>
            </w:tcBorders>
            <w:shd w:val="clear" w:color="auto" w:fill="auto"/>
            <w:noWrap/>
            <w:vAlign w:val="center"/>
            <w:hideMark/>
          </w:tcPr>
          <w:p w14:paraId="3C154AC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LRP4</w:t>
            </w:r>
          </w:p>
        </w:tc>
        <w:tc>
          <w:tcPr>
            <w:tcW w:w="1134" w:type="dxa"/>
            <w:tcBorders>
              <w:top w:val="nil"/>
              <w:left w:val="nil"/>
              <w:bottom w:val="single" w:sz="4" w:space="0" w:color="auto"/>
              <w:right w:val="single" w:sz="4" w:space="0" w:color="auto"/>
            </w:tcBorders>
            <w:shd w:val="clear" w:color="auto" w:fill="auto"/>
            <w:noWrap/>
            <w:vAlign w:val="center"/>
            <w:hideMark/>
          </w:tcPr>
          <w:p w14:paraId="17E1D4E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center"/>
            <w:hideMark/>
          </w:tcPr>
          <w:p w14:paraId="4DB1BFB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3714BDDA" w14:textId="3F82575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31C41D0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4yrs- 10yrs</w:t>
            </w:r>
          </w:p>
        </w:tc>
      </w:tr>
      <w:tr w:rsidR="00322B92" w:rsidRPr="00C12443" w14:paraId="083967A2" w14:textId="77777777" w:rsidTr="007B0C9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7C2071C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03B90BC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6D048A5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623CBB7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35959</w:t>
            </w:r>
          </w:p>
        </w:tc>
        <w:tc>
          <w:tcPr>
            <w:tcW w:w="992" w:type="dxa"/>
            <w:tcBorders>
              <w:top w:val="nil"/>
              <w:left w:val="nil"/>
              <w:bottom w:val="single" w:sz="4" w:space="0" w:color="auto"/>
              <w:right w:val="single" w:sz="4" w:space="0" w:color="auto"/>
            </w:tcBorders>
            <w:shd w:val="clear" w:color="auto" w:fill="auto"/>
            <w:noWrap/>
            <w:vAlign w:val="bottom"/>
            <w:hideMark/>
          </w:tcPr>
          <w:p w14:paraId="4EEFDDF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proofErr w:type="spellStart"/>
            <w:r w:rsidRPr="00C12443">
              <w:rPr>
                <w:rFonts w:asciiTheme="majorBidi" w:eastAsia="Times New Roman" w:hAnsiTheme="majorBidi" w:cstheme="majorBidi"/>
                <w:color w:val="000000"/>
                <w:lang w:eastAsia="en-US"/>
              </w:rPr>
              <w:t>LxI</w:t>
            </w:r>
            <w:proofErr w:type="spellEnd"/>
          </w:p>
        </w:tc>
        <w:tc>
          <w:tcPr>
            <w:tcW w:w="1134" w:type="dxa"/>
            <w:tcBorders>
              <w:top w:val="nil"/>
              <w:left w:val="nil"/>
              <w:bottom w:val="single" w:sz="4" w:space="0" w:color="auto"/>
              <w:right w:val="single" w:sz="4" w:space="0" w:color="auto"/>
            </w:tcBorders>
            <w:shd w:val="clear" w:color="auto" w:fill="auto"/>
            <w:noWrap/>
            <w:vAlign w:val="bottom"/>
            <w:hideMark/>
          </w:tcPr>
          <w:p w14:paraId="6322B5C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bottom"/>
            <w:hideMark/>
          </w:tcPr>
          <w:p w14:paraId="45A5635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bottom"/>
            <w:hideMark/>
          </w:tcPr>
          <w:p w14:paraId="74E11A0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root</w:t>
            </w:r>
          </w:p>
        </w:tc>
        <w:tc>
          <w:tcPr>
            <w:tcW w:w="3741" w:type="dxa"/>
            <w:tcBorders>
              <w:top w:val="nil"/>
              <w:left w:val="nil"/>
              <w:bottom w:val="single" w:sz="4" w:space="0" w:color="auto"/>
              <w:right w:val="single" w:sz="4" w:space="0" w:color="auto"/>
            </w:tcBorders>
            <w:shd w:val="clear" w:color="auto" w:fill="auto"/>
            <w:noWrap/>
            <w:vAlign w:val="bottom"/>
            <w:hideMark/>
          </w:tcPr>
          <w:p w14:paraId="7AB18B4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3yrs- 11yrs</w:t>
            </w:r>
          </w:p>
        </w:tc>
      </w:tr>
      <w:tr w:rsidR="00322B92" w:rsidRPr="00C12443" w14:paraId="5E8F626B" w14:textId="77777777" w:rsidTr="001868C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1D496BE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24BE0DCF"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2A24863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563D681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35960</w:t>
            </w:r>
          </w:p>
        </w:tc>
        <w:tc>
          <w:tcPr>
            <w:tcW w:w="992" w:type="dxa"/>
            <w:tcBorders>
              <w:top w:val="nil"/>
              <w:left w:val="nil"/>
              <w:bottom w:val="single" w:sz="4" w:space="0" w:color="auto"/>
              <w:right w:val="single" w:sz="4" w:space="0" w:color="auto"/>
            </w:tcBorders>
            <w:shd w:val="clear" w:color="auto" w:fill="auto"/>
            <w:noWrap/>
            <w:vAlign w:val="bottom"/>
            <w:hideMark/>
          </w:tcPr>
          <w:p w14:paraId="0CCEDCC0"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llI2</w:t>
            </w:r>
          </w:p>
        </w:tc>
        <w:tc>
          <w:tcPr>
            <w:tcW w:w="1134" w:type="dxa"/>
            <w:tcBorders>
              <w:top w:val="nil"/>
              <w:left w:val="nil"/>
              <w:bottom w:val="single" w:sz="4" w:space="0" w:color="auto"/>
              <w:right w:val="single" w:sz="4" w:space="0" w:color="auto"/>
            </w:tcBorders>
            <w:shd w:val="clear" w:color="auto" w:fill="auto"/>
            <w:noWrap/>
            <w:vAlign w:val="bottom"/>
            <w:hideMark/>
          </w:tcPr>
          <w:p w14:paraId="76F7738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bottom"/>
            <w:hideMark/>
          </w:tcPr>
          <w:p w14:paraId="0E183B0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529DDA9B" w14:textId="7CF79FF5"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0CD83C56"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strong EH 3yrs-5yrs + slight stress between 5 and 10yrs </w:t>
            </w:r>
          </w:p>
        </w:tc>
      </w:tr>
      <w:tr w:rsidR="00322B92" w:rsidRPr="00C12443" w14:paraId="489A2349" w14:textId="77777777" w:rsidTr="001868C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3DBF7F0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76793FC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2490A86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5C989170"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35968</w:t>
            </w:r>
          </w:p>
        </w:tc>
        <w:tc>
          <w:tcPr>
            <w:tcW w:w="992" w:type="dxa"/>
            <w:tcBorders>
              <w:top w:val="nil"/>
              <w:left w:val="nil"/>
              <w:bottom w:val="single" w:sz="4" w:space="0" w:color="auto"/>
              <w:right w:val="single" w:sz="4" w:space="0" w:color="auto"/>
            </w:tcBorders>
            <w:shd w:val="clear" w:color="auto" w:fill="auto"/>
            <w:noWrap/>
            <w:vAlign w:val="bottom"/>
            <w:hideMark/>
          </w:tcPr>
          <w:p w14:paraId="64106DB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ULM3</w:t>
            </w:r>
          </w:p>
        </w:tc>
        <w:tc>
          <w:tcPr>
            <w:tcW w:w="1134" w:type="dxa"/>
            <w:tcBorders>
              <w:top w:val="nil"/>
              <w:left w:val="nil"/>
              <w:bottom w:val="single" w:sz="4" w:space="0" w:color="auto"/>
              <w:right w:val="single" w:sz="4" w:space="0" w:color="auto"/>
            </w:tcBorders>
            <w:shd w:val="clear" w:color="auto" w:fill="auto"/>
            <w:noWrap/>
            <w:vAlign w:val="bottom"/>
            <w:hideMark/>
          </w:tcPr>
          <w:p w14:paraId="654E2B98"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bottom"/>
            <w:hideMark/>
          </w:tcPr>
          <w:p w14:paraId="02EB5AD0"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center"/>
            <w:hideMark/>
          </w:tcPr>
          <w:p w14:paraId="1A0782F4" w14:textId="11232BFF"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Pr>
                <w:rFonts w:asciiTheme="majorBidi" w:eastAsia="Times New Roman" w:hAnsiTheme="majorBidi" w:cstheme="majorBidi"/>
                <w:color w:val="000000"/>
                <w:lang w:eastAsia="en-US"/>
              </w:rPr>
              <w:t>Whole tooth</w:t>
            </w:r>
          </w:p>
        </w:tc>
        <w:tc>
          <w:tcPr>
            <w:tcW w:w="3741" w:type="dxa"/>
            <w:tcBorders>
              <w:top w:val="nil"/>
              <w:left w:val="nil"/>
              <w:bottom w:val="single" w:sz="4" w:space="0" w:color="auto"/>
              <w:right w:val="single" w:sz="4" w:space="0" w:color="auto"/>
            </w:tcBorders>
            <w:shd w:val="clear" w:color="auto" w:fill="auto"/>
            <w:noWrap/>
            <w:vAlign w:val="bottom"/>
            <w:hideMark/>
          </w:tcPr>
          <w:p w14:paraId="2D37969F"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14yrs-16yrs</w:t>
            </w:r>
          </w:p>
        </w:tc>
      </w:tr>
      <w:tr w:rsidR="00322B92" w:rsidRPr="00C12443" w14:paraId="756EC351" w14:textId="77777777" w:rsidTr="007B0C9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5C4872F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626F90E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6D179F1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3E3F7B7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35969</w:t>
            </w:r>
          </w:p>
        </w:tc>
        <w:tc>
          <w:tcPr>
            <w:tcW w:w="992" w:type="dxa"/>
            <w:tcBorders>
              <w:top w:val="nil"/>
              <w:left w:val="nil"/>
              <w:bottom w:val="single" w:sz="4" w:space="0" w:color="auto"/>
              <w:right w:val="single" w:sz="4" w:space="0" w:color="auto"/>
            </w:tcBorders>
            <w:shd w:val="clear" w:color="auto" w:fill="auto"/>
            <w:noWrap/>
            <w:vAlign w:val="bottom"/>
            <w:hideMark/>
          </w:tcPr>
          <w:p w14:paraId="247067F6"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LRI2</w:t>
            </w:r>
          </w:p>
        </w:tc>
        <w:tc>
          <w:tcPr>
            <w:tcW w:w="1134" w:type="dxa"/>
            <w:tcBorders>
              <w:top w:val="nil"/>
              <w:left w:val="nil"/>
              <w:bottom w:val="single" w:sz="4" w:space="0" w:color="auto"/>
              <w:right w:val="single" w:sz="4" w:space="0" w:color="auto"/>
            </w:tcBorders>
            <w:shd w:val="clear" w:color="auto" w:fill="auto"/>
            <w:noWrap/>
            <w:vAlign w:val="bottom"/>
            <w:hideMark/>
          </w:tcPr>
          <w:p w14:paraId="0751192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bottom"/>
            <w:hideMark/>
          </w:tcPr>
          <w:p w14:paraId="4D3E4C9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bottom"/>
            <w:hideMark/>
          </w:tcPr>
          <w:p w14:paraId="6A0C7CB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root</w:t>
            </w:r>
          </w:p>
        </w:tc>
        <w:tc>
          <w:tcPr>
            <w:tcW w:w="3741" w:type="dxa"/>
            <w:tcBorders>
              <w:top w:val="nil"/>
              <w:left w:val="nil"/>
              <w:bottom w:val="single" w:sz="4" w:space="0" w:color="auto"/>
              <w:right w:val="single" w:sz="4" w:space="0" w:color="auto"/>
            </w:tcBorders>
            <w:shd w:val="clear" w:color="auto" w:fill="auto"/>
            <w:noWrap/>
            <w:vAlign w:val="bottom"/>
            <w:hideMark/>
          </w:tcPr>
          <w:p w14:paraId="7C19661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7yrs-10yrs</w:t>
            </w:r>
          </w:p>
        </w:tc>
      </w:tr>
      <w:tr w:rsidR="00322B92" w:rsidRPr="00C12443" w14:paraId="11174C9F" w14:textId="77777777" w:rsidTr="007B0C9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3547EC8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234A5C8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76CD4EB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3D516C8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35972</w:t>
            </w:r>
          </w:p>
        </w:tc>
        <w:tc>
          <w:tcPr>
            <w:tcW w:w="992" w:type="dxa"/>
            <w:tcBorders>
              <w:top w:val="nil"/>
              <w:left w:val="nil"/>
              <w:bottom w:val="single" w:sz="4" w:space="0" w:color="auto"/>
              <w:right w:val="single" w:sz="4" w:space="0" w:color="auto"/>
            </w:tcBorders>
            <w:shd w:val="clear" w:color="auto" w:fill="auto"/>
            <w:noWrap/>
            <w:vAlign w:val="bottom"/>
            <w:hideMark/>
          </w:tcPr>
          <w:p w14:paraId="77BCDA0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LLP3</w:t>
            </w:r>
          </w:p>
        </w:tc>
        <w:tc>
          <w:tcPr>
            <w:tcW w:w="1134" w:type="dxa"/>
            <w:tcBorders>
              <w:top w:val="nil"/>
              <w:left w:val="nil"/>
              <w:bottom w:val="single" w:sz="4" w:space="0" w:color="auto"/>
              <w:right w:val="single" w:sz="4" w:space="0" w:color="auto"/>
            </w:tcBorders>
            <w:shd w:val="clear" w:color="auto" w:fill="auto"/>
            <w:noWrap/>
            <w:vAlign w:val="bottom"/>
            <w:hideMark/>
          </w:tcPr>
          <w:p w14:paraId="2305CCE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bottom"/>
            <w:hideMark/>
          </w:tcPr>
          <w:p w14:paraId="3091E1B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bottom"/>
            <w:hideMark/>
          </w:tcPr>
          <w:p w14:paraId="678D7E6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root</w:t>
            </w:r>
          </w:p>
        </w:tc>
        <w:tc>
          <w:tcPr>
            <w:tcW w:w="3741" w:type="dxa"/>
            <w:tcBorders>
              <w:top w:val="nil"/>
              <w:left w:val="nil"/>
              <w:bottom w:val="single" w:sz="4" w:space="0" w:color="auto"/>
              <w:right w:val="single" w:sz="4" w:space="0" w:color="auto"/>
            </w:tcBorders>
            <w:shd w:val="clear" w:color="auto" w:fill="auto"/>
            <w:noWrap/>
            <w:vAlign w:val="bottom"/>
            <w:hideMark/>
          </w:tcPr>
          <w:p w14:paraId="3A37FDFB"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6yrs-10yrs</w:t>
            </w:r>
          </w:p>
        </w:tc>
      </w:tr>
      <w:tr w:rsidR="00322B92" w:rsidRPr="00C12443" w14:paraId="22459C78" w14:textId="77777777" w:rsidTr="007B0C9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45E31959"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34503DE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0563A73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5B123906"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35973</w:t>
            </w:r>
          </w:p>
        </w:tc>
        <w:tc>
          <w:tcPr>
            <w:tcW w:w="992" w:type="dxa"/>
            <w:tcBorders>
              <w:top w:val="nil"/>
              <w:left w:val="nil"/>
              <w:bottom w:val="single" w:sz="4" w:space="0" w:color="auto"/>
              <w:right w:val="single" w:sz="4" w:space="0" w:color="auto"/>
            </w:tcBorders>
            <w:shd w:val="clear" w:color="auto" w:fill="auto"/>
            <w:noWrap/>
            <w:vAlign w:val="bottom"/>
            <w:hideMark/>
          </w:tcPr>
          <w:p w14:paraId="652291C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LRI2 </w:t>
            </w:r>
            <w:proofErr w:type="spellStart"/>
            <w:r w:rsidRPr="00C12443">
              <w:rPr>
                <w:rFonts w:asciiTheme="majorBidi" w:eastAsia="Times New Roman" w:hAnsiTheme="majorBidi" w:cstheme="majorBidi"/>
                <w:color w:val="000000"/>
                <w:lang w:eastAsia="en-US"/>
              </w:rPr>
              <w:t>ou</w:t>
            </w:r>
            <w:proofErr w:type="spellEnd"/>
            <w:r w:rsidRPr="00C12443">
              <w:rPr>
                <w:rFonts w:asciiTheme="majorBidi" w:eastAsia="Times New Roman" w:hAnsiTheme="majorBidi" w:cstheme="majorBidi"/>
                <w:color w:val="000000"/>
                <w:lang w:eastAsia="en-US"/>
              </w:rPr>
              <w:t xml:space="preserve"> LRC</w:t>
            </w:r>
          </w:p>
        </w:tc>
        <w:tc>
          <w:tcPr>
            <w:tcW w:w="1134" w:type="dxa"/>
            <w:tcBorders>
              <w:top w:val="nil"/>
              <w:left w:val="nil"/>
              <w:bottom w:val="single" w:sz="4" w:space="0" w:color="auto"/>
              <w:right w:val="single" w:sz="4" w:space="0" w:color="auto"/>
            </w:tcBorders>
            <w:shd w:val="clear" w:color="auto" w:fill="auto"/>
            <w:noWrap/>
            <w:vAlign w:val="bottom"/>
            <w:hideMark/>
          </w:tcPr>
          <w:p w14:paraId="7A3FE0D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bottom"/>
            <w:hideMark/>
          </w:tcPr>
          <w:p w14:paraId="7FA0F4D0"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559" w:type="dxa"/>
            <w:tcBorders>
              <w:top w:val="nil"/>
              <w:left w:val="nil"/>
              <w:bottom w:val="single" w:sz="4" w:space="0" w:color="auto"/>
              <w:right w:val="single" w:sz="4" w:space="0" w:color="auto"/>
            </w:tcBorders>
            <w:shd w:val="clear" w:color="auto" w:fill="auto"/>
            <w:noWrap/>
            <w:vAlign w:val="bottom"/>
            <w:hideMark/>
          </w:tcPr>
          <w:p w14:paraId="5CDCBAA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3741" w:type="dxa"/>
            <w:tcBorders>
              <w:top w:val="nil"/>
              <w:left w:val="nil"/>
              <w:bottom w:val="single" w:sz="4" w:space="0" w:color="auto"/>
              <w:right w:val="single" w:sz="4" w:space="0" w:color="auto"/>
            </w:tcBorders>
            <w:shd w:val="clear" w:color="auto" w:fill="auto"/>
            <w:noWrap/>
            <w:vAlign w:val="bottom"/>
            <w:hideMark/>
          </w:tcPr>
          <w:p w14:paraId="1AF0C86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r>
      <w:tr w:rsidR="00322B92" w:rsidRPr="00C12443" w14:paraId="350E2F4F" w14:textId="77777777" w:rsidTr="007B0C9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63907B2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lastRenderedPageBreak/>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38D0DBD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3F8F6136"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7A9129B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35974</w:t>
            </w:r>
          </w:p>
        </w:tc>
        <w:tc>
          <w:tcPr>
            <w:tcW w:w="992" w:type="dxa"/>
            <w:tcBorders>
              <w:top w:val="nil"/>
              <w:left w:val="nil"/>
              <w:bottom w:val="single" w:sz="4" w:space="0" w:color="auto"/>
              <w:right w:val="single" w:sz="4" w:space="0" w:color="auto"/>
            </w:tcBorders>
            <w:shd w:val="clear" w:color="auto" w:fill="auto"/>
            <w:noWrap/>
            <w:vAlign w:val="bottom"/>
            <w:hideMark/>
          </w:tcPr>
          <w:p w14:paraId="2DFAF85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ULM3</w:t>
            </w:r>
          </w:p>
        </w:tc>
        <w:tc>
          <w:tcPr>
            <w:tcW w:w="1134" w:type="dxa"/>
            <w:tcBorders>
              <w:top w:val="nil"/>
              <w:left w:val="nil"/>
              <w:bottom w:val="single" w:sz="4" w:space="0" w:color="auto"/>
              <w:right w:val="single" w:sz="4" w:space="0" w:color="auto"/>
            </w:tcBorders>
            <w:shd w:val="clear" w:color="auto" w:fill="auto"/>
            <w:noWrap/>
            <w:vAlign w:val="bottom"/>
            <w:hideMark/>
          </w:tcPr>
          <w:p w14:paraId="101558B4"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418" w:type="dxa"/>
            <w:tcBorders>
              <w:top w:val="nil"/>
              <w:left w:val="nil"/>
              <w:bottom w:val="single" w:sz="4" w:space="0" w:color="auto"/>
              <w:right w:val="single" w:sz="4" w:space="0" w:color="auto"/>
            </w:tcBorders>
            <w:shd w:val="clear" w:color="auto" w:fill="auto"/>
            <w:noWrap/>
            <w:vAlign w:val="bottom"/>
            <w:hideMark/>
          </w:tcPr>
          <w:p w14:paraId="1DF8AEF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bottom"/>
            <w:hideMark/>
          </w:tcPr>
          <w:p w14:paraId="685DB8DC"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crown and root </w:t>
            </w:r>
          </w:p>
        </w:tc>
        <w:tc>
          <w:tcPr>
            <w:tcW w:w="3741" w:type="dxa"/>
            <w:tcBorders>
              <w:top w:val="nil"/>
              <w:left w:val="nil"/>
              <w:bottom w:val="single" w:sz="4" w:space="0" w:color="auto"/>
              <w:right w:val="single" w:sz="4" w:space="0" w:color="auto"/>
            </w:tcBorders>
            <w:shd w:val="clear" w:color="auto" w:fill="auto"/>
            <w:noWrap/>
            <w:vAlign w:val="bottom"/>
            <w:hideMark/>
          </w:tcPr>
          <w:p w14:paraId="6E89BC6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12 </w:t>
            </w:r>
            <w:proofErr w:type="spellStart"/>
            <w:r w:rsidRPr="00C12443">
              <w:rPr>
                <w:rFonts w:asciiTheme="majorBidi" w:eastAsia="Times New Roman" w:hAnsiTheme="majorBidi" w:cstheme="majorBidi"/>
                <w:color w:val="000000"/>
                <w:lang w:eastAsia="en-US"/>
              </w:rPr>
              <w:t>yrs</w:t>
            </w:r>
            <w:proofErr w:type="spellEnd"/>
            <w:r w:rsidRPr="00C12443">
              <w:rPr>
                <w:rFonts w:asciiTheme="majorBidi" w:eastAsia="Times New Roman" w:hAnsiTheme="majorBidi" w:cstheme="majorBidi"/>
                <w:color w:val="000000"/>
                <w:lang w:eastAsia="en-US"/>
              </w:rPr>
              <w:t>-</w:t>
            </w:r>
          </w:p>
        </w:tc>
      </w:tr>
      <w:tr w:rsidR="00322B92" w:rsidRPr="00C12443" w14:paraId="1DE5002A" w14:textId="77777777" w:rsidTr="007B0C9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7C39CCD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5073C6C5"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049D40D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1FCC762F"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35976</w:t>
            </w:r>
          </w:p>
        </w:tc>
        <w:tc>
          <w:tcPr>
            <w:tcW w:w="992" w:type="dxa"/>
            <w:tcBorders>
              <w:top w:val="nil"/>
              <w:left w:val="nil"/>
              <w:bottom w:val="single" w:sz="4" w:space="0" w:color="auto"/>
              <w:right w:val="single" w:sz="4" w:space="0" w:color="auto"/>
            </w:tcBorders>
            <w:shd w:val="clear" w:color="auto" w:fill="auto"/>
            <w:noWrap/>
            <w:vAlign w:val="bottom"/>
            <w:hideMark/>
          </w:tcPr>
          <w:p w14:paraId="01DE9DE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LRM</w:t>
            </w:r>
          </w:p>
        </w:tc>
        <w:tc>
          <w:tcPr>
            <w:tcW w:w="1134" w:type="dxa"/>
            <w:tcBorders>
              <w:top w:val="nil"/>
              <w:left w:val="nil"/>
              <w:bottom w:val="single" w:sz="4" w:space="0" w:color="auto"/>
              <w:right w:val="single" w:sz="4" w:space="0" w:color="auto"/>
            </w:tcBorders>
            <w:shd w:val="clear" w:color="auto" w:fill="auto"/>
            <w:noWrap/>
            <w:vAlign w:val="bottom"/>
            <w:hideMark/>
          </w:tcPr>
          <w:p w14:paraId="545C5C9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no</w:t>
            </w:r>
          </w:p>
        </w:tc>
        <w:tc>
          <w:tcPr>
            <w:tcW w:w="1418" w:type="dxa"/>
            <w:tcBorders>
              <w:top w:val="nil"/>
              <w:left w:val="nil"/>
              <w:bottom w:val="single" w:sz="4" w:space="0" w:color="auto"/>
              <w:right w:val="single" w:sz="4" w:space="0" w:color="auto"/>
            </w:tcBorders>
            <w:shd w:val="clear" w:color="auto" w:fill="auto"/>
            <w:noWrap/>
            <w:vAlign w:val="bottom"/>
            <w:hideMark/>
          </w:tcPr>
          <w:p w14:paraId="7658029D"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yes</w:t>
            </w:r>
          </w:p>
        </w:tc>
        <w:tc>
          <w:tcPr>
            <w:tcW w:w="1559" w:type="dxa"/>
            <w:tcBorders>
              <w:top w:val="nil"/>
              <w:left w:val="nil"/>
              <w:bottom w:val="single" w:sz="4" w:space="0" w:color="auto"/>
              <w:right w:val="single" w:sz="4" w:space="0" w:color="auto"/>
            </w:tcBorders>
            <w:shd w:val="clear" w:color="auto" w:fill="auto"/>
            <w:noWrap/>
            <w:vAlign w:val="bottom"/>
            <w:hideMark/>
          </w:tcPr>
          <w:p w14:paraId="29692D0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xml:space="preserve">crown and root </w:t>
            </w:r>
          </w:p>
        </w:tc>
        <w:tc>
          <w:tcPr>
            <w:tcW w:w="3741" w:type="dxa"/>
            <w:tcBorders>
              <w:top w:val="nil"/>
              <w:left w:val="nil"/>
              <w:bottom w:val="single" w:sz="4" w:space="0" w:color="auto"/>
              <w:right w:val="single" w:sz="4" w:space="0" w:color="auto"/>
            </w:tcBorders>
            <w:shd w:val="clear" w:color="auto" w:fill="auto"/>
            <w:noWrap/>
            <w:vAlign w:val="bottom"/>
            <w:hideMark/>
          </w:tcPr>
          <w:p w14:paraId="42F075D3"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w:t>
            </w:r>
          </w:p>
        </w:tc>
      </w:tr>
      <w:tr w:rsidR="00322B92" w:rsidRPr="00C12443" w14:paraId="633C749C" w14:textId="77777777" w:rsidTr="007B0C94">
        <w:trPr>
          <w:trHeight w:val="3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7543FCEF"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unassigned</w:t>
            </w:r>
          </w:p>
        </w:tc>
        <w:tc>
          <w:tcPr>
            <w:tcW w:w="851" w:type="dxa"/>
            <w:tcBorders>
              <w:top w:val="nil"/>
              <w:left w:val="nil"/>
              <w:bottom w:val="single" w:sz="4" w:space="0" w:color="auto"/>
              <w:right w:val="single" w:sz="4" w:space="0" w:color="auto"/>
            </w:tcBorders>
            <w:shd w:val="clear" w:color="auto" w:fill="auto"/>
            <w:noWrap/>
            <w:vAlign w:val="bottom"/>
            <w:hideMark/>
          </w:tcPr>
          <w:p w14:paraId="4C4B471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bottom"/>
            <w:hideMark/>
          </w:tcPr>
          <w:p w14:paraId="7EF26D4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992" w:type="dxa"/>
            <w:tcBorders>
              <w:top w:val="nil"/>
              <w:left w:val="nil"/>
              <w:bottom w:val="single" w:sz="4" w:space="0" w:color="auto"/>
              <w:right w:val="single" w:sz="4" w:space="0" w:color="auto"/>
            </w:tcBorders>
            <w:shd w:val="clear" w:color="auto" w:fill="auto"/>
            <w:noWrap/>
            <w:vAlign w:val="center"/>
            <w:hideMark/>
          </w:tcPr>
          <w:p w14:paraId="35565026"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34561</w:t>
            </w:r>
          </w:p>
        </w:tc>
        <w:tc>
          <w:tcPr>
            <w:tcW w:w="992" w:type="dxa"/>
            <w:tcBorders>
              <w:top w:val="nil"/>
              <w:left w:val="nil"/>
              <w:bottom w:val="single" w:sz="4" w:space="0" w:color="auto"/>
              <w:right w:val="single" w:sz="4" w:space="0" w:color="auto"/>
            </w:tcBorders>
            <w:shd w:val="clear" w:color="auto" w:fill="auto"/>
            <w:noWrap/>
            <w:vAlign w:val="bottom"/>
            <w:hideMark/>
          </w:tcPr>
          <w:p w14:paraId="4B4D8D42"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UI1</w:t>
            </w:r>
          </w:p>
        </w:tc>
        <w:tc>
          <w:tcPr>
            <w:tcW w:w="1134" w:type="dxa"/>
            <w:tcBorders>
              <w:top w:val="nil"/>
              <w:left w:val="nil"/>
              <w:bottom w:val="single" w:sz="4" w:space="0" w:color="auto"/>
              <w:right w:val="single" w:sz="4" w:space="0" w:color="auto"/>
            </w:tcBorders>
            <w:shd w:val="clear" w:color="auto" w:fill="auto"/>
            <w:noWrap/>
            <w:vAlign w:val="bottom"/>
            <w:hideMark/>
          </w:tcPr>
          <w:p w14:paraId="7930F371"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1418" w:type="dxa"/>
            <w:tcBorders>
              <w:top w:val="nil"/>
              <w:left w:val="nil"/>
              <w:bottom w:val="single" w:sz="4" w:space="0" w:color="auto"/>
              <w:right w:val="single" w:sz="4" w:space="0" w:color="auto"/>
            </w:tcBorders>
            <w:shd w:val="clear" w:color="auto" w:fill="auto"/>
            <w:noWrap/>
            <w:vAlign w:val="bottom"/>
            <w:hideMark/>
          </w:tcPr>
          <w:p w14:paraId="65F8276A"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1559" w:type="dxa"/>
            <w:tcBorders>
              <w:top w:val="nil"/>
              <w:left w:val="nil"/>
              <w:bottom w:val="single" w:sz="4" w:space="0" w:color="auto"/>
              <w:right w:val="single" w:sz="4" w:space="0" w:color="auto"/>
            </w:tcBorders>
            <w:shd w:val="clear" w:color="auto" w:fill="auto"/>
            <w:noWrap/>
            <w:vAlign w:val="bottom"/>
            <w:hideMark/>
          </w:tcPr>
          <w:p w14:paraId="7C0D06F7"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c>
          <w:tcPr>
            <w:tcW w:w="3741" w:type="dxa"/>
            <w:tcBorders>
              <w:top w:val="nil"/>
              <w:left w:val="nil"/>
              <w:bottom w:val="single" w:sz="4" w:space="0" w:color="auto"/>
              <w:right w:val="single" w:sz="4" w:space="0" w:color="auto"/>
            </w:tcBorders>
            <w:shd w:val="clear" w:color="auto" w:fill="auto"/>
            <w:noWrap/>
            <w:vAlign w:val="bottom"/>
            <w:hideMark/>
          </w:tcPr>
          <w:p w14:paraId="1AD11C6E" w14:textId="77777777" w:rsidR="00322B92" w:rsidRPr="00C12443" w:rsidRDefault="00322B92" w:rsidP="00322B92">
            <w:pPr>
              <w:spacing w:after="0" w:line="240" w:lineRule="auto"/>
              <w:jc w:val="center"/>
              <w:rPr>
                <w:rFonts w:asciiTheme="majorBidi" w:eastAsia="Times New Roman" w:hAnsiTheme="majorBidi" w:cstheme="majorBidi"/>
                <w:color w:val="000000"/>
                <w:lang w:eastAsia="en-US"/>
              </w:rPr>
            </w:pPr>
            <w:r w:rsidRPr="00C12443">
              <w:rPr>
                <w:rFonts w:asciiTheme="majorBidi" w:eastAsia="Times New Roman" w:hAnsiTheme="majorBidi" w:cstheme="majorBidi"/>
                <w:color w:val="000000"/>
                <w:lang w:eastAsia="en-US"/>
              </w:rPr>
              <w:t> </w:t>
            </w:r>
          </w:p>
        </w:tc>
      </w:tr>
    </w:tbl>
    <w:p w14:paraId="0000018C" w14:textId="29DF1672" w:rsidR="00784AF4" w:rsidRPr="00D70D43" w:rsidRDefault="00784AF4">
      <w:pPr>
        <w:rPr>
          <w:rFonts w:ascii="Times New Roman" w:eastAsia="Times New Roman" w:hAnsi="Times New Roman" w:cs="Times New Roman"/>
          <w:b/>
          <w:sz w:val="24"/>
          <w:szCs w:val="24"/>
        </w:rPr>
      </w:pPr>
    </w:p>
    <w:p w14:paraId="0000018D" w14:textId="5D799166" w:rsidR="00784AF4" w:rsidRPr="00D70D43" w:rsidRDefault="00784AF4">
      <w:pPr>
        <w:ind w:firstLine="720"/>
        <w:rPr>
          <w:rFonts w:ascii="Times New Roman" w:eastAsia="Times New Roman" w:hAnsi="Times New Roman" w:cs="Times New Roman"/>
          <w:b/>
          <w:sz w:val="24"/>
          <w:szCs w:val="24"/>
        </w:rPr>
      </w:pPr>
    </w:p>
    <w:p w14:paraId="6201AB72" w14:textId="751B1299" w:rsidR="006A3D2A" w:rsidRDefault="006A3D2A">
      <w:pPr>
        <w:ind w:firstLine="720"/>
        <w:rPr>
          <w:rFonts w:ascii="Times New Roman" w:eastAsia="Times New Roman" w:hAnsi="Times New Roman" w:cs="Times New Roman"/>
          <w:sz w:val="24"/>
          <w:szCs w:val="24"/>
        </w:rPr>
      </w:pPr>
    </w:p>
    <w:p w14:paraId="2AA55DC9" w14:textId="263DAD5D" w:rsidR="006A3D2A" w:rsidRDefault="006A3D2A">
      <w:pPr>
        <w:ind w:firstLine="720"/>
        <w:rPr>
          <w:rFonts w:ascii="Times New Roman" w:eastAsia="Times New Roman" w:hAnsi="Times New Roman" w:cs="Times New Roman"/>
          <w:sz w:val="24"/>
          <w:szCs w:val="24"/>
        </w:rPr>
      </w:pPr>
    </w:p>
    <w:p w14:paraId="2730A0C1" w14:textId="056E5F46" w:rsidR="00C12443" w:rsidRDefault="00C12443">
      <w:pPr>
        <w:ind w:firstLine="720"/>
        <w:rPr>
          <w:rFonts w:ascii="Times New Roman" w:eastAsia="Times New Roman" w:hAnsi="Times New Roman" w:cs="Times New Roman"/>
          <w:sz w:val="24"/>
          <w:szCs w:val="24"/>
        </w:rPr>
      </w:pPr>
    </w:p>
    <w:p w14:paraId="7649B9F9" w14:textId="3530CD98" w:rsidR="00C12443" w:rsidRDefault="00C12443">
      <w:pPr>
        <w:ind w:firstLine="720"/>
        <w:rPr>
          <w:rFonts w:ascii="Times New Roman" w:eastAsia="Times New Roman" w:hAnsi="Times New Roman" w:cs="Times New Roman"/>
          <w:sz w:val="24"/>
          <w:szCs w:val="24"/>
        </w:rPr>
      </w:pPr>
    </w:p>
    <w:p w14:paraId="4B8861B5" w14:textId="77777777" w:rsidR="00C12443" w:rsidRDefault="00C12443">
      <w:pPr>
        <w:ind w:firstLine="720"/>
        <w:rPr>
          <w:rFonts w:ascii="Times New Roman" w:eastAsia="Times New Roman" w:hAnsi="Times New Roman" w:cs="Times New Roman"/>
          <w:sz w:val="24"/>
          <w:szCs w:val="24"/>
        </w:rPr>
        <w:sectPr w:rsidR="00C12443" w:rsidSect="00C12443">
          <w:pgSz w:w="15840" w:h="12240" w:orient="landscape"/>
          <w:pgMar w:top="1440" w:right="1440" w:bottom="1440" w:left="1440" w:header="720" w:footer="720" w:gutter="0"/>
          <w:lnNumType w:countBy="1" w:restart="continuous"/>
          <w:pgNumType w:start="1"/>
          <w:cols w:space="720"/>
          <w:docGrid w:linePitch="299"/>
        </w:sectPr>
      </w:pPr>
    </w:p>
    <w:p w14:paraId="037BCE47" w14:textId="77777777" w:rsidR="00C12443" w:rsidRPr="00D70D43" w:rsidRDefault="00C12443">
      <w:pPr>
        <w:ind w:firstLine="720"/>
        <w:rPr>
          <w:rFonts w:ascii="Times New Roman" w:eastAsia="Times New Roman" w:hAnsi="Times New Roman" w:cs="Times New Roman"/>
          <w:sz w:val="24"/>
          <w:szCs w:val="24"/>
        </w:rPr>
      </w:pPr>
    </w:p>
    <w:p w14:paraId="00000192" w14:textId="77777777" w:rsidR="00784AF4" w:rsidRPr="0064579A" w:rsidRDefault="0003068C">
      <w:pPr>
        <w:rPr>
          <w:rFonts w:ascii="Times New Roman" w:eastAsia="Times New Roman" w:hAnsi="Times New Roman" w:cs="Times New Roman"/>
          <w:b/>
          <w:i/>
          <w:color w:val="000000"/>
          <w:sz w:val="24"/>
          <w:szCs w:val="24"/>
        </w:rPr>
      </w:pPr>
      <w:bookmarkStart w:id="16" w:name="_Hlk137039906"/>
      <w:r w:rsidRPr="0064579A">
        <w:rPr>
          <w:rFonts w:ascii="Times New Roman" w:eastAsia="Times New Roman" w:hAnsi="Times New Roman" w:cs="Times New Roman"/>
          <w:b/>
          <w:i/>
          <w:sz w:val="24"/>
          <w:szCs w:val="24"/>
        </w:rPr>
        <w:t>3</w:t>
      </w:r>
      <w:r w:rsidRPr="0064579A">
        <w:rPr>
          <w:rFonts w:ascii="Times New Roman" w:eastAsia="Times New Roman" w:hAnsi="Times New Roman" w:cs="Times New Roman"/>
          <w:b/>
          <w:i/>
          <w:color w:val="000000"/>
          <w:sz w:val="24"/>
          <w:szCs w:val="24"/>
        </w:rPr>
        <w:t>.</w:t>
      </w:r>
      <w:r w:rsidRPr="0064579A">
        <w:rPr>
          <w:rFonts w:ascii="Times New Roman" w:eastAsia="Times New Roman" w:hAnsi="Times New Roman" w:cs="Times New Roman"/>
          <w:b/>
          <w:i/>
          <w:sz w:val="24"/>
          <w:szCs w:val="24"/>
        </w:rPr>
        <w:t>3</w:t>
      </w:r>
      <w:r w:rsidRPr="0064579A">
        <w:rPr>
          <w:rFonts w:ascii="Times New Roman" w:eastAsia="Times New Roman" w:hAnsi="Times New Roman" w:cs="Times New Roman"/>
          <w:b/>
          <w:i/>
          <w:color w:val="000000"/>
          <w:sz w:val="24"/>
          <w:szCs w:val="24"/>
        </w:rPr>
        <w:t xml:space="preserve"> Isotope analyses</w:t>
      </w:r>
    </w:p>
    <w:p w14:paraId="00000193" w14:textId="5FD6C488" w:rsidR="00784AF4" w:rsidRDefault="0003068C">
      <w:pPr>
        <w:spacing w:before="240" w:after="240" w:line="360" w:lineRule="auto"/>
        <w:ind w:firstLine="720"/>
        <w:jc w:val="both"/>
        <w:rPr>
          <w:rFonts w:ascii="Times New Roman" w:hAnsi="Times New Roman" w:cs="Times New Roman"/>
          <w:b/>
          <w:szCs w:val="24"/>
        </w:rPr>
      </w:pPr>
      <w:r w:rsidRPr="0064579A">
        <w:rPr>
          <w:rFonts w:ascii="Times New Roman" w:hAnsi="Times New Roman" w:cs="Times New Roman"/>
          <w:b/>
          <w:szCs w:val="24"/>
        </w:rPr>
        <w:t>3.3.1 Stable zinc and radiogenic strontium isotope analyses</w:t>
      </w:r>
    </w:p>
    <w:bookmarkEnd w:id="16"/>
    <w:p w14:paraId="4D3E77F0" w14:textId="38DBFCC2" w:rsidR="00CD3545" w:rsidRPr="00CD3545" w:rsidRDefault="00CD3545">
      <w:pPr>
        <w:spacing w:before="240" w:after="240" w:line="360" w:lineRule="auto"/>
        <w:ind w:firstLine="720"/>
        <w:jc w:val="both"/>
        <w:rPr>
          <w:rFonts w:ascii="Times New Roman" w:hAnsi="Times New Roman" w:cs="Times New Roman"/>
          <w:color w:val="000000"/>
          <w:szCs w:val="24"/>
        </w:rPr>
      </w:pPr>
      <w:r w:rsidRPr="00CD3545">
        <w:rPr>
          <w:rFonts w:ascii="Times New Roman" w:hAnsi="Times New Roman" w:cs="Times New Roman"/>
          <w:color w:val="000000"/>
          <w:szCs w:val="24"/>
        </w:rPr>
        <w:t>Zinc and strontium isotopic analyses were conducted in the Max Planck Institute for evolutionary anthropology</w:t>
      </w:r>
      <w:r>
        <w:rPr>
          <w:rFonts w:ascii="Times New Roman" w:hAnsi="Times New Roman" w:cs="Times New Roman"/>
          <w:color w:val="000000"/>
          <w:szCs w:val="24"/>
        </w:rPr>
        <w:t xml:space="preserve">, Leipzig, Germany. </w:t>
      </w:r>
      <w:r w:rsidRPr="00CD3545">
        <w:rPr>
          <w:rFonts w:ascii="Times New Roman" w:hAnsi="Times New Roman" w:cs="Times New Roman"/>
          <w:color w:val="000000"/>
          <w:szCs w:val="24"/>
        </w:rPr>
        <w:t xml:space="preserve"> </w:t>
      </w:r>
    </w:p>
    <w:p w14:paraId="00000194" w14:textId="51943569" w:rsidR="00784AF4" w:rsidRPr="0064579A" w:rsidRDefault="0003068C" w:rsidP="008139B5">
      <w:pPr>
        <w:pBdr>
          <w:top w:val="nil"/>
          <w:left w:val="nil"/>
          <w:bottom w:val="nil"/>
          <w:right w:val="nil"/>
          <w:between w:val="nil"/>
        </w:pBdr>
        <w:spacing w:before="240" w:after="240" w:line="360" w:lineRule="auto"/>
        <w:ind w:left="720" w:firstLine="720"/>
        <w:jc w:val="both"/>
        <w:rPr>
          <w:rFonts w:ascii="Times New Roman" w:hAnsi="Times New Roman" w:cs="Times New Roman"/>
          <w:b/>
          <w:color w:val="000000"/>
          <w:szCs w:val="24"/>
          <w:u w:val="single"/>
        </w:rPr>
      </w:pPr>
      <w:bookmarkStart w:id="17" w:name="_Hlk137039912"/>
      <w:r w:rsidRPr="0064579A">
        <w:rPr>
          <w:rFonts w:ascii="Times New Roman" w:hAnsi="Times New Roman" w:cs="Times New Roman"/>
          <w:b/>
          <w:szCs w:val="24"/>
          <w:u w:val="single"/>
        </w:rPr>
        <w:t xml:space="preserve">3.3.1.1 </w:t>
      </w:r>
      <w:r w:rsidRPr="0064579A">
        <w:rPr>
          <w:rFonts w:ascii="Times New Roman" w:hAnsi="Times New Roman" w:cs="Times New Roman"/>
          <w:b/>
          <w:color w:val="000000"/>
          <w:szCs w:val="24"/>
          <w:u w:val="single"/>
        </w:rPr>
        <w:t>Strategy of tooth sampling</w:t>
      </w:r>
      <w:r w:rsidR="00062874">
        <w:rPr>
          <w:rFonts w:ascii="Times New Roman" w:hAnsi="Times New Roman" w:cs="Times New Roman"/>
          <w:b/>
          <w:color w:val="000000"/>
          <w:szCs w:val="24"/>
          <w:u w:val="single"/>
        </w:rPr>
        <w:t xml:space="preserve"> for herbivores</w:t>
      </w:r>
      <w:r w:rsidRPr="0064579A">
        <w:rPr>
          <w:rFonts w:ascii="Times New Roman" w:hAnsi="Times New Roman" w:cs="Times New Roman"/>
          <w:b/>
          <w:color w:val="000000"/>
          <w:szCs w:val="24"/>
          <w:u w:val="single"/>
        </w:rPr>
        <w:t>:</w:t>
      </w:r>
    </w:p>
    <w:bookmarkEnd w:id="17"/>
    <w:p w14:paraId="366DE5F2" w14:textId="77777777" w:rsidR="000C3FB1" w:rsidRPr="00710C41" w:rsidRDefault="000C3FB1" w:rsidP="00710C41">
      <w:pPr>
        <w:pStyle w:val="NormalWeb"/>
        <w:spacing w:line="360" w:lineRule="auto"/>
        <w:rPr>
          <w:i/>
          <w:iCs/>
          <w:lang w:val="en-US"/>
        </w:rPr>
      </w:pPr>
      <w:r w:rsidRPr="00710C41">
        <w:rPr>
          <w:i/>
          <w:iCs/>
          <w:lang w:val="en-US"/>
        </w:rPr>
        <w:t>Section 1: Human Teeth Sampling Approach</w:t>
      </w:r>
    </w:p>
    <w:p w14:paraId="43CD94FA" w14:textId="66E55A48" w:rsidR="00710C41" w:rsidRPr="00710C41" w:rsidRDefault="00710C41" w:rsidP="00710C41">
      <w:pPr>
        <w:pStyle w:val="NormalWeb"/>
        <w:spacing w:line="360" w:lineRule="auto"/>
        <w:rPr>
          <w:lang w:val="en-US"/>
        </w:rPr>
      </w:pPr>
      <w:r w:rsidRPr="00710C41">
        <w:rPr>
          <w:lang w:val="en-US"/>
        </w:rPr>
        <w:t>To investigate potential variations during tooth development in humans, we employed a sampling approach that involved collecting enamel samples from both the upper</w:t>
      </w:r>
      <w:r>
        <w:rPr>
          <w:lang w:val="en-US"/>
        </w:rPr>
        <w:t xml:space="preserve"> (Top)</w:t>
      </w:r>
      <w:r w:rsidRPr="00710C41">
        <w:rPr>
          <w:lang w:val="en-US"/>
        </w:rPr>
        <w:t xml:space="preserve"> and lower </w:t>
      </w:r>
      <w:r>
        <w:rPr>
          <w:lang w:val="en-US"/>
        </w:rPr>
        <w:t>(Bottom) parts</w:t>
      </w:r>
      <w:r w:rsidRPr="00710C41">
        <w:rPr>
          <w:lang w:val="en-US"/>
        </w:rPr>
        <w:t xml:space="preserve"> of the crown</w:t>
      </w:r>
      <w:r>
        <w:rPr>
          <w:lang w:val="en-US"/>
        </w:rPr>
        <w:t xml:space="preserve"> (Excel Table SI3)</w:t>
      </w:r>
      <w:r w:rsidRPr="00710C41">
        <w:rPr>
          <w:lang w:val="en-US"/>
        </w:rPr>
        <w:t>. This allowed us to track any potential isotopic variations across the different stages of tooth formation. However, it should be noted that this sampling approach was not systematically conducted for all teeth.</w:t>
      </w:r>
    </w:p>
    <w:p w14:paraId="40D92106" w14:textId="77777777" w:rsidR="00710C41" w:rsidRPr="00710C41" w:rsidRDefault="00710C41" w:rsidP="00710C41">
      <w:pPr>
        <w:pStyle w:val="NormalWeb"/>
        <w:spacing w:line="360" w:lineRule="auto"/>
        <w:rPr>
          <w:lang w:val="en-US"/>
        </w:rPr>
      </w:pPr>
      <w:r w:rsidRPr="00710C41">
        <w:rPr>
          <w:lang w:val="en-US"/>
        </w:rPr>
        <w:t>Enamel samples were collected using a precise and minimally disruptive method. We used a diamond-tipped drill to mechanically extract a powder from multiple parts along the height of the tooth crown. The amount of enamel collected ranged from 5 to 20 mg, ensuring that we captured sufficient material for isotopic analysis while minimizing any disruption to the tooth structure.</w:t>
      </w:r>
    </w:p>
    <w:p w14:paraId="4EFFCA86" w14:textId="286CB655" w:rsidR="00710C41" w:rsidRDefault="00710C41" w:rsidP="00E75134">
      <w:pPr>
        <w:pStyle w:val="NormalWeb"/>
        <w:spacing w:line="360" w:lineRule="auto"/>
        <w:rPr>
          <w:lang w:val="en-US"/>
        </w:rPr>
      </w:pPr>
      <w:r w:rsidRPr="00710C41">
        <w:rPr>
          <w:lang w:val="en-US"/>
        </w:rPr>
        <w:t xml:space="preserve">To estimate the period of formation for each tooth, we referred to the study by Al Qahtani (2012) </w:t>
      </w:r>
      <w:r w:rsidRPr="00710C41">
        <w:fldChar w:fldCharType="begin"/>
      </w:r>
      <w:r w:rsidR="000E7E53">
        <w:rPr>
          <w:lang w:val="en-US"/>
        </w:rPr>
        <w:instrText xml:space="preserve"> ADDIN ZOTERO_ITEM CSL_CITATION {"citationID":"OIz58kpf","properties":{"formattedCitation":"\\super 59\\nosupersub{}","plainCitation":"59","noteIndex":0},"citationItems":[{"id":94,"uris":["http://zotero.org/users/7125028/items/AICRDAVC"],"itemData":{"id":94,"type":"thesis","abstract":"Aim: \nTo develop a comprehensive, validated, evidence based, practical, user-friendly atlas of dental age \nestimation and compare its performance with two widely used atlases. \nMethods: \nBased on the radiographic appearance of tooth development in 528 individuals aged 2-23 years \nand 176 neonates, the median stage of tooth development for each tooth in each age \ncategory/chronological year was used to construct diagrams representing ages between 28 weeks \nin-utero and 23 years were developed (The London Atlas) \nAccuracy was determined by ageing skeletal remains/radiographs of 1514 individuals (aged 32 \nweeks in-utero to 23 years) using The London Atlas (LA), the Schour and Massler (SM) and \nUbelaker (Ub) atlases. Estimated age was compared to real age. Bias, absolute mean difference \nand proportion of individuals correctly assigned by age were calculated. Intra-observer variation \n(Kappa) was measured by re-assessment of 130 radiographs. \nTo test the application of The London Atlas, a questionnaire was used to validate its use. Ninety 3rd \nyear dental students were divided randomly into three subgroups, and blinded from the \nresearcher. Each group used one of the 3 atlases to estimate the radiographic age of 6 individuals \nand complete a questionnaire focussed on the design, clarity, simplicity and self-explanation of the \nthree atlases. \nResults: \nExcellent reproducibility was observed for all three atlases (Kappa: LA 0.879, SM 0.838 and Ub \n0.857). LA showed no bias (P=0.720) and correctly estimated 53% of cases. SM and Ub showed \nsignificant bias by consistently underestimating age (P=0.026 and P=0.002) with 35% and 36% \ncorrectly estimated for SM and Ub respectively. The mean absolute difference for LA (0.72 years) \nwas smaller than SM (1.15 years) and Ub (1.17 years). \nLA was preferred over the other two atlases in all quality measures tested (clarity, design, \nsimplicity and self-explanation). \nConclusion: \nThe London Atlas represents a substantial improvement on existing atlases facilitating accurate \nage estimation from developing teeth. Development of interactive online and mobile app versions \nis complete.","genre":"Thesis","language":"en","note":"Accepted: 2015-09-01T13:32:18Z","publisher":"Queen Mary University of London","source":"qmro.qmul.ac.uk","title":"The London Atlas: developing an atlas of tooth development and testing its quality and performance measures","title-short":"The London Atlas","URL":"https://qmro.qmul.ac.uk/xmlui/handle/123456789/8364","author":[{"family":"AlQahtani","given":"Sakher Jaber"}],"accessed":{"date-parts":[["2021",7,28]]},"issued":{"date-parts":[["2012"]]}}}],"schema":"https://github.com/citation-style-language/schema/raw/master/csl-citation.json"} </w:instrText>
      </w:r>
      <w:r w:rsidRPr="00710C41">
        <w:fldChar w:fldCharType="separate"/>
      </w:r>
      <w:r w:rsidR="000E7E53" w:rsidRPr="00A05E4F">
        <w:rPr>
          <w:vertAlign w:val="superscript"/>
          <w:lang w:val="en-US"/>
        </w:rPr>
        <w:t>59</w:t>
      </w:r>
      <w:r w:rsidRPr="00710C41">
        <w:fldChar w:fldCharType="end"/>
      </w:r>
      <w:r w:rsidRPr="00710C41">
        <w:rPr>
          <w:lang w:val="en-US"/>
        </w:rPr>
        <w:t xml:space="preserve">. This reference provided valuable information for determining the timing of tooth development. Additionally, we utilized the work of Reid and Dean </w:t>
      </w:r>
      <w:r w:rsidRPr="00710C41">
        <w:fldChar w:fldCharType="begin"/>
      </w:r>
      <w:r w:rsidR="000E7E53">
        <w:rPr>
          <w:lang w:val="en-US"/>
        </w:rPr>
        <w:instrText xml:space="preserve"> ADDIN ZOTERO_ITEM CSL_CITATION {"citationID":"uGNxKnW6","properties":{"formattedCitation":"\\super 60\\nosupersub{}","plainCitation":"60","noteIndex":0},"citationItems":[{"id":918,"uris":["http://zotero.org/users/7125028/items/8589N2M4"],"itemData":{"id":918,"type":"article-journal","abstract":"Most of what we know about the timing of human enamel formation comes from radiographic studies on children of known age. Here, we present new longitudinal data derived from a histological analysis of tooth enamel. Two samples, one from southern Africa and one from northern Europe, contained all anterior and molar tooth types. Two further samples contained only one tooth type: canines from a medieval Danish sample and third molars from a modern North American sample. Data were collected on 326 molars and 352 anterior teeth. Each tooth was sectioned and prepared for polarized light microscopy. We used daily enamel cross striations to determine cuspal enamel formation time, recorded the periodicity of long-period striae in the lateral enamel, and used this value to calculate enamel formation times for each decile of crown length. We present data that reveal some of the processes whereby differences in enamel formation times arise between our samples. Mean cuspal enamel formation times were similar in southern African and northern European anterior teeth, but differed in certain molar cusps. All the southern African anterior teeth completed enamel formation earlier. The greatest difference in mean chronological age at enamel completion was 5.2 vs. 6.2 years of age in lower canines. However, enamel completion times in the molar teeth showed few differences between the samples, with mean times for the longest forming cusps all falling between 3.0 years and 3.45 years. Our data suggest fewer differences between samples and smaller ranges of variation than in many radiographic studies and present a more realistic picture of worldwide variation in enamel formation times.","container-title":"Journal of Human Evolution","DOI":"10.1016/j.jhevol.2005.09.003","ISSN":"0047-2484","issue":"3","journalAbbreviation":"Journal of Human Evolution","language":"en","page":"329-346","source":"ScienceDirect","title":"Variation in modern human enamel formation times","volume":"50","author":[{"family":"Reid","given":"D. J."},{"family":"Dean","given":"M. C."}],"issued":{"date-parts":[["2006",3,1]]}}}],"schema":"https://github.com/citation-style-language/schema/raw/master/csl-citation.json"} </w:instrText>
      </w:r>
      <w:r w:rsidRPr="00710C41">
        <w:fldChar w:fldCharType="separate"/>
      </w:r>
      <w:r w:rsidR="000E7E53" w:rsidRPr="00A05E4F">
        <w:rPr>
          <w:vertAlign w:val="superscript"/>
          <w:lang w:val="en-US"/>
        </w:rPr>
        <w:t>60</w:t>
      </w:r>
      <w:r w:rsidRPr="00710C41">
        <w:fldChar w:fldCharType="end"/>
      </w:r>
      <w:r w:rsidRPr="00710C41">
        <w:rPr>
          <w:lang w:val="en-US"/>
        </w:rPr>
        <w:t xml:space="preserve">  to estimate the age of the sampled enamel for each tooth. However, it is important to note that Reid and Dean did not provide the timing of formation specifically for premolars and deciduous teeth. Therefore, to overcome this limitation, we estimated the timing of formation for these teeth using the data from Al Qahtani (2012).</w:t>
      </w:r>
      <w:r w:rsidR="00D067CC">
        <w:rPr>
          <w:lang w:val="en-US"/>
        </w:rPr>
        <w:t xml:space="preserve"> </w:t>
      </w:r>
      <w:r w:rsidRPr="00710C41">
        <w:rPr>
          <w:lang w:val="en-US"/>
        </w:rPr>
        <w:t>For more specific details</w:t>
      </w:r>
      <w:r w:rsidR="004C5841">
        <w:rPr>
          <w:lang w:val="en-US"/>
        </w:rPr>
        <w:t xml:space="preserve"> are found in </w:t>
      </w:r>
      <w:r w:rsidR="004C5841" w:rsidRPr="00710C41">
        <w:rPr>
          <w:lang w:val="en-US"/>
        </w:rPr>
        <w:t>accompanying Excel document</w:t>
      </w:r>
      <w:r w:rsidR="00E75134">
        <w:rPr>
          <w:lang w:val="en-US"/>
        </w:rPr>
        <w:t xml:space="preserve"> </w:t>
      </w:r>
      <w:r w:rsidR="004C5841">
        <w:rPr>
          <w:lang w:val="en-US"/>
        </w:rPr>
        <w:t>(</w:t>
      </w:r>
      <w:r w:rsidRPr="00710C41">
        <w:rPr>
          <w:lang w:val="en-US"/>
        </w:rPr>
        <w:t>Table SI3</w:t>
      </w:r>
      <w:r w:rsidR="004C5841">
        <w:rPr>
          <w:lang w:val="en-US"/>
        </w:rPr>
        <w:t>)</w:t>
      </w:r>
      <w:r w:rsidR="00E75134">
        <w:rPr>
          <w:lang w:val="en-US"/>
        </w:rPr>
        <w:t>.</w:t>
      </w:r>
    </w:p>
    <w:p w14:paraId="388245F3" w14:textId="77777777" w:rsidR="00E75134" w:rsidRPr="00710C41" w:rsidRDefault="00E75134" w:rsidP="00837F62">
      <w:pPr>
        <w:pStyle w:val="NormalWeb"/>
        <w:spacing w:line="360" w:lineRule="auto"/>
        <w:rPr>
          <w:lang w:val="en-US"/>
        </w:rPr>
      </w:pPr>
    </w:p>
    <w:p w14:paraId="031D4567" w14:textId="77777777" w:rsidR="00710C41" w:rsidRPr="000C3FB1" w:rsidRDefault="00710C41" w:rsidP="00810F6B">
      <w:pPr>
        <w:pStyle w:val="NormalWeb"/>
        <w:spacing w:line="360" w:lineRule="auto"/>
        <w:rPr>
          <w:lang w:val="en-US"/>
        </w:rPr>
      </w:pPr>
    </w:p>
    <w:p w14:paraId="3248F036" w14:textId="77777777" w:rsidR="000C3FB1" w:rsidRPr="000C3FB1" w:rsidRDefault="000C3FB1" w:rsidP="000C3FB1">
      <w:pPr>
        <w:pStyle w:val="NormalWeb"/>
        <w:spacing w:line="360" w:lineRule="auto"/>
        <w:rPr>
          <w:i/>
          <w:iCs/>
          <w:lang w:val="en-US"/>
        </w:rPr>
      </w:pPr>
      <w:r w:rsidRPr="000C3FB1">
        <w:rPr>
          <w:i/>
          <w:iCs/>
          <w:lang w:val="en-US"/>
        </w:rPr>
        <w:lastRenderedPageBreak/>
        <w:t>Section 2: Animal Teeth Sampling Approach</w:t>
      </w:r>
    </w:p>
    <w:p w14:paraId="33340FC6" w14:textId="7FCD008E" w:rsidR="000C3FB1" w:rsidRPr="000C3FB1" w:rsidRDefault="000C3FB1" w:rsidP="000C3FB1">
      <w:pPr>
        <w:pStyle w:val="NormalWeb"/>
        <w:spacing w:line="360" w:lineRule="auto"/>
        <w:rPr>
          <w:lang w:val="en-US"/>
        </w:rPr>
      </w:pPr>
      <w:r w:rsidRPr="000C3FB1">
        <w:rPr>
          <w:lang w:val="en-US"/>
        </w:rPr>
        <w:t>In the case of animal teeth, particularly herbivores, we implemented a multisampling method to account for potential isotopic variations. Animals such as Equids, with teeth of sufficient height, provided an opportunity for multisampling. We collected samples from the tooth crown at multiple points, approximately 3-</w:t>
      </w:r>
      <w:r w:rsidR="00CF3280">
        <w:rPr>
          <w:lang w:val="en-US"/>
        </w:rPr>
        <w:t xml:space="preserve">5 </w:t>
      </w:r>
      <w:r w:rsidRPr="000C3FB1">
        <w:rPr>
          <w:lang w:val="en-US"/>
        </w:rPr>
        <w:t xml:space="preserve">times along its </w:t>
      </w:r>
      <w:r w:rsidR="0054173D" w:rsidRPr="000C3FB1">
        <w:rPr>
          <w:lang w:val="en-US"/>
        </w:rPr>
        <w:t>height</w:t>
      </w:r>
      <w:r w:rsidR="0054173D">
        <w:rPr>
          <w:lang w:val="en-US"/>
        </w:rPr>
        <w:t xml:space="preserve"> (5 to 20 mg)</w:t>
      </w:r>
      <w:r w:rsidRPr="000C3FB1">
        <w:rPr>
          <w:lang w:val="en-US"/>
        </w:rPr>
        <w:t xml:space="preserve">. This multisampling approach facilitated the tracking of isotopic changes from </w:t>
      </w:r>
      <w:r w:rsidR="00534F84">
        <w:rPr>
          <w:lang w:val="en-US"/>
        </w:rPr>
        <w:t xml:space="preserve">approximately </w:t>
      </w:r>
      <w:r w:rsidRPr="000C3FB1">
        <w:rPr>
          <w:lang w:val="en-US"/>
        </w:rPr>
        <w:t>the initiation of enamel formation of the tooth to the completion of crown formation</w:t>
      </w:r>
      <w:r w:rsidR="00534F84">
        <w:rPr>
          <w:lang w:val="en-US"/>
        </w:rPr>
        <w:t>.</w:t>
      </w:r>
    </w:p>
    <w:p w14:paraId="1CD7948B" w14:textId="77777777" w:rsidR="000C3FB1" w:rsidRPr="000C3FB1" w:rsidRDefault="000C3FB1" w:rsidP="000C3FB1">
      <w:pPr>
        <w:pStyle w:val="NormalWeb"/>
        <w:spacing w:line="360" w:lineRule="auto"/>
        <w:rPr>
          <w:lang w:val="en-US"/>
        </w:rPr>
      </w:pPr>
      <w:r w:rsidRPr="000C3FB1">
        <w:rPr>
          <w:lang w:val="en-US"/>
        </w:rPr>
        <w:t>By employing these specific sampling approaches for human and animal teeth, we aimed to comprehensively investigate isotopic variations within tooth formation. These methods allowed us to track isotopic changes throughout tooth development and gain insights into dietary patterns, environmental influences, and the potential for isotopic variation over time.</w:t>
      </w:r>
    </w:p>
    <w:p w14:paraId="504E4301" w14:textId="77777777" w:rsidR="00C42FFA" w:rsidRDefault="00C42FFA" w:rsidP="00C42FFA">
      <w:pPr>
        <w:spacing w:before="240" w:after="24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27D0C1C" wp14:editId="024663F8">
            <wp:extent cx="1634836" cy="3211196"/>
            <wp:effectExtent l="0" t="0" r="3810" b="825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ampling strategy photo animal.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42378" cy="3226009"/>
                    </a:xfrm>
                    <a:prstGeom prst="rect">
                      <a:avLst/>
                    </a:prstGeom>
                  </pic:spPr>
                </pic:pic>
              </a:graphicData>
            </a:graphic>
          </wp:inline>
        </w:drawing>
      </w:r>
    </w:p>
    <w:p w14:paraId="656D7060" w14:textId="77777777" w:rsidR="00C42FFA" w:rsidRDefault="00C42FFA" w:rsidP="00C42FFA">
      <w:pPr>
        <w:spacing w:before="240" w:after="240" w:line="360" w:lineRule="auto"/>
        <w:rPr>
          <w:rFonts w:ascii="Times New Roman" w:hAnsi="Times New Roman" w:cs="Times New Roman"/>
          <w:sz w:val="24"/>
          <w:szCs w:val="24"/>
        </w:rPr>
      </w:pPr>
      <w:bookmarkStart w:id="18" w:name="_Hlk137039930"/>
      <w:r w:rsidRPr="00F20676">
        <w:rPr>
          <w:rFonts w:ascii="Times New Roman" w:hAnsi="Times New Roman" w:cs="Times New Roman"/>
          <w:b/>
          <w:bCs/>
          <w:sz w:val="24"/>
          <w:szCs w:val="24"/>
        </w:rPr>
        <w:t>Figure S.3.1</w:t>
      </w:r>
      <w:r>
        <w:rPr>
          <w:rFonts w:ascii="Times New Roman" w:hAnsi="Times New Roman" w:cs="Times New Roman"/>
          <w:sz w:val="24"/>
          <w:szCs w:val="24"/>
        </w:rPr>
        <w:t xml:space="preserve"> An example of s</w:t>
      </w:r>
      <w:r w:rsidRPr="006F002A">
        <w:rPr>
          <w:rFonts w:ascii="Times New Roman" w:hAnsi="Times New Roman" w:cs="Times New Roman"/>
          <w:sz w:val="24"/>
          <w:szCs w:val="24"/>
        </w:rPr>
        <w:t>ampling Strategy for Zn Isotope Analysis in a Horse Tooth</w:t>
      </w:r>
    </w:p>
    <w:bookmarkEnd w:id="18"/>
    <w:p w14:paraId="5976BD24" w14:textId="6F1A696F" w:rsidR="00F20676" w:rsidRDefault="00F20676" w:rsidP="00F20676">
      <w:pPr>
        <w:spacing w:before="240" w:after="240" w:line="360" w:lineRule="auto"/>
        <w:rPr>
          <w:rFonts w:ascii="Times New Roman" w:hAnsi="Times New Roman" w:cs="Times New Roman"/>
          <w:sz w:val="24"/>
          <w:szCs w:val="24"/>
        </w:rPr>
      </w:pPr>
    </w:p>
    <w:p w14:paraId="634BB04C" w14:textId="77777777" w:rsidR="00503FE4" w:rsidRDefault="00503FE4" w:rsidP="00F20676">
      <w:pPr>
        <w:spacing w:before="240" w:after="240" w:line="360" w:lineRule="auto"/>
        <w:rPr>
          <w:rFonts w:ascii="Times New Roman" w:hAnsi="Times New Roman" w:cs="Times New Roman"/>
          <w:sz w:val="24"/>
          <w:szCs w:val="24"/>
        </w:rPr>
      </w:pPr>
    </w:p>
    <w:p w14:paraId="0000019A" w14:textId="77777777" w:rsidR="00784AF4" w:rsidRPr="0064579A" w:rsidRDefault="0003068C">
      <w:pPr>
        <w:pBdr>
          <w:top w:val="nil"/>
          <w:left w:val="nil"/>
          <w:bottom w:val="nil"/>
          <w:right w:val="nil"/>
          <w:between w:val="nil"/>
        </w:pBdr>
        <w:spacing w:before="240" w:after="240" w:line="360" w:lineRule="auto"/>
        <w:ind w:left="720" w:firstLine="720"/>
        <w:jc w:val="both"/>
        <w:rPr>
          <w:rFonts w:ascii="Times New Roman" w:hAnsi="Times New Roman" w:cs="Times New Roman"/>
          <w:b/>
          <w:i/>
          <w:color w:val="000000"/>
          <w:szCs w:val="24"/>
          <w:u w:val="single"/>
        </w:rPr>
      </w:pPr>
      <w:bookmarkStart w:id="19" w:name="bookmark=kix.fek7cwyz2nzh" w:colFirst="0" w:colLast="0"/>
      <w:bookmarkStart w:id="20" w:name="_Hlk137039937"/>
      <w:bookmarkEnd w:id="19"/>
      <w:r w:rsidRPr="0064579A">
        <w:rPr>
          <w:rFonts w:ascii="Times New Roman" w:eastAsia="Times New Roman" w:hAnsi="Times New Roman" w:cs="Times New Roman"/>
          <w:b/>
          <w:szCs w:val="24"/>
          <w:u w:val="single"/>
        </w:rPr>
        <w:lastRenderedPageBreak/>
        <w:t>3.3.1.2 Column chromatography and isotope analyses</w:t>
      </w:r>
    </w:p>
    <w:bookmarkEnd w:id="20"/>
    <w:p w14:paraId="0000019B" w14:textId="5F7AC75D" w:rsidR="00784AF4" w:rsidRPr="00D70D43" w:rsidRDefault="0003068C">
      <w:pPr>
        <w:spacing w:before="240" w:after="240" w:line="360" w:lineRule="auto"/>
        <w:jc w:val="both"/>
        <w:rPr>
          <w:rFonts w:ascii="Times New Roman" w:hAnsi="Times New Roman" w:cs="Times New Roman"/>
          <w:sz w:val="24"/>
          <w:szCs w:val="24"/>
        </w:rPr>
      </w:pPr>
      <w:r w:rsidRPr="00D70D43">
        <w:rPr>
          <w:rFonts w:ascii="Times New Roman" w:hAnsi="Times New Roman" w:cs="Times New Roman"/>
          <w:color w:val="000000"/>
          <w:sz w:val="24"/>
          <w:szCs w:val="24"/>
        </w:rPr>
        <w:t xml:space="preserve">Zinc and </w:t>
      </w:r>
      <w:r w:rsidRPr="00D70D43">
        <w:rPr>
          <w:rFonts w:ascii="Times New Roman" w:hAnsi="Times New Roman" w:cs="Times New Roman"/>
          <w:sz w:val="24"/>
          <w:szCs w:val="24"/>
        </w:rPr>
        <w:t>s</w:t>
      </w:r>
      <w:r w:rsidRPr="00D70D43">
        <w:rPr>
          <w:rFonts w:ascii="Times New Roman" w:hAnsi="Times New Roman" w:cs="Times New Roman"/>
          <w:color w:val="000000"/>
          <w:sz w:val="24"/>
          <w:szCs w:val="24"/>
        </w:rPr>
        <w:t xml:space="preserve">trontium were extracted from tooth enamel. For every preparation batch, we included 2 control beakers. The first one contains the powder of a standard sample to control the </w:t>
      </w:r>
      <w:r w:rsidRPr="00D70D43">
        <w:rPr>
          <w:rFonts w:ascii="Times New Roman" w:hAnsi="Times New Roman" w:cs="Times New Roman"/>
          <w:color w:val="000000"/>
          <w:sz w:val="24"/>
          <w:szCs w:val="24"/>
          <w:vertAlign w:val="superscript"/>
        </w:rPr>
        <w:t>87</w:t>
      </w:r>
      <w:r w:rsidRPr="00D70D43">
        <w:rPr>
          <w:rFonts w:ascii="Times New Roman" w:hAnsi="Times New Roman" w:cs="Times New Roman"/>
          <w:color w:val="000000"/>
          <w:sz w:val="24"/>
          <w:szCs w:val="24"/>
        </w:rPr>
        <w:t>Sr/</w:t>
      </w:r>
      <w:r w:rsidRPr="00D70D43">
        <w:rPr>
          <w:rFonts w:ascii="Times New Roman" w:hAnsi="Times New Roman" w:cs="Times New Roman"/>
          <w:color w:val="000000"/>
          <w:sz w:val="24"/>
          <w:szCs w:val="24"/>
          <w:vertAlign w:val="superscript"/>
        </w:rPr>
        <w:t>86</w:t>
      </w:r>
      <w:r w:rsidRPr="00D70D43">
        <w:rPr>
          <w:rFonts w:ascii="Times New Roman" w:hAnsi="Times New Roman" w:cs="Times New Roman"/>
          <w:color w:val="000000"/>
          <w:sz w:val="24"/>
          <w:szCs w:val="24"/>
        </w:rPr>
        <w:t>Sr</w:t>
      </w:r>
      <w:r w:rsidR="008B4920">
        <w:rPr>
          <w:rFonts w:ascii="Times New Roman" w:hAnsi="Times New Roman" w:cs="Times New Roman"/>
          <w:color w:val="000000"/>
          <w:sz w:val="24"/>
          <w:szCs w:val="24"/>
        </w:rPr>
        <w:t xml:space="preserve"> </w:t>
      </w:r>
      <w:r w:rsidRPr="00D70D43">
        <w:rPr>
          <w:rFonts w:ascii="Times New Roman" w:hAnsi="Times New Roman" w:cs="Times New Roman"/>
          <w:color w:val="000000"/>
          <w:sz w:val="24"/>
          <w:szCs w:val="24"/>
        </w:rPr>
        <w:t>or the δ</w:t>
      </w:r>
      <w:r w:rsidRPr="00D70D43">
        <w:rPr>
          <w:rFonts w:ascii="Times New Roman" w:hAnsi="Times New Roman" w:cs="Times New Roman"/>
          <w:color w:val="000000"/>
          <w:sz w:val="24"/>
          <w:szCs w:val="24"/>
          <w:vertAlign w:val="superscript"/>
        </w:rPr>
        <w:t>66</w:t>
      </w:r>
      <w:r w:rsidRPr="00D70D43">
        <w:rPr>
          <w:rFonts w:ascii="Times New Roman" w:hAnsi="Times New Roman" w:cs="Times New Roman"/>
          <w:color w:val="000000"/>
          <w:sz w:val="24"/>
          <w:szCs w:val="24"/>
        </w:rPr>
        <w:t>Zn of each batch and the second is a blank beaker to make sure that contamination was avoided during the preparation of samples for the isotopic measurements.</w:t>
      </w:r>
    </w:p>
    <w:p w14:paraId="0000019C" w14:textId="3FF09796" w:rsidR="00784AF4" w:rsidRPr="00D70D43" w:rsidRDefault="0003068C">
      <w:pPr>
        <w:spacing w:before="240" w:after="240" w:line="360" w:lineRule="auto"/>
        <w:ind w:firstLine="720"/>
        <w:jc w:val="both"/>
        <w:rPr>
          <w:rFonts w:ascii="Times New Roman" w:hAnsi="Times New Roman" w:cs="Times New Roman"/>
          <w:color w:val="000000"/>
          <w:sz w:val="24"/>
          <w:szCs w:val="24"/>
        </w:rPr>
      </w:pPr>
      <w:r w:rsidRPr="00D70D43">
        <w:rPr>
          <w:rFonts w:ascii="Times New Roman" w:hAnsi="Times New Roman" w:cs="Times New Roman"/>
          <w:color w:val="000000"/>
          <w:sz w:val="24"/>
          <w:szCs w:val="24"/>
        </w:rPr>
        <w:t xml:space="preserve">The purification step of zinc was achieved using the ion exchange method. The samples were dissolved in 1 ml of HCl, evaporated then dissolved in 1.5 HBr. The Zn was purified following the </w:t>
      </w:r>
      <w:proofErr w:type="spellStart"/>
      <w:r w:rsidRPr="00D70D43">
        <w:rPr>
          <w:rFonts w:ascii="Times New Roman" w:hAnsi="Times New Roman" w:cs="Times New Roman"/>
          <w:color w:val="000000"/>
          <w:sz w:val="24"/>
          <w:szCs w:val="24"/>
        </w:rPr>
        <w:t>the</w:t>
      </w:r>
      <w:proofErr w:type="spellEnd"/>
      <w:r w:rsidRPr="00D70D43">
        <w:rPr>
          <w:rFonts w:ascii="Times New Roman" w:hAnsi="Times New Roman" w:cs="Times New Roman"/>
          <w:color w:val="000000"/>
          <w:sz w:val="24"/>
          <w:szCs w:val="24"/>
        </w:rPr>
        <w:t xml:space="preserve"> protocol adapted from </w:t>
      </w:r>
      <w:proofErr w:type="spellStart"/>
      <w:r w:rsidRPr="00D70D43">
        <w:rPr>
          <w:rFonts w:ascii="Times New Roman" w:hAnsi="Times New Roman" w:cs="Times New Roman"/>
          <w:color w:val="000000"/>
          <w:sz w:val="24"/>
          <w:szCs w:val="24"/>
        </w:rPr>
        <w:t>Moynier</w:t>
      </w:r>
      <w:proofErr w:type="spellEnd"/>
      <w:r w:rsidRPr="00D70D43">
        <w:rPr>
          <w:rFonts w:ascii="Times New Roman" w:hAnsi="Times New Roman" w:cs="Times New Roman"/>
          <w:color w:val="000000"/>
          <w:sz w:val="24"/>
          <w:szCs w:val="24"/>
        </w:rPr>
        <w:t xml:space="preserve"> et al. (2006)</w:t>
      </w:r>
      <w:r w:rsidR="00DD7041">
        <w:rPr>
          <w:rFonts w:ascii="Times New Roman" w:hAnsi="Times New Roman" w:cs="Times New Roman"/>
          <w:color w:val="000000"/>
          <w:sz w:val="24"/>
          <w:szCs w:val="24"/>
        </w:rPr>
        <w:fldChar w:fldCharType="begin"/>
      </w:r>
      <w:r w:rsidR="00DD7041">
        <w:rPr>
          <w:rFonts w:ascii="Times New Roman" w:hAnsi="Times New Roman" w:cs="Times New Roman"/>
          <w:color w:val="000000"/>
          <w:sz w:val="24"/>
          <w:szCs w:val="24"/>
        </w:rPr>
        <w:instrText xml:space="preserve"> ADDIN ZOTERO_ITEM CSL_CITATION {"citationID":"a1j76kpsel7","properties":{"formattedCitation":"\\super 30\\nosupersub{}","plainCitation":"30","noteIndex":0},"citationItems":[{"id":95,"uris":["http://zotero.org/users/7125028/items/H3HH56TA"],"itemData":{"id":95,"type":"article-journal","container-title":"Reviews in Mineralogy and Geochemistry","DOI":"10.2138/rmg.2017.82.13","ISSN":"1529-6466","issue":"1","journalAbbreviation":"Reviews in Mineralogy and Geochemistry","page":"543-600","source":"Silverchair","title":"The Isotope Geochemistry of Zinc and Copper","volume":"82","author":[{"family":"Moynier","given":"Frédéric"},{"family":"Vance","given":"Derek"},{"family":"Fujii","given":"Toshiyuki"},{"family":"Savage","given":"Paul"}],"issued":{"date-parts":[["2017",1,1]]}}}],"schema":"https://github.com/citation-style-language/schema/raw/master/csl-citation.json"} </w:instrText>
      </w:r>
      <w:r w:rsidR="00DD7041">
        <w:rPr>
          <w:rFonts w:ascii="Times New Roman" w:hAnsi="Times New Roman" w:cs="Times New Roman"/>
          <w:color w:val="000000"/>
          <w:sz w:val="24"/>
          <w:szCs w:val="24"/>
        </w:rPr>
        <w:fldChar w:fldCharType="separate"/>
      </w:r>
      <w:r w:rsidR="00DD7041" w:rsidRPr="00DD7041">
        <w:rPr>
          <w:rFonts w:ascii="Times New Roman" w:hAnsi="Times New Roman" w:cs="Times New Roman"/>
          <w:sz w:val="24"/>
          <w:szCs w:val="24"/>
          <w:vertAlign w:val="superscript"/>
        </w:rPr>
        <w:t>30</w:t>
      </w:r>
      <w:r w:rsidR="00DD7041">
        <w:rPr>
          <w:rFonts w:ascii="Times New Roman" w:hAnsi="Times New Roman" w:cs="Times New Roman"/>
          <w:color w:val="000000"/>
          <w:sz w:val="24"/>
          <w:szCs w:val="24"/>
        </w:rPr>
        <w:fldChar w:fldCharType="end"/>
      </w:r>
      <w:r w:rsidRPr="00D70D43">
        <w:rPr>
          <w:rFonts w:ascii="Times New Roman" w:hAnsi="Times New Roman" w:cs="Times New Roman"/>
          <w:color w:val="000000"/>
          <w:sz w:val="24"/>
          <w:szCs w:val="24"/>
        </w:rPr>
        <w:t xml:space="preserve"> and described in </w:t>
      </w:r>
      <w:proofErr w:type="spellStart"/>
      <w:r w:rsidRPr="00D70D43">
        <w:rPr>
          <w:rFonts w:ascii="Times New Roman" w:hAnsi="Times New Roman" w:cs="Times New Roman"/>
          <w:color w:val="000000"/>
          <w:sz w:val="24"/>
          <w:szCs w:val="24"/>
        </w:rPr>
        <w:t>Jaouen</w:t>
      </w:r>
      <w:proofErr w:type="spellEnd"/>
      <w:r w:rsidRPr="00D70D43">
        <w:rPr>
          <w:rFonts w:ascii="Times New Roman" w:hAnsi="Times New Roman" w:cs="Times New Roman"/>
          <w:color w:val="000000"/>
          <w:sz w:val="24"/>
          <w:szCs w:val="24"/>
        </w:rPr>
        <w:t xml:space="preserve"> et al., 2016</w:t>
      </w:r>
      <w:r w:rsidR="00DD7041">
        <w:rPr>
          <w:rFonts w:ascii="Times New Roman" w:hAnsi="Times New Roman" w:cs="Times New Roman"/>
          <w:color w:val="000000"/>
          <w:sz w:val="24"/>
          <w:szCs w:val="24"/>
        </w:rPr>
        <w:fldChar w:fldCharType="begin"/>
      </w:r>
      <w:r w:rsidR="00DD7041">
        <w:rPr>
          <w:rFonts w:ascii="Times New Roman" w:hAnsi="Times New Roman" w:cs="Times New Roman"/>
          <w:color w:val="000000"/>
          <w:sz w:val="24"/>
          <w:szCs w:val="24"/>
        </w:rPr>
        <w:instrText xml:space="preserve"> ADDIN ZOTERO_ITEM CSL_CITATION {"citationID":"a127cme6npd","properties":{"formattedCitation":"\\super 26\\nosupersub{}","plainCitation":"26","noteIndex":0},"citationItems":[{"id":257,"uris":["http://zotero.org/users/7125028/items/JAQK23F2"],"itemData":{"id":257,"type":"article-journal","abstract":"In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P."}],"issued":{"date-parts":[["2016",5,18]]}}}],"schema":"https://github.com/citation-style-language/schema/raw/master/csl-citation.json"} </w:instrText>
      </w:r>
      <w:r w:rsidR="00DD7041">
        <w:rPr>
          <w:rFonts w:ascii="Times New Roman" w:hAnsi="Times New Roman" w:cs="Times New Roman"/>
          <w:color w:val="000000"/>
          <w:sz w:val="24"/>
          <w:szCs w:val="24"/>
        </w:rPr>
        <w:fldChar w:fldCharType="separate"/>
      </w:r>
      <w:r w:rsidR="00DD7041" w:rsidRPr="00DD7041">
        <w:rPr>
          <w:rFonts w:ascii="Times New Roman" w:hAnsi="Times New Roman" w:cs="Times New Roman"/>
          <w:sz w:val="24"/>
          <w:szCs w:val="24"/>
          <w:vertAlign w:val="superscript"/>
        </w:rPr>
        <w:t>26</w:t>
      </w:r>
      <w:r w:rsidR="00DD7041">
        <w:rPr>
          <w:rFonts w:ascii="Times New Roman" w:hAnsi="Times New Roman" w:cs="Times New Roman"/>
          <w:color w:val="000000"/>
          <w:sz w:val="24"/>
          <w:szCs w:val="24"/>
        </w:rPr>
        <w:fldChar w:fldCharType="end"/>
      </w:r>
      <w:r w:rsidRPr="00D70D43">
        <w:rPr>
          <w:rFonts w:ascii="Times New Roman" w:hAnsi="Times New Roman" w:cs="Times New Roman"/>
          <w:color w:val="000000"/>
          <w:sz w:val="24"/>
          <w:szCs w:val="24"/>
        </w:rPr>
        <w:t>.</w:t>
      </w:r>
      <w:r w:rsidR="008B4920">
        <w:rPr>
          <w:rFonts w:ascii="Times New Roman" w:hAnsi="Times New Roman" w:cs="Times New Roman"/>
          <w:color w:val="000000"/>
          <w:sz w:val="24"/>
          <w:szCs w:val="24"/>
        </w:rPr>
        <w:t xml:space="preserve"> </w:t>
      </w:r>
      <w:r w:rsidRPr="00D70D43">
        <w:rPr>
          <w:rFonts w:ascii="Times New Roman" w:hAnsi="Times New Roman" w:cs="Times New Roman"/>
          <w:color w:val="000000"/>
          <w:sz w:val="24"/>
          <w:szCs w:val="24"/>
        </w:rPr>
        <w:t>The purification of Zn was achieved on AG</w:t>
      </w:r>
      <w:r w:rsidR="00012ABC">
        <w:rPr>
          <w:rFonts w:ascii="Times New Roman" w:hAnsi="Times New Roman" w:cs="Times New Roman"/>
          <w:color w:val="000000"/>
          <w:sz w:val="24"/>
          <w:szCs w:val="24"/>
        </w:rPr>
        <w:t>1X</w:t>
      </w:r>
      <w:r w:rsidRPr="00D70D43">
        <w:rPr>
          <w:rFonts w:ascii="Times New Roman" w:hAnsi="Times New Roman" w:cs="Times New Roman"/>
          <w:color w:val="000000"/>
          <w:sz w:val="24"/>
          <w:szCs w:val="24"/>
        </w:rPr>
        <w:t>8 resin chloride foam using 2ml of 1.5 HBr. For the Zn elution, we used 5ml of HNO3.</w:t>
      </w:r>
      <w:r w:rsidR="008B4920">
        <w:rPr>
          <w:rFonts w:ascii="Times New Roman" w:hAnsi="Times New Roman" w:cs="Times New Roman"/>
          <w:color w:val="000000"/>
          <w:sz w:val="24"/>
          <w:szCs w:val="24"/>
        </w:rPr>
        <w:t xml:space="preserve"> </w:t>
      </w:r>
      <w:r w:rsidRPr="00D70D43">
        <w:rPr>
          <w:rFonts w:ascii="Times New Roman" w:hAnsi="Times New Roman" w:cs="Times New Roman"/>
          <w:color w:val="000000"/>
          <w:sz w:val="24"/>
          <w:szCs w:val="24"/>
        </w:rPr>
        <w:t>Contamination control was achieved through including an in-house standard AZE bone powder and a blank at each prepared batch.</w:t>
      </w:r>
      <w:r w:rsidRPr="00D70D43">
        <w:rPr>
          <w:rFonts w:ascii="Times New Roman" w:hAnsi="Times New Roman" w:cs="Times New Roman"/>
          <w:sz w:val="24"/>
          <w:szCs w:val="24"/>
        </w:rPr>
        <w:t xml:space="preserve"> </w:t>
      </w:r>
      <w:r w:rsidRPr="00D70D43">
        <w:rPr>
          <w:rFonts w:ascii="Times New Roman" w:hAnsi="Times New Roman" w:cs="Times New Roman"/>
          <w:color w:val="000000"/>
          <w:sz w:val="24"/>
          <w:szCs w:val="24"/>
        </w:rPr>
        <w:t xml:space="preserve">The Zn isotope ratios were measured at a Thermo Neptune Plus Multi-collector ICP-MS at Max Planck Institute for Evolutionary Anthropology (Leipzig, Germany). The isotopic ratios of zinc were measured and every sample was repeated twice using standard sample bracketing and Cu doping and then average values were calculated. All the zinc data are reported </w:t>
      </w:r>
      <w:r w:rsidRPr="00D70D43">
        <w:rPr>
          <w:rFonts w:ascii="Times New Roman" w:hAnsi="Times New Roman" w:cs="Times New Roman"/>
          <w:sz w:val="24"/>
          <w:szCs w:val="24"/>
        </w:rPr>
        <w:t>δ</w:t>
      </w:r>
      <w:r w:rsidRPr="00D70D43">
        <w:rPr>
          <w:rFonts w:ascii="Times New Roman" w:hAnsi="Times New Roman" w:cs="Times New Roman"/>
          <w:color w:val="000000"/>
          <w:sz w:val="24"/>
          <w:szCs w:val="24"/>
        </w:rPr>
        <w:t xml:space="preserve"> notation in per mil relative to a standard reference. </w:t>
      </w:r>
    </w:p>
    <w:p w14:paraId="0000019D" w14:textId="6D9BADBF" w:rsidR="00784AF4" w:rsidRPr="00D70D43" w:rsidRDefault="0003068C" w:rsidP="00096C4F">
      <w:pPr>
        <w:spacing w:before="240" w:after="240" w:line="360" w:lineRule="auto"/>
        <w:jc w:val="center"/>
        <w:rPr>
          <w:rFonts w:ascii="Times New Roman" w:hAnsi="Times New Roman" w:cs="Times New Roman"/>
          <w:color w:val="000000"/>
          <w:sz w:val="24"/>
          <w:szCs w:val="24"/>
        </w:rPr>
      </w:pPr>
      <w:r w:rsidRPr="00D70D43">
        <w:rPr>
          <w:rFonts w:ascii="Times New Roman" w:hAnsi="Times New Roman" w:cs="Times New Roman"/>
          <w:color w:val="000000"/>
          <w:sz w:val="24"/>
          <w:szCs w:val="24"/>
        </w:rPr>
        <w:t>δ</w:t>
      </w:r>
      <w:r w:rsidRPr="00D70D43">
        <w:rPr>
          <w:rFonts w:ascii="Times New Roman" w:hAnsi="Times New Roman" w:cs="Times New Roman"/>
          <w:color w:val="000000"/>
          <w:sz w:val="24"/>
          <w:szCs w:val="24"/>
          <w:vertAlign w:val="superscript"/>
        </w:rPr>
        <w:t>66</w:t>
      </w:r>
      <w:r w:rsidRPr="00D70D43">
        <w:rPr>
          <w:rFonts w:ascii="Times New Roman" w:hAnsi="Times New Roman" w:cs="Times New Roman"/>
          <w:color w:val="000000"/>
          <w:sz w:val="24"/>
          <w:szCs w:val="24"/>
        </w:rPr>
        <w:t>Zn = (</w:t>
      </w:r>
      <w:r w:rsidRPr="00D70D43">
        <w:rPr>
          <w:rFonts w:ascii="Times New Roman" w:hAnsi="Times New Roman" w:cs="Times New Roman"/>
          <w:color w:val="000000"/>
          <w:sz w:val="24"/>
          <w:szCs w:val="24"/>
          <w:vertAlign w:val="superscript"/>
        </w:rPr>
        <w:t>66</w:t>
      </w:r>
      <w:r w:rsidRPr="00D70D43">
        <w:rPr>
          <w:rFonts w:ascii="Times New Roman" w:hAnsi="Times New Roman" w:cs="Times New Roman"/>
          <w:color w:val="000000"/>
          <w:sz w:val="24"/>
          <w:szCs w:val="24"/>
        </w:rPr>
        <w:t>Zn /</w:t>
      </w:r>
      <w:r w:rsidRPr="00D70D43">
        <w:rPr>
          <w:rFonts w:ascii="Times New Roman" w:hAnsi="Times New Roman" w:cs="Times New Roman"/>
          <w:color w:val="000000"/>
          <w:sz w:val="24"/>
          <w:szCs w:val="24"/>
          <w:vertAlign w:val="superscript"/>
        </w:rPr>
        <w:t>64</w:t>
      </w:r>
      <w:r w:rsidRPr="00D70D43">
        <w:rPr>
          <w:rFonts w:ascii="Times New Roman" w:hAnsi="Times New Roman" w:cs="Times New Roman"/>
          <w:color w:val="000000"/>
          <w:sz w:val="24"/>
          <w:szCs w:val="24"/>
        </w:rPr>
        <w:t>Zn sample/</w:t>
      </w:r>
      <w:r w:rsidRPr="00D70D43">
        <w:rPr>
          <w:rFonts w:ascii="Times New Roman" w:hAnsi="Times New Roman" w:cs="Times New Roman"/>
          <w:color w:val="000000"/>
          <w:sz w:val="24"/>
          <w:szCs w:val="24"/>
          <w:vertAlign w:val="superscript"/>
        </w:rPr>
        <w:t>66</w:t>
      </w:r>
      <w:r w:rsidRPr="00D70D43">
        <w:rPr>
          <w:rFonts w:ascii="Times New Roman" w:hAnsi="Times New Roman" w:cs="Times New Roman"/>
          <w:color w:val="000000"/>
          <w:sz w:val="24"/>
          <w:szCs w:val="24"/>
        </w:rPr>
        <w:t>Zn /</w:t>
      </w:r>
      <w:r w:rsidRPr="00D70D43">
        <w:rPr>
          <w:rFonts w:ascii="Times New Roman" w:hAnsi="Times New Roman" w:cs="Times New Roman"/>
          <w:color w:val="000000"/>
          <w:sz w:val="24"/>
          <w:szCs w:val="24"/>
          <w:vertAlign w:val="superscript"/>
        </w:rPr>
        <w:t>64</w:t>
      </w:r>
      <w:r w:rsidRPr="00D70D43">
        <w:rPr>
          <w:rFonts w:ascii="Times New Roman" w:hAnsi="Times New Roman" w:cs="Times New Roman"/>
          <w:color w:val="000000"/>
          <w:sz w:val="24"/>
          <w:szCs w:val="24"/>
        </w:rPr>
        <w:t xml:space="preserve">Zn standard </w:t>
      </w:r>
      <w:r w:rsidR="00503FE4">
        <w:rPr>
          <w:rFonts w:ascii="Times New Roman" w:hAnsi="Times New Roman" w:cs="Times New Roman"/>
          <w:color w:val="000000"/>
          <w:sz w:val="24"/>
          <w:szCs w:val="24"/>
        </w:rPr>
        <w:t>-</w:t>
      </w:r>
      <w:r w:rsidRPr="00D70D43">
        <w:rPr>
          <w:rFonts w:ascii="Times New Roman" w:hAnsi="Times New Roman" w:cs="Times New Roman"/>
          <w:color w:val="000000"/>
          <w:sz w:val="24"/>
          <w:szCs w:val="24"/>
        </w:rPr>
        <w:t xml:space="preserve"> 1) × 1000</w:t>
      </w:r>
    </w:p>
    <w:p w14:paraId="0000019E" w14:textId="77777777" w:rsidR="00784AF4" w:rsidRPr="00D70D43" w:rsidRDefault="0003068C">
      <w:pPr>
        <w:spacing w:before="240" w:after="240" w:line="360" w:lineRule="auto"/>
        <w:jc w:val="both"/>
        <w:rPr>
          <w:rFonts w:ascii="Times New Roman" w:hAnsi="Times New Roman" w:cs="Times New Roman"/>
          <w:i/>
          <w:color w:val="000000"/>
          <w:sz w:val="24"/>
          <w:szCs w:val="24"/>
        </w:rPr>
      </w:pPr>
      <w:r w:rsidRPr="00D70D43">
        <w:rPr>
          <w:rFonts w:ascii="Times New Roman" w:hAnsi="Times New Roman" w:cs="Times New Roman"/>
          <w:color w:val="000000"/>
          <w:sz w:val="24"/>
          <w:szCs w:val="24"/>
        </w:rPr>
        <w:t xml:space="preserve">The Zn concentrations were estimated by measuring the </w:t>
      </w:r>
      <w:r w:rsidRPr="00D70D43">
        <w:rPr>
          <w:rFonts w:ascii="Times New Roman" w:hAnsi="Times New Roman" w:cs="Times New Roman"/>
          <w:color w:val="000000"/>
          <w:sz w:val="24"/>
          <w:szCs w:val="24"/>
          <w:vertAlign w:val="superscript"/>
        </w:rPr>
        <w:t>64</w:t>
      </w:r>
      <w:r w:rsidRPr="00D70D43">
        <w:rPr>
          <w:rFonts w:ascii="Times New Roman" w:hAnsi="Times New Roman" w:cs="Times New Roman"/>
          <w:color w:val="000000"/>
          <w:sz w:val="24"/>
          <w:szCs w:val="24"/>
        </w:rPr>
        <w:t>Zn signal intensity of three solutions (150 ppb, 300 ppb, 600 ppb) and the δ</w:t>
      </w:r>
      <w:r w:rsidRPr="00D70D43">
        <w:rPr>
          <w:rFonts w:ascii="Times New Roman" w:hAnsi="Times New Roman" w:cs="Times New Roman"/>
          <w:color w:val="000000"/>
          <w:sz w:val="24"/>
          <w:szCs w:val="24"/>
          <w:vertAlign w:val="superscript"/>
        </w:rPr>
        <w:t>66</w:t>
      </w:r>
      <w:r w:rsidRPr="00D70D43">
        <w:rPr>
          <w:rFonts w:ascii="Times New Roman" w:hAnsi="Times New Roman" w:cs="Times New Roman"/>
          <w:color w:val="000000"/>
          <w:sz w:val="24"/>
          <w:szCs w:val="24"/>
        </w:rPr>
        <w:t xml:space="preserve">Zn are reported relative to the standard JMC-Lyon. </w:t>
      </w:r>
    </w:p>
    <w:p w14:paraId="0000019F" w14:textId="6AB3A09E" w:rsidR="00784AF4" w:rsidRDefault="0003068C">
      <w:pPr>
        <w:spacing w:before="240" w:after="240" w:line="360" w:lineRule="auto"/>
        <w:ind w:firstLine="720"/>
        <w:jc w:val="both"/>
        <w:rPr>
          <w:rFonts w:ascii="Times New Roman" w:hAnsi="Times New Roman" w:cs="Times New Roman"/>
          <w:color w:val="000000"/>
          <w:sz w:val="24"/>
          <w:szCs w:val="24"/>
        </w:rPr>
      </w:pPr>
      <w:r w:rsidRPr="00D70D43">
        <w:rPr>
          <w:rFonts w:ascii="Times New Roman" w:hAnsi="Times New Roman" w:cs="Times New Roman"/>
          <w:color w:val="000000"/>
          <w:sz w:val="24"/>
          <w:szCs w:val="24"/>
        </w:rPr>
        <w:t>For strontium, the purification was achieved using the protocol adapted from Copeland et al. (2008)</w:t>
      </w:r>
      <w:r w:rsidR="00DD7041">
        <w:rPr>
          <w:rFonts w:ascii="Times New Roman" w:hAnsi="Times New Roman" w:cs="Times New Roman"/>
          <w:color w:val="000000"/>
          <w:sz w:val="24"/>
          <w:szCs w:val="24"/>
        </w:rPr>
        <w:fldChar w:fldCharType="begin"/>
      </w:r>
      <w:r w:rsidR="000E7E53">
        <w:rPr>
          <w:rFonts w:ascii="Times New Roman" w:hAnsi="Times New Roman" w:cs="Times New Roman"/>
          <w:color w:val="000000"/>
          <w:sz w:val="24"/>
          <w:szCs w:val="24"/>
        </w:rPr>
        <w:instrText xml:space="preserve"> ADDIN ZOTERO_ITEM CSL_CITATION {"citationID":"a2gn6t7lr8u","properties":{"formattedCitation":"\\super 61\\nosupersub{}","plainCitation":"61","noteIndex":0},"citationItems":[{"id":921,"uris":["http://zotero.org/users/7125028/items/E6UTPK3T"],"itemData":{"id":921,"type":"article-journal","abstract":"Strontium isotope ratios (87Sr/86Sr) in tooth enamel provide a means to investigate migration and landscape use in humans and other animals. Established methods for measuring 87Sr/86Sr in teeth use bulk sampling (5–20 mg) and labor-intensive elemental purification procedures before analysis by either thermal ionization mass spectrometry (TIMS) or multicollector inductively coupled plasma mass spectrometry (MC-ICP-MS). Another method for measuring 87Sr/86Sr is laser ablation MC-ICP-MS, but concerns have been expressed about its accuracy for measuring tooth enamel. In this study we test the precision and accuracy of the technique by analyzing 30 modern rodent teeth from the Sterkfontein Valley, South Africa by laser ablation MC-ICP-MS and solution MC-ICP-MS. The results show a mean difference in 87Sr/86Sr measured by laser ablation and by solution of 0.0003 ± 0.0002. This degree of precision is well within the margin necessary for investigating the potential geographic origins of humans or animals in many areas of the world. Because laser ablation is faster, less expensive, and less destructive than bulk sampling solution methods, it opens the possibility for conducting 87Sr/86Sr analyses of intra-tooth samples and small and/or rare specimens such as micromammal and fossil teeth. Copyright © 2008 John Wiley &amp; Sons, Ltd.","container-title":"Rapid Communications in Mass Spectrometry","DOI":"10.1002/rcm.3717","ISSN":"1097-0231","issue":"20","language":"en","license":"Copyright © 2008 John Wiley &amp; Sons, Ltd.","note":"_eprint: https://onlinelibrary.wiley.com/doi/pdf/10.1002/rcm.3717","page":"3187-3194","source":"Wiley Online Library","title":"Strontium isotope ratios (87Sr/86Sr) of tooth enamel: a comparison of solution and laser ablation multicollector inductively coupled plasma mass spectrometry methods","title-short":"Strontium isotope ratios (87Sr/86Sr) of tooth enamel","volume":"22","author":[{"family":"Copeland","given":"Sandi R."},{"family":"Sponheimer","given":"Matt"},{"family":"Roux","given":"Petrus J.","non-dropping-particle":"le"},{"family":"Grimes","given":"Vaughan"},{"family":"Lee-Thorp","given":"Julia A."},{"family":"Ruiter","given":"Darryl J.","non-dropping-particle":"de"},{"family":"Richards","given":"Michael P."}],"issued":{"date-parts":[["2008"]]}}}],"schema":"https://github.com/citation-style-language/schema/raw/master/csl-citation.json"} </w:instrText>
      </w:r>
      <w:r w:rsidR="00DD7041">
        <w:rPr>
          <w:rFonts w:ascii="Times New Roman" w:hAnsi="Times New Roman" w:cs="Times New Roman"/>
          <w:color w:val="000000"/>
          <w:sz w:val="24"/>
          <w:szCs w:val="24"/>
        </w:rPr>
        <w:fldChar w:fldCharType="separate"/>
      </w:r>
      <w:r w:rsidR="000E7E53" w:rsidRPr="000E7E53">
        <w:rPr>
          <w:rFonts w:ascii="Times New Roman" w:hAnsi="Times New Roman" w:cs="Times New Roman"/>
          <w:sz w:val="24"/>
          <w:szCs w:val="24"/>
          <w:vertAlign w:val="superscript"/>
        </w:rPr>
        <w:t>61</w:t>
      </w:r>
      <w:r w:rsidR="00DD7041">
        <w:rPr>
          <w:rFonts w:ascii="Times New Roman" w:hAnsi="Times New Roman" w:cs="Times New Roman"/>
          <w:color w:val="000000"/>
          <w:sz w:val="24"/>
          <w:szCs w:val="24"/>
        </w:rPr>
        <w:fldChar w:fldCharType="end"/>
      </w:r>
      <w:r w:rsidRPr="00D70D43">
        <w:rPr>
          <w:rFonts w:ascii="Times New Roman" w:hAnsi="Times New Roman" w:cs="Times New Roman"/>
          <w:color w:val="000000"/>
          <w:sz w:val="24"/>
          <w:szCs w:val="24"/>
        </w:rPr>
        <w:t>. The enamel was dissolved in 2ml of HNO3 evaporated and subsequently dissolved in 3N HNO3. The Sr, was purified using Sr.spec.TM resin and eluted from the resin</w:t>
      </w:r>
      <w:r w:rsidR="008B4920">
        <w:rPr>
          <w:rFonts w:ascii="Times New Roman" w:hAnsi="Times New Roman" w:cs="Times New Roman"/>
          <w:color w:val="000000"/>
          <w:sz w:val="24"/>
          <w:szCs w:val="24"/>
        </w:rPr>
        <w:t xml:space="preserve"> </w:t>
      </w:r>
      <w:r w:rsidRPr="00D70D43">
        <w:rPr>
          <w:rFonts w:ascii="Times New Roman" w:hAnsi="Times New Roman" w:cs="Times New Roman"/>
          <w:color w:val="000000"/>
          <w:sz w:val="24"/>
          <w:szCs w:val="24"/>
        </w:rPr>
        <w:t>with 1.5 ml ultrapure deionized Milli Q water before evaporation. The dry samples were dissolved in 2ml</w:t>
      </w:r>
      <w:r w:rsidR="008B4920">
        <w:rPr>
          <w:rFonts w:ascii="Times New Roman" w:hAnsi="Times New Roman" w:cs="Times New Roman"/>
          <w:color w:val="000000"/>
          <w:sz w:val="24"/>
          <w:szCs w:val="24"/>
        </w:rPr>
        <w:t xml:space="preserve"> </w:t>
      </w:r>
      <w:r w:rsidRPr="00D70D43">
        <w:rPr>
          <w:rFonts w:ascii="Times New Roman" w:hAnsi="Times New Roman" w:cs="Times New Roman"/>
          <w:color w:val="000000"/>
          <w:sz w:val="24"/>
          <w:szCs w:val="24"/>
        </w:rPr>
        <w:t>3% HNO3 for the isotopic measurements.</w:t>
      </w:r>
      <w:r w:rsidR="008B4920">
        <w:rPr>
          <w:rFonts w:ascii="Times New Roman" w:hAnsi="Times New Roman" w:cs="Times New Roman"/>
          <w:color w:val="000000"/>
          <w:sz w:val="24"/>
          <w:szCs w:val="24"/>
        </w:rPr>
        <w:t xml:space="preserve"> </w:t>
      </w:r>
      <w:r w:rsidRPr="00D70D43">
        <w:rPr>
          <w:rFonts w:ascii="Times New Roman" w:hAnsi="Times New Roman" w:cs="Times New Roman"/>
          <w:color w:val="000000"/>
          <w:sz w:val="24"/>
          <w:szCs w:val="24"/>
        </w:rPr>
        <w:t xml:space="preserve"> The Sr isotopic ratios were measured on the Thermo Neptune </w:t>
      </w:r>
      <w:proofErr w:type="spellStart"/>
      <w:r w:rsidRPr="00D70D43">
        <w:rPr>
          <w:rFonts w:ascii="Times New Roman" w:hAnsi="Times New Roman" w:cs="Times New Roman"/>
          <w:color w:val="000000"/>
          <w:sz w:val="24"/>
          <w:szCs w:val="24"/>
        </w:rPr>
        <w:t>Multicollector</w:t>
      </w:r>
      <w:proofErr w:type="spellEnd"/>
      <w:r w:rsidRPr="00D70D43">
        <w:rPr>
          <w:rFonts w:ascii="Times New Roman" w:hAnsi="Times New Roman" w:cs="Times New Roman"/>
          <w:color w:val="000000"/>
          <w:sz w:val="24"/>
          <w:szCs w:val="24"/>
        </w:rPr>
        <w:t xml:space="preserve"> ICP-MS (Inductively coupled plasma mass spectrometry).</w:t>
      </w:r>
      <w:r w:rsidRPr="00D70D43">
        <w:rPr>
          <w:rFonts w:ascii="Times New Roman" w:hAnsi="Times New Roman" w:cs="Times New Roman"/>
          <w:sz w:val="24"/>
          <w:szCs w:val="24"/>
        </w:rPr>
        <w:t xml:space="preserve"> </w:t>
      </w:r>
      <w:r w:rsidRPr="00D70D43">
        <w:rPr>
          <w:rFonts w:ascii="Times New Roman" w:hAnsi="Times New Roman" w:cs="Times New Roman"/>
          <w:color w:val="000000"/>
          <w:sz w:val="24"/>
          <w:szCs w:val="24"/>
        </w:rPr>
        <w:t>The interference from rubidium (</w:t>
      </w:r>
      <w:proofErr w:type="spellStart"/>
      <w:r w:rsidRPr="00D70D43">
        <w:rPr>
          <w:rFonts w:ascii="Times New Roman" w:hAnsi="Times New Roman" w:cs="Times New Roman"/>
          <w:color w:val="000000"/>
          <w:sz w:val="24"/>
          <w:szCs w:val="24"/>
        </w:rPr>
        <w:t>Rb</w:t>
      </w:r>
      <w:proofErr w:type="spellEnd"/>
      <w:r w:rsidRPr="00D70D43">
        <w:rPr>
          <w:rFonts w:ascii="Times New Roman" w:hAnsi="Times New Roman" w:cs="Times New Roman"/>
          <w:color w:val="000000"/>
          <w:sz w:val="24"/>
          <w:szCs w:val="24"/>
        </w:rPr>
        <w:t xml:space="preserve">) with </w:t>
      </w:r>
      <w:r w:rsidRPr="003C7995">
        <w:rPr>
          <w:rFonts w:ascii="Times New Roman" w:hAnsi="Times New Roman" w:cs="Times New Roman"/>
          <w:color w:val="000000"/>
          <w:sz w:val="24"/>
          <w:szCs w:val="24"/>
          <w:vertAlign w:val="superscript"/>
        </w:rPr>
        <w:t>87</w:t>
      </w:r>
      <w:r w:rsidRPr="00D70D43">
        <w:rPr>
          <w:rFonts w:ascii="Times New Roman" w:hAnsi="Times New Roman" w:cs="Times New Roman"/>
          <w:color w:val="000000"/>
          <w:sz w:val="24"/>
          <w:szCs w:val="24"/>
        </w:rPr>
        <w:t>S</w:t>
      </w:r>
      <w:r w:rsidR="008139B5">
        <w:rPr>
          <w:rFonts w:ascii="Times New Roman" w:hAnsi="Times New Roman" w:cs="Times New Roman"/>
          <w:color w:val="000000"/>
          <w:sz w:val="24"/>
          <w:szCs w:val="24"/>
        </w:rPr>
        <w:t>r</w:t>
      </w:r>
      <w:r w:rsidRPr="00D70D43">
        <w:rPr>
          <w:rFonts w:ascii="Times New Roman" w:hAnsi="Times New Roman" w:cs="Times New Roman"/>
          <w:color w:val="000000"/>
          <w:sz w:val="24"/>
          <w:szCs w:val="24"/>
        </w:rPr>
        <w:t>/</w:t>
      </w:r>
      <w:r w:rsidRPr="003C7995">
        <w:rPr>
          <w:rFonts w:ascii="Times New Roman" w:hAnsi="Times New Roman" w:cs="Times New Roman"/>
          <w:color w:val="000000"/>
          <w:sz w:val="24"/>
          <w:szCs w:val="24"/>
          <w:vertAlign w:val="superscript"/>
        </w:rPr>
        <w:t>86</w:t>
      </w:r>
      <w:r w:rsidRPr="00D70D43">
        <w:rPr>
          <w:rFonts w:ascii="Times New Roman" w:hAnsi="Times New Roman" w:cs="Times New Roman"/>
          <w:color w:val="000000"/>
          <w:sz w:val="24"/>
          <w:szCs w:val="24"/>
        </w:rPr>
        <w:t xml:space="preserve">Sr measurements was corrected based on the repeated analysis of standard (SRM 987). The Sr concentration were calculated by measuring the </w:t>
      </w:r>
      <w:r w:rsidRPr="00080EBC">
        <w:rPr>
          <w:rFonts w:ascii="Times New Roman" w:hAnsi="Times New Roman" w:cs="Times New Roman"/>
          <w:color w:val="000000"/>
          <w:sz w:val="24"/>
          <w:szCs w:val="24"/>
          <w:vertAlign w:val="superscript"/>
        </w:rPr>
        <w:t>88</w:t>
      </w:r>
      <w:r w:rsidRPr="00D70D43">
        <w:rPr>
          <w:rFonts w:ascii="Times New Roman" w:hAnsi="Times New Roman" w:cs="Times New Roman"/>
          <w:color w:val="000000"/>
          <w:sz w:val="24"/>
          <w:szCs w:val="24"/>
        </w:rPr>
        <w:t>Sr signal intensity (V) of three diluted solutions with known concentrations (100ppb, 400ppb, and 700ppb).</w:t>
      </w:r>
    </w:p>
    <w:p w14:paraId="000001FB" w14:textId="2D136E87" w:rsidR="00784AF4" w:rsidRPr="0064579A" w:rsidRDefault="00B1676B" w:rsidP="00B1676B">
      <w:pPr>
        <w:spacing w:before="240" w:after="240" w:line="360" w:lineRule="auto"/>
        <w:jc w:val="both"/>
        <w:rPr>
          <w:rFonts w:ascii="Times New Roman" w:hAnsi="Times New Roman" w:cs="Times New Roman"/>
          <w:b/>
          <w:color w:val="000000"/>
          <w:szCs w:val="24"/>
        </w:rPr>
      </w:pPr>
      <w:bookmarkStart w:id="21" w:name="_Hlk137039945"/>
      <w:r>
        <w:rPr>
          <w:rFonts w:ascii="Times New Roman" w:hAnsi="Times New Roman" w:cs="Times New Roman"/>
          <w:b/>
          <w:szCs w:val="24"/>
        </w:rPr>
        <w:lastRenderedPageBreak/>
        <w:t xml:space="preserve">       </w:t>
      </w:r>
      <w:r w:rsidR="0003068C" w:rsidRPr="0064579A">
        <w:rPr>
          <w:rFonts w:ascii="Times New Roman" w:hAnsi="Times New Roman" w:cs="Times New Roman"/>
          <w:b/>
          <w:szCs w:val="24"/>
        </w:rPr>
        <w:t>3.3.2 C</w:t>
      </w:r>
      <w:r w:rsidR="0003068C" w:rsidRPr="0064579A">
        <w:rPr>
          <w:rFonts w:ascii="Times New Roman" w:hAnsi="Times New Roman" w:cs="Times New Roman"/>
          <w:b/>
          <w:color w:val="000000"/>
          <w:szCs w:val="24"/>
        </w:rPr>
        <w:t xml:space="preserve">arbon, nitrogen and </w:t>
      </w:r>
      <w:proofErr w:type="spellStart"/>
      <w:r w:rsidR="0003068C" w:rsidRPr="0064579A">
        <w:rPr>
          <w:rFonts w:ascii="Times New Roman" w:hAnsi="Times New Roman" w:cs="Times New Roman"/>
          <w:b/>
          <w:szCs w:val="24"/>
        </w:rPr>
        <w:t>sulphur</w:t>
      </w:r>
      <w:proofErr w:type="spellEnd"/>
      <w:r w:rsidR="0003068C" w:rsidRPr="0064579A">
        <w:rPr>
          <w:rFonts w:ascii="Times New Roman" w:hAnsi="Times New Roman" w:cs="Times New Roman"/>
          <w:b/>
          <w:color w:val="000000"/>
          <w:szCs w:val="24"/>
        </w:rPr>
        <w:t xml:space="preserve"> isotop</w:t>
      </w:r>
      <w:r w:rsidR="0003068C" w:rsidRPr="0064579A">
        <w:rPr>
          <w:rFonts w:ascii="Times New Roman" w:hAnsi="Times New Roman" w:cs="Times New Roman"/>
          <w:b/>
          <w:szCs w:val="24"/>
        </w:rPr>
        <w:t>e</w:t>
      </w:r>
      <w:r w:rsidR="0003068C" w:rsidRPr="0064579A">
        <w:rPr>
          <w:rFonts w:ascii="Times New Roman" w:hAnsi="Times New Roman" w:cs="Times New Roman"/>
          <w:b/>
          <w:color w:val="000000"/>
          <w:szCs w:val="24"/>
        </w:rPr>
        <w:t xml:space="preserve"> analyses</w:t>
      </w:r>
    </w:p>
    <w:bookmarkEnd w:id="21"/>
    <w:p w14:paraId="000001FC" w14:textId="02B59AAD" w:rsidR="00784AF4" w:rsidRPr="00641836" w:rsidRDefault="00641836" w:rsidP="00641836">
      <w:pPr>
        <w:pStyle w:val="NormalWeb"/>
        <w:spacing w:line="360" w:lineRule="auto"/>
        <w:rPr>
          <w:color w:val="000000"/>
          <w:lang w:val="en-US"/>
        </w:rPr>
      </w:pPr>
      <w:r w:rsidRPr="00641836">
        <w:rPr>
          <w:color w:val="000000"/>
          <w:lang w:val="en-US"/>
        </w:rPr>
        <w:t>For collagen extraction, both human and animal tooth dentine and bone samples, weighing between ~200 and 500 mg, were carefully removed using a diamond-tipped burr.</w:t>
      </w:r>
      <w:r>
        <w:rPr>
          <w:color w:val="000000"/>
          <w:lang w:val="en-US"/>
        </w:rPr>
        <w:t xml:space="preserve"> </w:t>
      </w:r>
      <w:r w:rsidR="0003068C" w:rsidRPr="00534F84">
        <w:rPr>
          <w:color w:val="000000"/>
          <w:lang w:val="en-US"/>
        </w:rPr>
        <w:t xml:space="preserve">Collagen was extracted following the protocol described in </w:t>
      </w:r>
      <w:proofErr w:type="spellStart"/>
      <w:r w:rsidR="0003068C" w:rsidRPr="00534F84">
        <w:rPr>
          <w:lang w:val="en-US"/>
        </w:rPr>
        <w:t>Talamo</w:t>
      </w:r>
      <w:proofErr w:type="spellEnd"/>
      <w:r w:rsidR="0003068C" w:rsidRPr="00534F84">
        <w:rPr>
          <w:lang w:val="en-US"/>
        </w:rPr>
        <w:t xml:space="preserve"> and Richards (2011)</w:t>
      </w:r>
      <w:r w:rsidR="00DD7041">
        <w:rPr>
          <w:lang w:val="en-US"/>
        </w:rPr>
        <w:fldChar w:fldCharType="begin"/>
      </w:r>
      <w:r w:rsidR="000E7E53">
        <w:rPr>
          <w:lang w:val="en-US"/>
        </w:rPr>
        <w:instrText xml:space="preserve"> ADDIN ZOTERO_ITEM CSL_CITATION {"citationID":"a17g9j87i8","properties":{"formattedCitation":"\\super 62\\nosupersub{}","plainCitation":"62","noteIndex":0},"citationItems":[{"id":924,"uris":["http://zotero.org/users/7125028/items/IHPDIPVS"],"itemData":{"id":924,"type":"article-journal","abstract":"Bone is a commonly used material for radiocarbon dating, yet at ages close to the limit of the method (&gt;30,000 BP), it is a substantial challenge to remove contamination and produce accurate ages. We report here on the preliminary results of a dating study of 2 bones older than 30,000 yr, which were each treated with a suite of pretreatment procedures, including ultrafiltration (Brown et al. 1988). Substantial differences in the 14C ages were observed, which is most likely linked to crucial steps in the removal of contamination both in the bone and in the laboratory. Using a comprehensive sequence of pretreatment procedures, including ultrafiltration, we obtain generally older ages.","container-title":"Radiocarbon","DOI":"10.1017/S0033822200034573","ISSN":"0033-8222, 1945-5755","issue":"3","language":"en","note":"publisher: Cambridge University Press","page":"443-449","source":"Cambridge University Press","title":"A Comparison of Bone Pretreatment Methods for AMS Dating of Samples &gt;30,000 BP","volume":"53","author":[{"family":"Talamo","given":"Sahra"},{"family":"Richards","given":"Mike"}],"issued":{"date-parts":[["2011",1]]}}}],"schema":"https://github.com/citation-style-language/schema/raw/master/csl-citation.json"} </w:instrText>
      </w:r>
      <w:r w:rsidR="00DD7041">
        <w:rPr>
          <w:lang w:val="en-US"/>
        </w:rPr>
        <w:fldChar w:fldCharType="separate"/>
      </w:r>
      <w:r w:rsidR="000E7E53" w:rsidRPr="00A05E4F">
        <w:rPr>
          <w:vertAlign w:val="superscript"/>
          <w:lang w:val="en-US"/>
        </w:rPr>
        <w:t>62</w:t>
      </w:r>
      <w:r w:rsidR="00DD7041">
        <w:rPr>
          <w:lang w:val="en-US"/>
        </w:rPr>
        <w:fldChar w:fldCharType="end"/>
      </w:r>
      <w:r w:rsidR="0003068C" w:rsidRPr="00534F84">
        <w:rPr>
          <w:lang w:val="en-US"/>
        </w:rPr>
        <w:t>.</w:t>
      </w:r>
      <w:r w:rsidR="00BE1790" w:rsidRPr="00534F84">
        <w:rPr>
          <w:lang w:val="en-US"/>
        </w:rPr>
        <w:t xml:space="preserve"> </w:t>
      </w:r>
      <w:r w:rsidR="0003068C" w:rsidRPr="00D14FE4">
        <w:rPr>
          <w:color w:val="000000"/>
          <w:lang w:val="en-US"/>
        </w:rPr>
        <w:t xml:space="preserve">Dentine and bone were cleaned by abrasion then demineralized in HCl for several weeks at 4°C. Samples were immersed in NaOH for 30 minutes. The purified solution containing collagen was rinsed and soaked again in HCl. The insoluble collagen was solubilized in HCl (pH=3) at 75°C for 20 hours. The supernatant containing the collagen was filtered with </w:t>
      </w:r>
      <w:proofErr w:type="spellStart"/>
      <w:r w:rsidR="0003068C" w:rsidRPr="00D14FE4">
        <w:rPr>
          <w:color w:val="000000"/>
          <w:lang w:val="en-US"/>
        </w:rPr>
        <w:t>Ezee</w:t>
      </w:r>
      <w:proofErr w:type="spellEnd"/>
      <w:r w:rsidR="0003068C" w:rsidRPr="00D14FE4">
        <w:rPr>
          <w:color w:val="000000"/>
          <w:lang w:val="en-US"/>
        </w:rPr>
        <w:t xml:space="preserve"> filters then </w:t>
      </w:r>
      <w:r w:rsidR="00DD7041" w:rsidRPr="00D14FE4">
        <w:rPr>
          <w:color w:val="000000"/>
          <w:lang w:val="en-US"/>
        </w:rPr>
        <w:t>ultra-filtrated</w:t>
      </w:r>
      <w:r w:rsidR="0003068C" w:rsidRPr="00D14FE4">
        <w:rPr>
          <w:color w:val="000000"/>
          <w:lang w:val="en-US"/>
        </w:rPr>
        <w:t xml:space="preserve"> to collect the &gt;30kDa collagen molecules, frozen for 48 h</w:t>
      </w:r>
      <w:r w:rsidR="008B4920" w:rsidRPr="00D14FE4">
        <w:rPr>
          <w:color w:val="000000"/>
          <w:lang w:val="en-US"/>
        </w:rPr>
        <w:t xml:space="preserve"> </w:t>
      </w:r>
      <w:r w:rsidR="0003068C" w:rsidRPr="00D14FE4">
        <w:rPr>
          <w:color w:val="000000"/>
          <w:lang w:val="en-US"/>
        </w:rPr>
        <w:t>and lyophilized</w:t>
      </w:r>
      <w:r w:rsidR="0003068C" w:rsidRPr="00D14FE4">
        <w:rPr>
          <w:lang w:val="en-US"/>
        </w:rPr>
        <w:t>.</w:t>
      </w:r>
    </w:p>
    <w:p w14:paraId="0FD2E056" w14:textId="27F506E7" w:rsidR="00671C76" w:rsidRDefault="0003068C">
      <w:pPr>
        <w:pBdr>
          <w:top w:val="nil"/>
          <w:left w:val="nil"/>
          <w:bottom w:val="nil"/>
          <w:right w:val="nil"/>
          <w:between w:val="nil"/>
        </w:pBdr>
        <w:spacing w:after="240" w:line="360" w:lineRule="auto"/>
        <w:jc w:val="both"/>
        <w:rPr>
          <w:rFonts w:ascii="Times New Roman" w:eastAsia="Times New Roman" w:hAnsi="Times New Roman" w:cs="Times New Roman"/>
          <w:color w:val="000000"/>
          <w:sz w:val="24"/>
          <w:szCs w:val="24"/>
        </w:rPr>
      </w:pPr>
      <w:r w:rsidRPr="00D70D43">
        <w:rPr>
          <w:rFonts w:ascii="Times New Roman" w:eastAsia="Times New Roman" w:hAnsi="Times New Roman" w:cs="Times New Roman"/>
          <w:color w:val="000000"/>
          <w:sz w:val="24"/>
          <w:szCs w:val="24"/>
        </w:rPr>
        <w:t xml:space="preserve">The C and N isotopic ratios were obtained using a Thermo Finnigan Flash EA coupled to a Delta V isotope ratio mass spectrometer. Carbon and nitrogen stable isotope ratios were respectively measured relative to VPDB (Vienna </w:t>
      </w:r>
      <w:proofErr w:type="spellStart"/>
      <w:r w:rsidRPr="00D70D43">
        <w:rPr>
          <w:rFonts w:ascii="Times New Roman" w:eastAsia="Times New Roman" w:hAnsi="Times New Roman" w:cs="Times New Roman"/>
          <w:color w:val="000000"/>
          <w:sz w:val="24"/>
          <w:szCs w:val="24"/>
        </w:rPr>
        <w:t>PeeDee</w:t>
      </w:r>
      <w:proofErr w:type="spellEnd"/>
      <w:r w:rsidRPr="00D70D43">
        <w:rPr>
          <w:rFonts w:ascii="Times New Roman" w:eastAsia="Times New Roman" w:hAnsi="Times New Roman" w:cs="Times New Roman"/>
          <w:color w:val="000000"/>
          <w:sz w:val="24"/>
          <w:szCs w:val="24"/>
        </w:rPr>
        <w:t xml:space="preserve"> Belemnite) and to AIR (atmospheric N</w:t>
      </w:r>
      <w:r w:rsidRPr="00D70D43">
        <w:rPr>
          <w:rFonts w:ascii="Times New Roman" w:eastAsia="Times New Roman" w:hAnsi="Times New Roman" w:cs="Times New Roman"/>
          <w:color w:val="000000"/>
          <w:sz w:val="24"/>
          <w:szCs w:val="24"/>
          <w:vertAlign w:val="subscript"/>
        </w:rPr>
        <w:t>2</w:t>
      </w:r>
      <w:r w:rsidRPr="00D70D43">
        <w:rPr>
          <w:rFonts w:ascii="Times New Roman" w:eastAsia="Times New Roman" w:hAnsi="Times New Roman" w:cs="Times New Roman"/>
          <w:color w:val="000000"/>
          <w:sz w:val="24"/>
          <w:szCs w:val="24"/>
        </w:rPr>
        <w:t>). The analytical error of 0.1 and 0.2 for δ</w:t>
      </w:r>
      <w:r w:rsidRPr="00D70D43">
        <w:rPr>
          <w:rFonts w:ascii="Times New Roman" w:eastAsia="Times New Roman" w:hAnsi="Times New Roman" w:cs="Times New Roman"/>
          <w:color w:val="000000"/>
          <w:sz w:val="24"/>
          <w:szCs w:val="24"/>
          <w:vertAlign w:val="superscript"/>
        </w:rPr>
        <w:t>13</w:t>
      </w:r>
      <w:r w:rsidRPr="00D70D43">
        <w:rPr>
          <w:rFonts w:ascii="Times New Roman" w:eastAsia="Times New Roman" w:hAnsi="Times New Roman" w:cs="Times New Roman"/>
          <w:color w:val="000000"/>
          <w:sz w:val="24"/>
          <w:szCs w:val="24"/>
        </w:rPr>
        <w:t>C and δ</w:t>
      </w:r>
      <w:r w:rsidRPr="00D70D43">
        <w:rPr>
          <w:rFonts w:ascii="Times New Roman" w:eastAsia="Times New Roman" w:hAnsi="Times New Roman" w:cs="Times New Roman"/>
          <w:color w:val="000000"/>
          <w:sz w:val="24"/>
          <w:szCs w:val="24"/>
          <w:vertAlign w:val="superscript"/>
        </w:rPr>
        <w:t>15</w:t>
      </w:r>
      <w:r w:rsidRPr="00D70D43">
        <w:rPr>
          <w:rFonts w:ascii="Times New Roman" w:eastAsia="Times New Roman" w:hAnsi="Times New Roman" w:cs="Times New Roman"/>
          <w:color w:val="000000"/>
          <w:sz w:val="24"/>
          <w:szCs w:val="24"/>
        </w:rPr>
        <w:t xml:space="preserve">N were determined by the repeated analysis of internal and international standards. </w:t>
      </w:r>
    </w:p>
    <w:p w14:paraId="7E16A694" w14:textId="22DEECDF" w:rsidR="00671C76" w:rsidRPr="0064579A" w:rsidRDefault="00B1676B">
      <w:pPr>
        <w:pBdr>
          <w:top w:val="nil"/>
          <w:left w:val="nil"/>
          <w:bottom w:val="nil"/>
          <w:right w:val="nil"/>
          <w:between w:val="nil"/>
        </w:pBdr>
        <w:spacing w:after="240" w:line="360" w:lineRule="auto"/>
        <w:jc w:val="both"/>
        <w:rPr>
          <w:rFonts w:ascii="Times New Roman" w:eastAsia="Times New Roman" w:hAnsi="Times New Roman" w:cs="Times New Roman"/>
          <w:b/>
          <w:color w:val="000000"/>
          <w:szCs w:val="24"/>
        </w:rPr>
      </w:pPr>
      <w:bookmarkStart w:id="22" w:name="_Hlk137039975"/>
      <w:r>
        <w:rPr>
          <w:rFonts w:ascii="Times New Roman" w:eastAsia="Times New Roman" w:hAnsi="Times New Roman" w:cs="Times New Roman"/>
          <w:b/>
          <w:color w:val="000000"/>
          <w:szCs w:val="24"/>
        </w:rPr>
        <w:t xml:space="preserve">      </w:t>
      </w:r>
      <w:r w:rsidR="00671C76" w:rsidRPr="0064579A">
        <w:rPr>
          <w:rFonts w:ascii="Times New Roman" w:eastAsia="Times New Roman" w:hAnsi="Times New Roman" w:cs="Times New Roman"/>
          <w:b/>
          <w:color w:val="000000"/>
          <w:szCs w:val="24"/>
        </w:rPr>
        <w:t>3.3.3 Sulphur isotope analyses</w:t>
      </w:r>
    </w:p>
    <w:bookmarkEnd w:id="22"/>
    <w:p w14:paraId="54D44676" w14:textId="681BDBF9" w:rsidR="004D0B64" w:rsidRDefault="0003068C">
      <w:pPr>
        <w:pBdr>
          <w:top w:val="nil"/>
          <w:left w:val="nil"/>
          <w:bottom w:val="nil"/>
          <w:right w:val="nil"/>
          <w:between w:val="nil"/>
        </w:pBdr>
        <w:spacing w:after="240" w:line="360" w:lineRule="auto"/>
        <w:jc w:val="both"/>
        <w:rPr>
          <w:rFonts w:ascii="Times New Roman" w:hAnsi="Times New Roman" w:cs="Times New Roman"/>
          <w:sz w:val="24"/>
          <w:szCs w:val="24"/>
        </w:rPr>
      </w:pPr>
      <w:r w:rsidRPr="00D70D43">
        <w:rPr>
          <w:rFonts w:ascii="Times New Roman" w:eastAsia="Times New Roman" w:hAnsi="Times New Roman" w:cs="Times New Roman"/>
          <w:sz w:val="24"/>
          <w:szCs w:val="24"/>
        </w:rPr>
        <w:t xml:space="preserve">The </w:t>
      </w:r>
      <w:proofErr w:type="spellStart"/>
      <w:r w:rsidRPr="00D70D43">
        <w:rPr>
          <w:rFonts w:ascii="Times New Roman" w:eastAsia="Times New Roman" w:hAnsi="Times New Roman" w:cs="Times New Roman"/>
          <w:sz w:val="24"/>
          <w:szCs w:val="24"/>
        </w:rPr>
        <w:t>sulphur</w:t>
      </w:r>
      <w:proofErr w:type="spellEnd"/>
      <w:r w:rsidRPr="00D70D43">
        <w:rPr>
          <w:rFonts w:ascii="Times New Roman" w:eastAsia="Times New Roman" w:hAnsi="Times New Roman" w:cs="Times New Roman"/>
          <w:sz w:val="24"/>
          <w:szCs w:val="24"/>
        </w:rPr>
        <w:t xml:space="preserve"> </w:t>
      </w:r>
      <w:r w:rsidRPr="00D70D43">
        <w:rPr>
          <w:rFonts w:ascii="Times New Roman" w:eastAsia="Times New Roman" w:hAnsi="Times New Roman" w:cs="Times New Roman"/>
          <w:color w:val="000000"/>
          <w:sz w:val="24"/>
          <w:szCs w:val="24"/>
        </w:rPr>
        <w:t xml:space="preserve">isotopic analyses were conducted by the </w:t>
      </w:r>
      <w:proofErr w:type="spellStart"/>
      <w:r w:rsidRPr="00D70D43">
        <w:rPr>
          <w:rFonts w:ascii="Times New Roman" w:eastAsia="Times New Roman" w:hAnsi="Times New Roman" w:cs="Times New Roman"/>
          <w:color w:val="000000"/>
          <w:sz w:val="24"/>
          <w:szCs w:val="24"/>
        </w:rPr>
        <w:t>Isoanalytical</w:t>
      </w:r>
      <w:proofErr w:type="spellEnd"/>
      <w:r w:rsidRPr="00D70D43">
        <w:rPr>
          <w:rFonts w:ascii="Times New Roman" w:eastAsia="Times New Roman" w:hAnsi="Times New Roman" w:cs="Times New Roman"/>
          <w:color w:val="000000"/>
          <w:sz w:val="24"/>
          <w:szCs w:val="24"/>
        </w:rPr>
        <w:t xml:space="preserve"> Ltd. company (Crewe, UK). </w:t>
      </w:r>
      <w:r w:rsidRPr="00D70D43">
        <w:rPr>
          <w:rFonts w:ascii="Times New Roman" w:hAnsi="Times New Roman" w:cs="Times New Roman"/>
          <w:sz w:val="24"/>
          <w:szCs w:val="24"/>
        </w:rPr>
        <w:t>Eight mg of collagen were loaded into tin capsules in addition to the NBS-1577B (bovine liver powder) standard used as a control.</w:t>
      </w:r>
      <w:r w:rsidR="008B4920">
        <w:rPr>
          <w:rFonts w:ascii="Times New Roman" w:hAnsi="Times New Roman" w:cs="Times New Roman"/>
          <w:sz w:val="24"/>
          <w:szCs w:val="24"/>
        </w:rPr>
        <w:t xml:space="preserve"> </w:t>
      </w:r>
      <w:r w:rsidRPr="00D70D43">
        <w:rPr>
          <w:rFonts w:ascii="Times New Roman" w:hAnsi="Times New Roman" w:cs="Times New Roman"/>
          <w:sz w:val="24"/>
          <w:szCs w:val="24"/>
        </w:rPr>
        <w:t>The samples and the standards were measured using an EA-IRMS (ANCA-GSL/20-20, Europa Scientific, Crewe, UK) and the isotope ratios are reported to the international reference standard VCDT (Vienna-Canyon Diablo Troilite).</w:t>
      </w:r>
    </w:p>
    <w:p w14:paraId="7241FEAC" w14:textId="3A18D417" w:rsidR="0086327E" w:rsidRPr="0064579A" w:rsidRDefault="00B1676B">
      <w:pPr>
        <w:pBdr>
          <w:top w:val="nil"/>
          <w:left w:val="nil"/>
          <w:bottom w:val="nil"/>
          <w:right w:val="nil"/>
          <w:between w:val="nil"/>
        </w:pBdr>
        <w:spacing w:after="240" w:line="360" w:lineRule="auto"/>
        <w:jc w:val="both"/>
        <w:rPr>
          <w:rFonts w:ascii="Times New Roman" w:hAnsi="Times New Roman" w:cs="Times New Roman"/>
          <w:b/>
          <w:szCs w:val="24"/>
        </w:rPr>
      </w:pPr>
      <w:bookmarkStart w:id="23" w:name="_Hlk137039980"/>
      <w:r>
        <w:rPr>
          <w:rFonts w:ascii="Times New Roman" w:hAnsi="Times New Roman" w:cs="Times New Roman"/>
          <w:b/>
          <w:szCs w:val="24"/>
        </w:rPr>
        <w:t xml:space="preserve">     </w:t>
      </w:r>
      <w:r w:rsidR="0086327E" w:rsidRPr="0064579A">
        <w:rPr>
          <w:rFonts w:ascii="Times New Roman" w:hAnsi="Times New Roman" w:cs="Times New Roman"/>
          <w:b/>
          <w:szCs w:val="24"/>
        </w:rPr>
        <w:t>3.3.</w:t>
      </w:r>
      <w:r w:rsidR="00671C76" w:rsidRPr="0064579A">
        <w:rPr>
          <w:rFonts w:ascii="Times New Roman" w:hAnsi="Times New Roman" w:cs="Times New Roman"/>
          <w:b/>
          <w:szCs w:val="24"/>
        </w:rPr>
        <w:t>4.</w:t>
      </w:r>
      <w:r w:rsidR="0086327E" w:rsidRPr="0064579A">
        <w:rPr>
          <w:rFonts w:ascii="Times New Roman" w:hAnsi="Times New Roman" w:cs="Times New Roman"/>
          <w:b/>
          <w:szCs w:val="24"/>
        </w:rPr>
        <w:t xml:space="preserve"> Compound specific isotopic analyses</w:t>
      </w:r>
      <w:r w:rsidR="00671C76" w:rsidRPr="0064579A">
        <w:rPr>
          <w:rFonts w:ascii="Times New Roman" w:hAnsi="Times New Roman" w:cs="Times New Roman"/>
          <w:b/>
          <w:szCs w:val="24"/>
        </w:rPr>
        <w:t xml:space="preserve"> of amino acid</w:t>
      </w:r>
    </w:p>
    <w:bookmarkEnd w:id="23"/>
    <w:p w14:paraId="0A7E0045" w14:textId="1473BAB8" w:rsidR="00FF60CD" w:rsidRDefault="0086327E" w:rsidP="0064579A">
      <w:pPr>
        <w:pBdr>
          <w:top w:val="nil"/>
          <w:left w:val="nil"/>
          <w:bottom w:val="nil"/>
          <w:right w:val="nil"/>
          <w:between w:val="nil"/>
        </w:pBdr>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The CSIA-AA isotope </w:t>
      </w:r>
      <w:r w:rsidR="00FF60CD">
        <w:rPr>
          <w:rFonts w:ascii="Times New Roman" w:hAnsi="Times New Roman" w:cs="Times New Roman"/>
          <w:sz w:val="24"/>
          <w:szCs w:val="24"/>
        </w:rPr>
        <w:t>analyses were conducted in the commercial Stable Isotope Facility of the University of Davis</w:t>
      </w:r>
      <w:r w:rsidR="00F017C3">
        <w:rPr>
          <w:rFonts w:ascii="Times New Roman" w:hAnsi="Times New Roman" w:cs="Times New Roman"/>
          <w:sz w:val="24"/>
          <w:szCs w:val="24"/>
        </w:rPr>
        <w:t>, California</w:t>
      </w:r>
      <w:r w:rsidR="00FF60CD">
        <w:rPr>
          <w:rFonts w:ascii="Times New Roman" w:hAnsi="Times New Roman" w:cs="Times New Roman"/>
          <w:sz w:val="24"/>
          <w:szCs w:val="24"/>
        </w:rPr>
        <w:t>. The samples were analyzed following the protocol developed by (</w:t>
      </w:r>
      <w:proofErr w:type="spellStart"/>
      <w:r w:rsidR="00FF60CD">
        <w:rPr>
          <w:rFonts w:ascii="Times New Roman" w:hAnsi="Times New Roman" w:cs="Times New Roman"/>
          <w:sz w:val="24"/>
          <w:szCs w:val="24"/>
        </w:rPr>
        <w:t>Yarnes</w:t>
      </w:r>
      <w:proofErr w:type="spellEnd"/>
      <w:r w:rsidR="00FF60CD">
        <w:rPr>
          <w:rFonts w:ascii="Times New Roman" w:hAnsi="Times New Roman" w:cs="Times New Roman"/>
          <w:sz w:val="24"/>
          <w:szCs w:val="24"/>
        </w:rPr>
        <w:t xml:space="preserve"> &amp; </w:t>
      </w:r>
      <w:proofErr w:type="spellStart"/>
      <w:r w:rsidR="00FF60CD">
        <w:rPr>
          <w:rFonts w:ascii="Times New Roman" w:hAnsi="Times New Roman" w:cs="Times New Roman"/>
          <w:sz w:val="24"/>
          <w:szCs w:val="24"/>
        </w:rPr>
        <w:t>Herszage</w:t>
      </w:r>
      <w:proofErr w:type="spellEnd"/>
      <w:r w:rsidR="00FF60CD">
        <w:rPr>
          <w:rFonts w:ascii="Times New Roman" w:hAnsi="Times New Roman" w:cs="Times New Roman"/>
          <w:sz w:val="24"/>
          <w:szCs w:val="24"/>
        </w:rPr>
        <w:t>, 2017)</w:t>
      </w:r>
      <w:r w:rsidR="00591706">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{"citationID":"a145n8thqda","properties":{"formattedCitation":"\\super 63\\nosupersub{}","plainCitation":"63","noteIndex":0},"citationItems":[{"id":926,"uris":["http://zotero.org/users/7125028/items/WNDSZS9A"],"itemData":{"id":926,"type":"article-journal","abstract":"Rationale Within the last decade, applications of compound-specific stable isotope analysis of nitrogen (δ15N values) in amino acids (CSIA-AA) have developed rapidly, particularly within organismal ecology. Unlike with bulk stable isotope analysis (BSIA), the reproducibility of δ15N-AA measurements has not been critically assessed. Two primary concerns include the diversity of techniques available for the derivatization of amino acids prior to analysis by gas chromatography/combustion/isotope ratio mass spectrometry (GC/C/IRMS) and the myriad of standardization practices and quality assurance procedures used across studies. Methods We examined the relative effect of three normalization procedures, (1) internal reference calibration, (2) compound-specific calibration, and (3) scale-normalization, on the accuracy and precision of δ15N-AA measurements by GC/C/IRMS and the comparability of δ15N-AA measurements by two derivatization techniques, methoxycarbonylation-esterification and acetylation-esterification, across a range of organisms. Results The overall accuracy and precision of δ15N-AA measurements were improved following both compound-specific calibration and scale-normalization, as was the comparability of δ15N-AA measurements of individual amino acids between derivatization techniques across organisms. The mean difference of scale-normalized δ15N-AA values across all organisms between the two derivatization techniques was 0.19‰, much less than the typical analytical error associated with δ15N-AA measurements (±1‰). Conclusions Adoption of standardized calibration procedures will be important to establishing reproducibility in δ15N-AA measurements, particularly across derivatization techniques. It is both technically practical and desirable for users of CSIA-AA to adopt practices in quality control and assessment similar to those outlined for BSIA, including the compound-specific calibration of δ15N-AA values, followed by scale-normalization. Copyright © 2017 John Wiley &amp; Sons, Ltd.","container-title":"Rapid Communications in Mass Spectrometry","DOI":"10.1002/rcm.7832","ISSN":"1097-0231","issue":"8","language":"en","license":"Copyright © 2017 John Wiley &amp; Sons, Ltd.","note":"_eprint: https://onlinelibrary.wiley.com/doi/pdf/10.1002/rcm.7832","page":"693-704","source":"Wiley Online Library","title":"The relative influence of derivatization and normalization procedures on the compound-specific stable isotope analysis of nitrogen in amino acids","volume":"31","author":[{"family":"Yarnes","given":"Christopher T."},{"family":"Herszage","given":"Julian"}],"issued":{"date-parts":[["2017"]]}}}],"schema":"https://github.com/citation-style-language/schema/raw/master/csl-citation.json"} </w:instrText>
      </w:r>
      <w:r w:rsidR="00591706">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63</w:t>
      </w:r>
      <w:r w:rsidR="00591706">
        <w:rPr>
          <w:rFonts w:ascii="Times New Roman" w:hAnsi="Times New Roman" w:cs="Times New Roman"/>
          <w:sz w:val="24"/>
          <w:szCs w:val="24"/>
        </w:rPr>
        <w:fldChar w:fldCharType="end"/>
      </w:r>
      <w:r w:rsidR="00FF60CD">
        <w:rPr>
          <w:rFonts w:ascii="Times New Roman" w:hAnsi="Times New Roman" w:cs="Times New Roman"/>
          <w:sz w:val="24"/>
          <w:szCs w:val="24"/>
        </w:rPr>
        <w:t>. The detailed procedure is described in: (</w:t>
      </w:r>
      <w:r w:rsidR="00FF60CD" w:rsidRPr="00FF60CD">
        <w:rPr>
          <w:rFonts w:ascii="Times New Roman" w:hAnsi="Times New Roman" w:cs="Times New Roman"/>
          <w:sz w:val="24"/>
          <w:szCs w:val="24"/>
        </w:rPr>
        <w:t>https://stableisotopefacility.ucdavis.edu/compound-specific-13c-15n-analysis-amino-acids-gc-c-irms</w:t>
      </w:r>
      <w:r w:rsidR="00FF60CD">
        <w:rPr>
          <w:rFonts w:ascii="Times New Roman" w:hAnsi="Times New Roman" w:cs="Times New Roman"/>
          <w:sz w:val="24"/>
          <w:szCs w:val="24"/>
        </w:rPr>
        <w:t>)</w:t>
      </w:r>
    </w:p>
    <w:p w14:paraId="793AC413" w14:textId="7A64DCF8" w:rsidR="0086327E" w:rsidRDefault="0086327E">
      <w:pPr>
        <w:pBdr>
          <w:top w:val="nil"/>
          <w:left w:val="nil"/>
          <w:bottom w:val="nil"/>
          <w:right w:val="nil"/>
          <w:between w:val="nil"/>
        </w:pBdr>
        <w:spacing w:after="240" w:line="360" w:lineRule="auto"/>
        <w:jc w:val="both"/>
        <w:rPr>
          <w:rFonts w:ascii="Times New Roman" w:hAnsi="Times New Roman" w:cs="Times New Roman"/>
          <w:sz w:val="24"/>
          <w:szCs w:val="24"/>
        </w:rPr>
      </w:pPr>
    </w:p>
    <w:p w14:paraId="0FB96B64" w14:textId="77777777" w:rsidR="00EE5D6E" w:rsidRDefault="00EE5D6E" w:rsidP="003C7995">
      <w:pPr>
        <w:spacing w:after="240" w:line="360" w:lineRule="auto"/>
        <w:rPr>
          <w:rFonts w:ascii="Times New Roman" w:eastAsia="Times New Roman" w:hAnsi="Times New Roman" w:cs="Times New Roman"/>
          <w:szCs w:val="24"/>
        </w:rPr>
      </w:pPr>
    </w:p>
    <w:p w14:paraId="5A3221FA" w14:textId="504E530E" w:rsidR="00AA1FD2" w:rsidRPr="00D70D43" w:rsidRDefault="00AA1FD2" w:rsidP="003C7995">
      <w:pPr>
        <w:pBdr>
          <w:top w:val="nil"/>
          <w:left w:val="nil"/>
          <w:bottom w:val="nil"/>
          <w:right w:val="nil"/>
          <w:between w:val="nil"/>
        </w:pBdr>
        <w:spacing w:after="240" w:line="360" w:lineRule="auto"/>
        <w:jc w:val="both"/>
        <w:rPr>
          <w:rFonts w:ascii="Times New Roman" w:hAnsi="Times New Roman" w:cs="Times New Roman"/>
          <w:b/>
          <w:sz w:val="24"/>
          <w:szCs w:val="24"/>
          <w:highlight w:val="white"/>
        </w:rPr>
      </w:pPr>
      <w:bookmarkStart w:id="24" w:name="_Hlk121127750"/>
    </w:p>
    <w:p w14:paraId="7022567F" w14:textId="77777777" w:rsidR="00AA1FD2" w:rsidRPr="00D70D43" w:rsidRDefault="00AA1FD2">
      <w:pPr>
        <w:spacing w:after="0" w:line="360" w:lineRule="auto"/>
        <w:rPr>
          <w:rFonts w:ascii="Times New Roman" w:hAnsi="Times New Roman" w:cs="Times New Roman"/>
          <w:b/>
          <w:sz w:val="24"/>
          <w:szCs w:val="24"/>
          <w:highlight w:val="white"/>
        </w:rPr>
      </w:pPr>
    </w:p>
    <w:p w14:paraId="31A38FD4" w14:textId="77777777" w:rsidR="0009771F" w:rsidRDefault="0009771F">
      <w:pPr>
        <w:rPr>
          <w:rFonts w:ascii="Times New Roman" w:hAnsi="Times New Roman" w:cs="Times New Roman"/>
          <w:b/>
          <w:sz w:val="24"/>
          <w:szCs w:val="24"/>
          <w:highlight w:val="white"/>
        </w:rPr>
      </w:pPr>
      <w:r>
        <w:rPr>
          <w:rFonts w:ascii="Times New Roman" w:hAnsi="Times New Roman" w:cs="Times New Roman"/>
          <w:b/>
          <w:sz w:val="24"/>
          <w:szCs w:val="24"/>
          <w:highlight w:val="white"/>
        </w:rPr>
        <w:br w:type="page"/>
      </w:r>
    </w:p>
    <w:p w14:paraId="00000286" w14:textId="36994973" w:rsidR="00784AF4" w:rsidRPr="00D70D43" w:rsidRDefault="0003068C">
      <w:pPr>
        <w:spacing w:after="0" w:line="360" w:lineRule="auto"/>
        <w:rPr>
          <w:rFonts w:ascii="Times New Roman" w:hAnsi="Times New Roman" w:cs="Times New Roman"/>
          <w:b/>
          <w:sz w:val="24"/>
          <w:szCs w:val="24"/>
          <w:highlight w:val="white"/>
        </w:rPr>
      </w:pPr>
      <w:bookmarkStart w:id="25" w:name="_Hlk137040000"/>
      <w:r w:rsidRPr="00D70D43">
        <w:rPr>
          <w:rFonts w:ascii="Times New Roman" w:hAnsi="Times New Roman" w:cs="Times New Roman"/>
          <w:b/>
          <w:sz w:val="24"/>
          <w:szCs w:val="24"/>
          <w:highlight w:val="white"/>
        </w:rPr>
        <w:lastRenderedPageBreak/>
        <w:t>Supplementary Information 4. Results</w:t>
      </w:r>
    </w:p>
    <w:p w14:paraId="42FCF18B" w14:textId="7CCB2B13" w:rsidR="00222A28" w:rsidRPr="00D70D43" w:rsidRDefault="00222A28">
      <w:pPr>
        <w:spacing w:after="0" w:line="360" w:lineRule="auto"/>
        <w:rPr>
          <w:rFonts w:ascii="Times New Roman" w:hAnsi="Times New Roman" w:cs="Times New Roman"/>
          <w:b/>
          <w:sz w:val="24"/>
          <w:szCs w:val="24"/>
          <w:highlight w:val="white"/>
        </w:rPr>
      </w:pPr>
    </w:p>
    <w:p w14:paraId="33FB999F" w14:textId="443EB576" w:rsidR="001A7BFF" w:rsidRPr="0064579A" w:rsidRDefault="004D0B64" w:rsidP="001A7BFF">
      <w:pPr>
        <w:rPr>
          <w:rFonts w:ascii="Times New Roman" w:hAnsi="Times New Roman" w:cs="Times New Roman"/>
          <w:b/>
          <w:i/>
          <w:sz w:val="24"/>
          <w:szCs w:val="24"/>
        </w:rPr>
      </w:pPr>
      <w:r w:rsidRPr="0064579A">
        <w:rPr>
          <w:rFonts w:ascii="Times New Roman" w:hAnsi="Times New Roman" w:cs="Times New Roman"/>
          <w:b/>
          <w:i/>
          <w:sz w:val="24"/>
          <w:szCs w:val="24"/>
        </w:rPr>
        <w:t>4.1 Data quality assessment</w:t>
      </w:r>
    </w:p>
    <w:bookmarkEnd w:id="25"/>
    <w:p w14:paraId="34C43D32" w14:textId="676C6C05" w:rsidR="004D0B64" w:rsidRDefault="004D0B64" w:rsidP="001A7BFF">
      <w:pPr>
        <w:rPr>
          <w:rFonts w:ascii="Times New Roman" w:hAnsi="Times New Roman" w:cs="Times New Roman"/>
          <w:sz w:val="24"/>
          <w:szCs w:val="24"/>
        </w:rPr>
      </w:pPr>
    </w:p>
    <w:p w14:paraId="4CFEC246" w14:textId="4B48BF8D" w:rsidR="004D0B64" w:rsidRDefault="004D0B64" w:rsidP="004D0B64">
      <w:pPr>
        <w:spacing w:before="240" w:after="240" w:line="360" w:lineRule="auto"/>
        <w:ind w:firstLine="720"/>
        <w:jc w:val="both"/>
        <w:rPr>
          <w:rFonts w:ascii="Times New Roman" w:hAnsi="Times New Roman" w:cs="Times New Roman"/>
          <w:sz w:val="24"/>
          <w:szCs w:val="24"/>
        </w:rPr>
      </w:pPr>
      <w:r>
        <w:rPr>
          <w:rFonts w:ascii="Times New Roman" w:hAnsi="Times New Roman" w:cs="Times New Roman"/>
          <w:sz w:val="24"/>
          <w:szCs w:val="24"/>
        </w:rPr>
        <w:t>Several reference materials (SRM 1400 and SRM 1486) were prepared and analyzed along with the samples and gave values in the range of the previous ones reported in the literature (Table S4.1).</w:t>
      </w:r>
    </w:p>
    <w:p w14:paraId="40E97058" w14:textId="77777777" w:rsidR="004F79D0" w:rsidRDefault="004F79D0" w:rsidP="004D0B64">
      <w:pPr>
        <w:spacing w:before="240" w:after="240" w:line="360" w:lineRule="auto"/>
        <w:ind w:firstLine="720"/>
        <w:jc w:val="both"/>
        <w:rPr>
          <w:rFonts w:ascii="Times New Roman" w:hAnsi="Times New Roman" w:cs="Times New Roman"/>
          <w:sz w:val="24"/>
          <w:szCs w:val="24"/>
        </w:rPr>
      </w:pPr>
    </w:p>
    <w:p w14:paraId="0797B9B7" w14:textId="3152E4C8" w:rsidR="004F79D0" w:rsidRPr="004F79D0" w:rsidRDefault="004F79D0" w:rsidP="004F79D0">
      <w:pPr>
        <w:spacing w:before="240" w:after="240" w:line="360" w:lineRule="auto"/>
        <w:jc w:val="both"/>
        <w:rPr>
          <w:rFonts w:ascii="Times New Roman" w:eastAsia="Times New Roman" w:hAnsi="Times New Roman" w:cs="Times New Roman"/>
          <w:sz w:val="24"/>
          <w:szCs w:val="24"/>
        </w:rPr>
      </w:pPr>
      <w:bookmarkStart w:id="26" w:name="_Hlk137040016"/>
      <w:r w:rsidRPr="00022984">
        <w:rPr>
          <w:rFonts w:ascii="Times New Roman" w:eastAsia="Times New Roman" w:hAnsi="Times New Roman" w:cs="Times New Roman"/>
          <w:b/>
          <w:sz w:val="24"/>
          <w:szCs w:val="24"/>
        </w:rPr>
        <w:t>Table S4.1</w:t>
      </w:r>
      <w:r>
        <w:rPr>
          <w:rFonts w:ascii="Times New Roman" w:eastAsia="Times New Roman" w:hAnsi="Times New Roman" w:cs="Times New Roman"/>
          <w:b/>
          <w:sz w:val="24"/>
          <w:szCs w:val="24"/>
        </w:rPr>
        <w:t>:</w:t>
      </w:r>
      <w:r w:rsidRPr="0064579A">
        <w:rPr>
          <w:rFonts w:ascii="Times New Roman" w:eastAsia="Times New Roman" w:hAnsi="Times New Roman" w:cs="Times New Roman"/>
          <w:sz w:val="24"/>
          <w:szCs w:val="24"/>
        </w:rPr>
        <w:t xml:space="preserve"> Zinc and Sr isotope ratios of reference materials from this study and literature data</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{"citationID":"MjjwGbqw","properties":{"formattedCitation":"\\super 22,23,25\\uc0\\u8211{}27,64,65\\nosupersub{}","plainCitation":"22,23,25–27,64,65","noteIndex":0},"citationItems":[{"id":604,"uris":["http://zotero.org/users/7125028/items/NQZASCL3"],"itemData":{"id":604,"type":"article-journal","abstract":"Tam Pà Ling, a cave site in northeastern Laos, has yielded the earliest skeletal evidence of Homo sapiens in mainland Southeast Asia. The reliance of Pleistocene humans in rainforest settings on plant or animal resources is still largely unstudied, mainly due to poor collagen preservation in fossils from tropical environments precluding stable nitrogen isotope analysis, the classical trophic level proxy. However, isotopic ratios of zinc (Zn) in bioapatite constitute a promising proxy to infer trophic and dietary information from fossil vertebrates, even under adverse tropical taphonomic conditions. Here, we analyzed the zinc isotope composition (66Zn/64Zn expressed as δ66Zn value) in the enamel of two teeth of the Late Pleistocene (63–46 ka) H. sapiens individual (TPL1) from Tam Pà Ling, as well as 76 mammal teeth from the same site and the nearby Nam Lot cave. The human individual exhibits relatively low enamel δ66Zn values (+0.24‰) consistent with an omnivorous diet, suggesting a dietary reliance on both plant and animal matter. These findings offer direct evidence of the broad utilization of resources from tropical rainforests by one of the earliest known anatomically modern humans in Southeast Asia.","container-title":"Journal of Human Evolution","DOI":"10.1016/j.jhevol.2021.103075","ISSN":"0047-2484","journalAbbreviation":"Journal of Human Evolution","language":"en","page":"103075","source":"ScienceDirect","title":"Trophic ecology of a Late Pleistocene early modern human from tropical Southeast Asia inferred from zinc isotopes","volume":"161","author":[{"family":"Bourgon","given":"Nicolas"},{"family":"Jaouen","given":"Klervia"},{"family":"Bacon","given":"Anne-Marie"},{"family":"Dufour","given":"Elise"},{"family":"McCormack","given":"Jeremy"},{"family":"Tran","given":"N. -Han"},{"family":"Trost","given":"Manuel"},{"family":"Fiorillo","given":"Denis"},{"family":"Dunn","given":"Tyler E."},{"family":"Zanolli","given":"Clément"},{"family":"Zachwieja","given":"Alexandra"},{"family":"Duringer","given":"Philippe"},{"family":"Ponche","given":"Jean-Luc"},{"family":"Boesch","given":"Quentin"},{"family":"Antoine","given":"Pierre-Olivier"},{"family":"Westaway","given":"Kira E."},{"family":"Joannes-Boyau","given":"Renaud"},{"family":"Suzzoni","given":"Eric"},{"family":"Frangeul","given":"Sébastien"},{"family":"Crozier","given":"Françoise"},{"family":"Aubaile","given":"Françoise"},{"family":"Patole-Edoumba","given":"Elise"},{"family":"Luangkhoth","given":"Thonglith"},{"family":"Souksavatdy","given":"Viengkeo"},{"family":"Boualaphane","given":"Souliphane"},{"family":"Sayavonkhamdy","given":"Thongsa"},{"family":"Sichanthongtip","given":"Phonephanh"},{"family":"Sihanam","given":"Daovee"},{"family":"Demeter","given":"Fabrice"},{"family":"Shackelford","given":"Laura L."},{"family":"Hublin","given":"Jean-Jacques"},{"family":"Tütken","given":"Thomas"}],"issued":{"date-parts":[["2021",12,1]]}}},{"id":189,"uris":["http://zotero.org/users/7125028/items/2SID4BZP"],"itemData":{"id":189,"type":"article-journal","container-title":"Proceedings of the National Academy of Sciences","issue":"9","journalAbbreviation":"PNAS","page":"4675-4681","title":"Zinc isotopes in Late Pleistocene fossil teeth from a Southeast Asian cave setting preserve paleodietary information","volume":"117","author":[{"family":"Bourgon","given":"Nicolas"},{"family":"Jaouen","given":"Klervia"},{"family":"Bacon","given":"Anne-Marie"},{"family":"Jochum","given":"Klaus Peter"},{"family":"Dufour","given":"Elise"},{"family":"Duringer","given":"Philippe"},{"family":"Ponche","given":"Jean-Luc"},{"family":"Joannes-Boyau","given":"Renaud"},{"family":"Boesch","given":"Quentin"},{"family":"Antoine","given":"Pierre-Olivier"},{"family":"Hullot","given":"Manon"},{"family":"Weis","given":"Ulrike"},{"family":"Schulz-Kornas","given":"Ellen"},{"family":"Trost","given":"Manuel"},{"family":"Fiorillo","given":"Denis"},{"family":"Demeter","given":"Fabrice"},{"family":"Patole-Edoumba","given":"Elise"},{"family":"Shackelford","given":"Laura L."},{"family":"Dunn","given":"Tyler E."},{"family":"Zachwieja","given":"Alexandra"},{"family":"Duangthongchit","given":"Somoh"},{"family":"Sayavonkhamdy","given":"Thongsa"},{"family":"Sichanthongtip","given":"Phonephanh"},{"family":"Sihanam","given":"Daovee"},{"family":"Souksavatdy","given":"Viengkeo"},{"family":"Hublin","given":"Jean-Jacques"},{"family":"Tütken","given":"Thomas"}],"issued":{"date-parts":[["2020",3,3]]}}},{"id":1,"uris":["http://zotero.org/users/7125028/items/PSYJGYVH"],"itemData":{"id":1,"type":"article-journal","container-title":"Proceedings of the National Academy of Sciences","DOI":"10.1073/pnas.2109315119","issue":"43","note":"publisher: Proceedings of the National Academy of Sciences","page":"e2109315119","source":"pnas.org (Atypon)","title":"A Neandertal dietary conundrum: Insights provided by tooth enamel Zn isotopes from Gabasa, Spain","title-short":"A Neandertal dietary conundrum","volume":"119","author":[{"family":"Jaouen","given":"Klervia"},{"family":"Villalba-Mouco","given":"Vanessa"},{"family":"Smith","given":"Geoff M."},{"family":"Trost","given":"Manuel"},{"family":"Leichliter","given":"Jennifer"},{"family":"Lüdecke","given":"Tina"},{"family":"Méjean","given":"Pauline"},{"family":"Mandrou","given":"Stéphanie"},{"family":"Chmeleff","given":"Jérôme"},{"family":"Guiserix","given":"Danaé"},{"family":"Bourgon","given":"Nicolas"},{"family":"Blasco","given":"Fernanda"},{"family":"Mendes Cardoso","given":"Jéssica"},{"family":"Duquenoy","given":"Camille"},{"family":"Moubtahij","given":"Zineb"},{"family":"Salazar Garcia","given":"Domingo C."},{"family":"Richards","given":"Michael"},{"family":"Tütken","given":"Thomas"},{"family":"Hublin","given":"Jean-Jacques"},{"family":"Utrilla","given":"Pilar"},{"family":"Montes","given":"Lourdes"}],"issued":{"date-parts":[["2022",10,25]]}}},{"id":187,"uris":["http://zotero.org/users/7125028/items/5MKWU4L4"],"itemData":{"id":187,"type":"article-journal","abstract":"Zinc (Zn) isotope ratios of dental enamel are a promising tracer for dietary reconstruction in archeology, but its use is still in its infancy. A recent study demonstrated a high risk of Zn contamination from nitrile, and latex gloves used during chemical sample preparation. Here we assess the potential impact of the use of such gloves during enamel sampling on the Zn isotope composition of teeth from a population of early Holocene hunter gatherers from Lapa do Santo, Lagoa Santa, Minas Gerais, Brazil. We first examined the amount of Zn and its isotopic composition released from the gloves used in this study by soaking them in weak nitric acid and water. We compared Zn isotope ratios obtained from teeth that were sampled wearing nitrile, latex or no gloves. Finally, we performed a linear mixed model (LMM) to investigate post hoc the relationship between the gloves used for sampling and the Zn isotope variability in dental enamel. We found that the gloves used in this study released a similar amount of Zn compared to previous work, but only in acidic solution. Zn isotope ratios of teeth and the LMM identified no sign of significant Zn coming from the gloves when teeth were handled for enamel sampling. We hypothesize that Zn in gloves is mostly released by contact with acids. We found that the main source of Zn isotope variability in the Lapa do Santo population was related to the developmental stage of the tooth tissues sampled. We report identical results for two individuals coming from a different archeological context. Tooth enamel formed in utero and/or during the two first years of life showed higher Zn isotope ratios than enamel formed after weaning. More work is required to systematically investigate if Zn isotopes can be used as a breastfeeding tracer.","container-title":"PLOS ONE","DOI":"10.1371/journal.pone.0232379","ISSN":"1932-6203","issue":"5","journalAbbreviation":"PLOS ONE","language":"en","note":"publisher: Public Library of Science","page":"e0232379","source":"PLoS Journals","title":"Zinc isotope variations in archeological human teeth (Lapa do Santo, Brazil) reveal dietary transitions in childhood and no contamination from gloves","volume":"15","author":[{"family":"Jaouen","given":"Klervia"},{"family":"Trost","given":"Manuel"},{"family":"Bourgon","given":"Nicolas"},{"family":"Colleter","given":"Rozenn"},{"family":"Cabec","given":"Adeline Le"},{"family":"Tütken","given":"Thomas"},{"family":"Oliveira","given":"Rodrigo Elias"},{"family":"Pons","given":"Marie Laure"},{"family":"Méjean","given":"Pauline"},{"family":"Steinbrenner","given":"Sven"},{"family":"Chmeleff","given":"Jérôme"},{"family":"Strauss","given":"André"}],"issued":{"date-parts":[["2020",5,14]]}}},{"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sidR="000E7E53">
        <w:rPr>
          <w:rFonts w:ascii="Cambria Math" w:eastAsia="Times New Roman" w:hAnsi="Cambria Math" w:cs="Cambria Math"/>
          <w:sz w:val="24"/>
          <w:szCs w:val="24"/>
        </w:rPr>
        <w:instrText>∼</w:instrText>
      </w:r>
      <w:r w:rsidR="000E7E53">
        <w:rPr>
          <w:rFonts w:ascii="Times New Roman" w:eastAsia="Times New Roman" w:hAnsi="Times New Roman" w:cs="Times New Roman"/>
          <w:sz w:val="24"/>
          <w:szCs w:val="24"/>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P."}],"issued":{"date-parts":[["2016",5,18]]}}},{"id":18,"uris":["http://zotero.org/users/7125028/items/UKCH6SES"],"itemData":{"id":18,"type":"article-journal","abstract":"Collagen extraction from bones or dentine, commonly used for radiocarbon (14C) dating and stable carbon and nitrogen isotope (δ13C and δ15N) analyses, involves the dissolution of the bioapatite of skeletal elements. This fraction is typically disposed of during pretreatment. Here, we test the possibility of utilising this dissolved mineral solution for analysis of the bioapatite zinc isotope composition (δ66Zn). Bioapatite δ66Zn is a novel trophic level indicator similar to collagen δ15N but with isotopic fractionation independent from nitrogen, thus providing additional dietary information. We tested ways to minimise Zn contamination of the dissolved mineral phase during collagen extraction. We then used archaeological bone samples from Ain Difla (Jordan) and Ranis (Germany) to compare δ66Zn values of dissolved bioapatite following our collagen extraction protocol with δ66Zn values from the same sample material dissolved in a metal-free cleanroom. Our results demonstrate that with only minor adjustments to minimise Zn contamination, the dissolved mineral solution from collagen extraction protocols commonly employed for 14C dating and (palaeo)dietary analysis can be used for additional δ66Zn analyses even when collagen extraction does not take place in a cleanroom. Our protocol allows us to gain an additional dietary proxy to complement δ15N trophic level interpretations and perform more robust (palaeo)ecological investigations without further destructive sampling.","container-title":"Archaeological and Anthropological Sciences","DOI":"10.1007/s12520-022-01601-7","ISSN":"1866-9565","issue":"7","journalAbbreviation":"Archaeol Anthropol Sci","language":"en","page":"137","source":"Springer Link","title":"Combining collagen extraction with mineral Zn isotope analyses from a single sample for robust palaeoecological investigations","volume":"14","author":[{"family":"McCormack","given":"Jeremy"},{"family":"Bourgon","given":"Nicolas"},{"family":"Sinet-Mathiot","given":"Virginie"},{"family":"Rezek","given":"Zeljko"},{"family":"Smith","given":"Geoff M."},{"family":"Hublin","given":"Jean-Jacques"},{"family":"Dabain","given":"Mohammed"},{"family":"Fewlass","given":"Helen"}],"issued":{"date-parts":[["2022",6,25]]}}}],"schema":"https://github.com/citation-style-language/schema/raw/master/csl-citation.json"} </w:instrText>
      </w:r>
      <w:r>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22,23,25–27,64,65</w:t>
      </w:r>
      <w:r>
        <w:rPr>
          <w:rFonts w:ascii="Times New Roman" w:eastAsia="Times New Roman" w:hAnsi="Times New Roman" w:cs="Times New Roman"/>
          <w:sz w:val="24"/>
          <w:szCs w:val="24"/>
        </w:rPr>
        <w:fldChar w:fldCharType="end"/>
      </w:r>
      <w:r w:rsidRPr="0064579A">
        <w:rPr>
          <w:rFonts w:ascii="Times New Roman" w:eastAsia="Times New Roman" w:hAnsi="Times New Roman" w:cs="Times New Roman"/>
          <w:sz w:val="24"/>
          <w:szCs w:val="24"/>
        </w:rPr>
        <w:t xml:space="preserve">. </w:t>
      </w:r>
    </w:p>
    <w:tbl>
      <w:tblPr>
        <w:tblW w:w="10403" w:type="dxa"/>
        <w:tblCellMar>
          <w:left w:w="0" w:type="dxa"/>
          <w:right w:w="0" w:type="dxa"/>
        </w:tblCellMar>
        <w:tblLook w:val="04A0" w:firstRow="1" w:lastRow="0" w:firstColumn="1" w:lastColumn="0" w:noHBand="0" w:noVBand="1"/>
      </w:tblPr>
      <w:tblGrid>
        <w:gridCol w:w="1058"/>
        <w:gridCol w:w="1058"/>
        <w:gridCol w:w="1058"/>
        <w:gridCol w:w="1058"/>
        <w:gridCol w:w="873"/>
        <w:gridCol w:w="611"/>
        <w:gridCol w:w="4688"/>
      </w:tblGrid>
      <w:tr w:rsidR="00E61341" w14:paraId="658D3B54" w14:textId="77777777" w:rsidTr="0064579A">
        <w:trPr>
          <w:trHeight w:val="295"/>
        </w:trPr>
        <w:tc>
          <w:tcPr>
            <w:tcW w:w="1058" w:type="dxa"/>
            <w:tcBorders>
              <w:top w:val="nil"/>
              <w:left w:val="nil"/>
              <w:bottom w:val="nil"/>
              <w:right w:val="nil"/>
            </w:tcBorders>
            <w:shd w:val="clear" w:color="000000" w:fill="FFFFFF"/>
            <w:noWrap/>
            <w:tcMar>
              <w:top w:w="15" w:type="dxa"/>
              <w:left w:w="15" w:type="dxa"/>
              <w:bottom w:w="0" w:type="dxa"/>
              <w:right w:w="15" w:type="dxa"/>
            </w:tcMar>
            <w:vAlign w:val="bottom"/>
            <w:hideMark/>
          </w:tcPr>
          <w:bookmarkEnd w:id="26"/>
          <w:p w14:paraId="1089F525" w14:textId="77777777" w:rsidR="00E61341" w:rsidRDefault="00E61341">
            <w:pPr>
              <w:jc w:val="center"/>
              <w:rPr>
                <w:rFonts w:ascii="Times Roman" w:hAnsi="Times Roman"/>
                <w:color w:val="000000"/>
              </w:rPr>
            </w:pPr>
            <w:r>
              <w:rPr>
                <w:rFonts w:ascii="Times Roman" w:hAnsi="Times Roman"/>
                <w:color w:val="000000"/>
              </w:rPr>
              <w:t> </w:t>
            </w:r>
          </w:p>
        </w:tc>
        <w:tc>
          <w:tcPr>
            <w:tcW w:w="3174" w:type="dxa"/>
            <w:gridSpan w:val="3"/>
            <w:tcBorders>
              <w:top w:val="single" w:sz="4" w:space="0" w:color="auto"/>
              <w:left w:val="single" w:sz="4" w:space="0" w:color="auto"/>
              <w:bottom w:val="nil"/>
              <w:right w:val="single" w:sz="4" w:space="0" w:color="000000"/>
            </w:tcBorders>
            <w:shd w:val="clear" w:color="000000" w:fill="FFFFFF"/>
            <w:noWrap/>
            <w:tcMar>
              <w:top w:w="15" w:type="dxa"/>
              <w:left w:w="15" w:type="dxa"/>
              <w:bottom w:w="0" w:type="dxa"/>
              <w:right w:w="15" w:type="dxa"/>
            </w:tcMar>
            <w:vAlign w:val="bottom"/>
            <w:hideMark/>
          </w:tcPr>
          <w:p w14:paraId="178E5067" w14:textId="77777777" w:rsidR="00E61341" w:rsidRDefault="00E61341">
            <w:pPr>
              <w:jc w:val="center"/>
              <w:rPr>
                <w:rFonts w:ascii="Times Roman" w:hAnsi="Times Roman"/>
                <w:b/>
                <w:bCs/>
                <w:color w:val="000000"/>
              </w:rPr>
            </w:pPr>
            <w:r>
              <w:rPr>
                <w:rFonts w:ascii="Times Roman" w:hAnsi="Times Roman"/>
                <w:b/>
                <w:bCs/>
                <w:color w:val="000000"/>
              </w:rPr>
              <w:t>This study</w:t>
            </w:r>
          </w:p>
        </w:tc>
        <w:tc>
          <w:tcPr>
            <w:tcW w:w="6171" w:type="dxa"/>
            <w:gridSpan w:val="3"/>
            <w:tcBorders>
              <w:top w:val="single" w:sz="4" w:space="0" w:color="auto"/>
              <w:left w:val="nil"/>
              <w:bottom w:val="nil"/>
              <w:right w:val="single" w:sz="4" w:space="0" w:color="000000"/>
            </w:tcBorders>
            <w:shd w:val="clear" w:color="000000" w:fill="FFFFFF"/>
            <w:noWrap/>
            <w:tcMar>
              <w:top w:w="15" w:type="dxa"/>
              <w:left w:w="15" w:type="dxa"/>
              <w:bottom w:w="0" w:type="dxa"/>
              <w:right w:w="15" w:type="dxa"/>
            </w:tcMar>
            <w:vAlign w:val="bottom"/>
            <w:hideMark/>
          </w:tcPr>
          <w:p w14:paraId="49AF4F97" w14:textId="77777777" w:rsidR="00E61341" w:rsidRDefault="00E61341">
            <w:pPr>
              <w:jc w:val="center"/>
              <w:rPr>
                <w:rFonts w:ascii="Times Roman" w:hAnsi="Times Roman"/>
                <w:b/>
                <w:bCs/>
                <w:color w:val="000000"/>
              </w:rPr>
            </w:pPr>
            <w:r>
              <w:rPr>
                <w:rFonts w:ascii="Times Roman" w:hAnsi="Times Roman"/>
                <w:b/>
                <w:bCs/>
                <w:color w:val="000000"/>
              </w:rPr>
              <w:t>Literature data</w:t>
            </w:r>
          </w:p>
        </w:tc>
      </w:tr>
      <w:tr w:rsidR="00E61341" w14:paraId="7C4EF3E2" w14:textId="77777777" w:rsidTr="0064579A">
        <w:trPr>
          <w:trHeight w:val="351"/>
        </w:trPr>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7629FFCC" w14:textId="77777777" w:rsidR="00E61341" w:rsidRDefault="00E61341">
            <w:pPr>
              <w:jc w:val="center"/>
              <w:rPr>
                <w:rFonts w:ascii="Times Roman" w:hAnsi="Times Roman"/>
                <w:color w:val="000000"/>
              </w:rPr>
            </w:pPr>
            <w:r>
              <w:rPr>
                <w:rFonts w:ascii="Times Roman" w:hAnsi="Times Roman"/>
                <w:color w:val="000000"/>
              </w:rPr>
              <w:t> </w:t>
            </w:r>
          </w:p>
        </w:tc>
        <w:tc>
          <w:tcPr>
            <w:tcW w:w="0" w:type="auto"/>
            <w:tcBorders>
              <w:top w:val="single" w:sz="4" w:space="0" w:color="auto"/>
              <w:left w:val="single" w:sz="4" w:space="0" w:color="auto"/>
              <w:bottom w:val="single" w:sz="4" w:space="0" w:color="auto"/>
              <w:right w:val="nil"/>
            </w:tcBorders>
            <w:shd w:val="clear" w:color="000000" w:fill="FFFFFF"/>
            <w:noWrap/>
            <w:tcMar>
              <w:top w:w="15" w:type="dxa"/>
              <w:left w:w="15" w:type="dxa"/>
              <w:bottom w:w="0" w:type="dxa"/>
              <w:right w:w="15" w:type="dxa"/>
            </w:tcMar>
            <w:vAlign w:val="bottom"/>
            <w:hideMark/>
          </w:tcPr>
          <w:p w14:paraId="44471FBB" w14:textId="77777777" w:rsidR="00E61341" w:rsidRDefault="00E61341">
            <w:pPr>
              <w:jc w:val="center"/>
              <w:rPr>
                <w:rFonts w:ascii="Times Roman" w:hAnsi="Times Roman"/>
                <w:b/>
                <w:bCs/>
                <w:color w:val="000000"/>
              </w:rPr>
            </w:pPr>
            <w:r>
              <w:rPr>
                <w:rFonts w:ascii="Times Roman" w:hAnsi="Times Roman"/>
                <w:b/>
                <w:bCs/>
                <w:color w:val="000000"/>
              </w:rPr>
              <w:t>δ</w:t>
            </w:r>
            <w:r>
              <w:rPr>
                <w:rFonts w:ascii="Times Roman" w:hAnsi="Times Roman"/>
                <w:b/>
                <w:bCs/>
                <w:color w:val="000000"/>
                <w:vertAlign w:val="superscript"/>
              </w:rPr>
              <w:t>66</w:t>
            </w:r>
            <w:r>
              <w:rPr>
                <w:rFonts w:ascii="Times Roman" w:hAnsi="Times Roman"/>
                <w:b/>
                <w:bCs/>
                <w:color w:val="000000"/>
              </w:rPr>
              <w:t>Zn</w:t>
            </w:r>
          </w:p>
        </w:tc>
        <w:tc>
          <w:tcPr>
            <w:tcW w:w="0" w:type="auto"/>
            <w:tcBorders>
              <w:top w:val="single" w:sz="4"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7799350D" w14:textId="77777777" w:rsidR="00E61341" w:rsidRDefault="00E61341">
            <w:pPr>
              <w:jc w:val="center"/>
              <w:rPr>
                <w:rFonts w:ascii="Times Roman" w:hAnsi="Times Roman"/>
                <w:b/>
                <w:bCs/>
                <w:color w:val="000000"/>
              </w:rPr>
            </w:pPr>
            <w:r>
              <w:rPr>
                <w:rFonts w:ascii="Times Roman" w:hAnsi="Times Roman"/>
                <w:b/>
                <w:bCs/>
                <w:color w:val="000000"/>
              </w:rPr>
              <w:t>SD</w:t>
            </w:r>
          </w:p>
        </w:tc>
        <w:tc>
          <w:tcPr>
            <w:tcW w:w="0" w:type="auto"/>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4B95380C" w14:textId="77777777" w:rsidR="00E61341" w:rsidRDefault="00E61341">
            <w:pPr>
              <w:jc w:val="center"/>
              <w:rPr>
                <w:rFonts w:ascii="Times Roman" w:hAnsi="Times Roman"/>
                <w:b/>
                <w:bCs/>
                <w:color w:val="000000"/>
              </w:rPr>
            </w:pPr>
            <w:r>
              <w:rPr>
                <w:rFonts w:ascii="Times Roman" w:hAnsi="Times Roman"/>
                <w:b/>
                <w:bCs/>
                <w:color w:val="000000"/>
              </w:rPr>
              <w:t>n</w:t>
            </w:r>
          </w:p>
        </w:tc>
        <w:tc>
          <w:tcPr>
            <w:tcW w:w="0" w:type="auto"/>
            <w:tcBorders>
              <w:top w:val="single" w:sz="4"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3693F5CF" w14:textId="77777777" w:rsidR="00E61341" w:rsidRDefault="00E61341">
            <w:pPr>
              <w:jc w:val="center"/>
              <w:rPr>
                <w:rFonts w:ascii="Times Roman" w:hAnsi="Times Roman"/>
                <w:b/>
                <w:bCs/>
                <w:color w:val="000000"/>
              </w:rPr>
            </w:pPr>
            <w:r>
              <w:rPr>
                <w:rFonts w:ascii="Times Roman" w:hAnsi="Times Roman"/>
                <w:b/>
                <w:bCs/>
                <w:color w:val="000000"/>
              </w:rPr>
              <w:t>δ</w:t>
            </w:r>
            <w:r>
              <w:rPr>
                <w:rFonts w:ascii="Times Roman" w:hAnsi="Times Roman"/>
                <w:b/>
                <w:bCs/>
                <w:color w:val="000000"/>
                <w:vertAlign w:val="superscript"/>
              </w:rPr>
              <w:t>66</w:t>
            </w:r>
            <w:r>
              <w:rPr>
                <w:rFonts w:ascii="Times Roman" w:hAnsi="Times Roman"/>
                <w:b/>
                <w:bCs/>
                <w:color w:val="000000"/>
              </w:rPr>
              <w:t>Zn</w:t>
            </w:r>
          </w:p>
        </w:tc>
        <w:tc>
          <w:tcPr>
            <w:tcW w:w="0" w:type="auto"/>
            <w:tcBorders>
              <w:top w:val="single" w:sz="4"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6549CAAF" w14:textId="77777777" w:rsidR="00E61341" w:rsidRDefault="00E61341">
            <w:pPr>
              <w:jc w:val="center"/>
              <w:rPr>
                <w:rFonts w:ascii="Times Roman" w:hAnsi="Times Roman"/>
                <w:b/>
                <w:bCs/>
                <w:color w:val="000000"/>
              </w:rPr>
            </w:pPr>
            <w:r>
              <w:rPr>
                <w:rFonts w:ascii="Times Roman" w:hAnsi="Times Roman"/>
                <w:b/>
                <w:bCs/>
                <w:color w:val="000000"/>
              </w:rPr>
              <w:t>SD</w:t>
            </w:r>
          </w:p>
        </w:tc>
        <w:tc>
          <w:tcPr>
            <w:tcW w:w="0" w:type="auto"/>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5AF17629" w14:textId="77777777" w:rsidR="00E61341" w:rsidRDefault="00E61341">
            <w:pPr>
              <w:jc w:val="center"/>
              <w:rPr>
                <w:rFonts w:ascii="Times Roman" w:hAnsi="Times Roman"/>
                <w:b/>
                <w:bCs/>
                <w:color w:val="000000"/>
              </w:rPr>
            </w:pPr>
            <w:r>
              <w:rPr>
                <w:rFonts w:ascii="Times Roman" w:hAnsi="Times Roman"/>
                <w:b/>
                <w:bCs/>
                <w:color w:val="000000"/>
              </w:rPr>
              <w:t>References</w:t>
            </w:r>
          </w:p>
        </w:tc>
      </w:tr>
      <w:tr w:rsidR="00E61341" w:rsidRPr="00333F7C" w14:paraId="52DA9953" w14:textId="77777777" w:rsidTr="00E61341">
        <w:trPr>
          <w:trHeight w:val="860"/>
        </w:trPr>
        <w:tc>
          <w:tcPr>
            <w:tcW w:w="1058" w:type="dxa"/>
            <w:tcBorders>
              <w:top w:val="nil"/>
              <w:left w:val="single" w:sz="4" w:space="0" w:color="auto"/>
              <w:bottom w:val="nil"/>
              <w:right w:val="single" w:sz="4" w:space="0" w:color="auto"/>
            </w:tcBorders>
            <w:shd w:val="clear" w:color="000000" w:fill="FFFFFF"/>
            <w:tcMar>
              <w:top w:w="15" w:type="dxa"/>
              <w:left w:w="15" w:type="dxa"/>
              <w:bottom w:w="0" w:type="dxa"/>
              <w:right w:w="15" w:type="dxa"/>
            </w:tcMar>
            <w:vAlign w:val="center"/>
            <w:hideMark/>
          </w:tcPr>
          <w:p w14:paraId="7BEF2201" w14:textId="77777777" w:rsidR="00E61341" w:rsidRDefault="00E61341">
            <w:pPr>
              <w:jc w:val="center"/>
              <w:rPr>
                <w:rFonts w:ascii="Times Roman" w:hAnsi="Times Roman"/>
                <w:color w:val="000000"/>
              </w:rPr>
            </w:pPr>
            <w:r>
              <w:rPr>
                <w:rFonts w:ascii="Times Roman" w:hAnsi="Times Roman"/>
                <w:color w:val="000000"/>
              </w:rPr>
              <w:t xml:space="preserve">SRM 1400 </w:t>
            </w:r>
          </w:p>
        </w:tc>
        <w:tc>
          <w:tcPr>
            <w:tcW w:w="1058" w:type="dxa"/>
            <w:tcBorders>
              <w:top w:val="nil"/>
              <w:left w:val="single" w:sz="4" w:space="0" w:color="auto"/>
              <w:bottom w:val="nil"/>
              <w:right w:val="nil"/>
            </w:tcBorders>
            <w:shd w:val="clear" w:color="000000" w:fill="FFFFFF"/>
            <w:tcMar>
              <w:top w:w="15" w:type="dxa"/>
              <w:left w:w="15" w:type="dxa"/>
              <w:bottom w:w="0" w:type="dxa"/>
              <w:right w:w="15" w:type="dxa"/>
            </w:tcMar>
            <w:vAlign w:val="center"/>
            <w:hideMark/>
          </w:tcPr>
          <w:p w14:paraId="1FF878C6" w14:textId="77777777" w:rsidR="00E61341" w:rsidRDefault="00E61341">
            <w:pPr>
              <w:jc w:val="center"/>
              <w:rPr>
                <w:rFonts w:ascii="Times Roman" w:hAnsi="Times Roman"/>
                <w:color w:val="000000"/>
              </w:rPr>
            </w:pPr>
            <w:r>
              <w:rPr>
                <w:rFonts w:ascii="Times Roman" w:hAnsi="Times Roman"/>
                <w:color w:val="000000"/>
              </w:rPr>
              <w:t>0.93</w:t>
            </w:r>
          </w:p>
        </w:tc>
        <w:tc>
          <w:tcPr>
            <w:tcW w:w="1058" w:type="dxa"/>
            <w:tcBorders>
              <w:top w:val="nil"/>
              <w:left w:val="nil"/>
              <w:bottom w:val="nil"/>
              <w:right w:val="nil"/>
            </w:tcBorders>
            <w:shd w:val="clear" w:color="000000" w:fill="FFFFFF"/>
            <w:tcMar>
              <w:top w:w="15" w:type="dxa"/>
              <w:left w:w="15" w:type="dxa"/>
              <w:bottom w:w="0" w:type="dxa"/>
              <w:right w:w="15" w:type="dxa"/>
            </w:tcMar>
            <w:vAlign w:val="center"/>
            <w:hideMark/>
          </w:tcPr>
          <w:p w14:paraId="1A3E19E0" w14:textId="77777777" w:rsidR="00E61341" w:rsidRDefault="00E61341">
            <w:pPr>
              <w:jc w:val="center"/>
              <w:rPr>
                <w:rFonts w:ascii="Times Roman" w:hAnsi="Times Roman"/>
                <w:color w:val="000000"/>
              </w:rPr>
            </w:pPr>
            <w:r>
              <w:rPr>
                <w:rFonts w:ascii="Times Roman" w:hAnsi="Times Roman"/>
                <w:color w:val="000000"/>
              </w:rPr>
              <w:t>0.03</w:t>
            </w:r>
          </w:p>
        </w:tc>
        <w:tc>
          <w:tcPr>
            <w:tcW w:w="0" w:type="auto"/>
            <w:tcBorders>
              <w:top w:val="nil"/>
              <w:left w:val="nil"/>
              <w:bottom w:val="nil"/>
              <w:right w:val="single" w:sz="4" w:space="0" w:color="auto"/>
            </w:tcBorders>
            <w:shd w:val="clear" w:color="000000" w:fill="FFFFFF"/>
            <w:noWrap/>
            <w:tcMar>
              <w:top w:w="15" w:type="dxa"/>
              <w:left w:w="15" w:type="dxa"/>
              <w:bottom w:w="0" w:type="dxa"/>
              <w:right w:w="15" w:type="dxa"/>
            </w:tcMar>
            <w:vAlign w:val="bottom"/>
            <w:hideMark/>
          </w:tcPr>
          <w:p w14:paraId="5B7366F6" w14:textId="77777777" w:rsidR="00E61341" w:rsidRDefault="00E61341">
            <w:pPr>
              <w:jc w:val="center"/>
              <w:rPr>
                <w:rFonts w:ascii="Times Roman" w:hAnsi="Times Roman"/>
                <w:color w:val="000000"/>
              </w:rPr>
            </w:pPr>
            <w:r>
              <w:rPr>
                <w:rFonts w:ascii="Times Roman" w:hAnsi="Times Roman"/>
                <w:color w:val="000000"/>
              </w:rPr>
              <w:t>5</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14:paraId="7541DB3B" w14:textId="77777777" w:rsidR="00E61341" w:rsidRDefault="00E61341">
            <w:pPr>
              <w:jc w:val="center"/>
              <w:rPr>
                <w:rFonts w:ascii="Times Roman" w:hAnsi="Times Roman"/>
                <w:color w:val="000000"/>
              </w:rPr>
            </w:pPr>
            <w:r>
              <w:rPr>
                <w:rFonts w:ascii="Times Roman" w:hAnsi="Times Roman"/>
                <w:color w:val="000000"/>
              </w:rPr>
              <w:t>0.96</w:t>
            </w:r>
          </w:p>
        </w:tc>
        <w:tc>
          <w:tcPr>
            <w:tcW w:w="0" w:type="auto"/>
            <w:tcBorders>
              <w:top w:val="single" w:sz="4" w:space="0" w:color="auto"/>
              <w:left w:val="nil"/>
              <w:bottom w:val="nil"/>
              <w:right w:val="nil"/>
            </w:tcBorders>
            <w:shd w:val="clear" w:color="000000" w:fill="FFFFFF"/>
            <w:noWrap/>
            <w:tcMar>
              <w:top w:w="15" w:type="dxa"/>
              <w:left w:w="15" w:type="dxa"/>
              <w:bottom w:w="0" w:type="dxa"/>
              <w:right w:w="15" w:type="dxa"/>
            </w:tcMar>
            <w:vAlign w:val="center"/>
            <w:hideMark/>
          </w:tcPr>
          <w:p w14:paraId="7A846DE7" w14:textId="77777777" w:rsidR="00E61341" w:rsidRDefault="00E61341">
            <w:pPr>
              <w:jc w:val="center"/>
              <w:rPr>
                <w:rFonts w:ascii="Times Roman" w:hAnsi="Times Roman"/>
                <w:color w:val="000000"/>
              </w:rPr>
            </w:pPr>
            <w:r>
              <w:rPr>
                <w:rFonts w:ascii="Times Roman" w:hAnsi="Times Roman"/>
                <w:color w:val="000000"/>
              </w:rPr>
              <w:t>0.02</w:t>
            </w:r>
          </w:p>
        </w:tc>
        <w:tc>
          <w:tcPr>
            <w:tcW w:w="4678" w:type="dxa"/>
            <w:tcBorders>
              <w:top w:val="nil"/>
              <w:left w:val="nil"/>
              <w:bottom w:val="nil"/>
              <w:right w:val="single" w:sz="4" w:space="0" w:color="auto"/>
            </w:tcBorders>
            <w:shd w:val="clear" w:color="000000" w:fill="FFFFFF"/>
            <w:tcMar>
              <w:top w:w="15" w:type="dxa"/>
              <w:left w:w="15" w:type="dxa"/>
              <w:bottom w:w="0" w:type="dxa"/>
              <w:right w:w="15" w:type="dxa"/>
            </w:tcMar>
            <w:vAlign w:val="bottom"/>
            <w:hideMark/>
          </w:tcPr>
          <w:p w14:paraId="45792058" w14:textId="77777777" w:rsidR="00E61341" w:rsidRPr="0064579A" w:rsidRDefault="00E61341">
            <w:pPr>
              <w:jc w:val="center"/>
              <w:rPr>
                <w:rFonts w:ascii="Times Roman" w:hAnsi="Times Roman"/>
                <w:color w:val="000000"/>
                <w:lang w:val="fr-FR"/>
              </w:rPr>
            </w:pPr>
            <w:r w:rsidRPr="0064579A">
              <w:rPr>
                <w:rFonts w:ascii="Times Roman" w:hAnsi="Times Roman"/>
                <w:color w:val="000000"/>
                <w:lang w:val="fr-FR"/>
              </w:rPr>
              <w:t>Jaouen et al. (2018, 2020, 2022</w:t>
            </w:r>
            <w:proofErr w:type="gramStart"/>
            <w:r w:rsidRPr="0064579A">
              <w:rPr>
                <w:rFonts w:ascii="Times Roman" w:hAnsi="Times Roman"/>
                <w:color w:val="000000"/>
                <w:lang w:val="fr-FR"/>
              </w:rPr>
              <w:t>);</w:t>
            </w:r>
            <w:proofErr w:type="gramEnd"/>
            <w:r w:rsidRPr="0064579A">
              <w:rPr>
                <w:rFonts w:ascii="Times Roman" w:hAnsi="Times Roman"/>
                <w:color w:val="000000"/>
                <w:lang w:val="fr-FR"/>
              </w:rPr>
              <w:t xml:space="preserve"> </w:t>
            </w:r>
            <w:r w:rsidRPr="0064579A">
              <w:rPr>
                <w:rFonts w:ascii="Times Roman" w:hAnsi="Times Roman"/>
                <w:color w:val="000000"/>
                <w:lang w:val="fr-FR"/>
              </w:rPr>
              <w:br/>
              <w:t>Bourgon et al (2020, 2021);McCormack et al (2021)</w:t>
            </w:r>
          </w:p>
        </w:tc>
      </w:tr>
      <w:tr w:rsidR="00E61341" w:rsidRPr="00333F7C" w14:paraId="32F7BC16" w14:textId="77777777" w:rsidTr="00E61341">
        <w:trPr>
          <w:trHeight w:val="295"/>
        </w:trPr>
        <w:tc>
          <w:tcPr>
            <w:tcW w:w="0" w:type="auto"/>
            <w:tcBorders>
              <w:top w:val="nil"/>
              <w:left w:val="single" w:sz="4" w:space="0" w:color="auto"/>
              <w:bottom w:val="nil"/>
              <w:right w:val="single" w:sz="4" w:space="0" w:color="auto"/>
            </w:tcBorders>
            <w:shd w:val="clear" w:color="000000" w:fill="FFFFFF"/>
            <w:noWrap/>
            <w:tcMar>
              <w:top w:w="15" w:type="dxa"/>
              <w:left w:w="15" w:type="dxa"/>
              <w:bottom w:w="0" w:type="dxa"/>
              <w:right w:w="15" w:type="dxa"/>
            </w:tcMar>
            <w:vAlign w:val="bottom"/>
            <w:hideMark/>
          </w:tcPr>
          <w:p w14:paraId="2738D853" w14:textId="77777777" w:rsidR="00E61341" w:rsidRDefault="00E61341">
            <w:pPr>
              <w:jc w:val="center"/>
              <w:rPr>
                <w:rFonts w:ascii="Times Roman" w:hAnsi="Times Roman"/>
                <w:color w:val="000000"/>
              </w:rPr>
            </w:pPr>
            <w:r>
              <w:rPr>
                <w:rFonts w:ascii="Times Roman" w:hAnsi="Times Roman"/>
                <w:color w:val="000000"/>
              </w:rPr>
              <w:t>SRM 1486</w:t>
            </w:r>
          </w:p>
        </w:tc>
        <w:tc>
          <w:tcPr>
            <w:tcW w:w="1058" w:type="dxa"/>
            <w:tcBorders>
              <w:top w:val="nil"/>
              <w:left w:val="nil"/>
              <w:bottom w:val="nil"/>
              <w:right w:val="nil"/>
            </w:tcBorders>
            <w:shd w:val="clear" w:color="000000" w:fill="FFFFFF"/>
            <w:tcMar>
              <w:top w:w="15" w:type="dxa"/>
              <w:left w:w="15" w:type="dxa"/>
              <w:bottom w:w="0" w:type="dxa"/>
              <w:right w:w="15" w:type="dxa"/>
            </w:tcMar>
            <w:vAlign w:val="center"/>
            <w:hideMark/>
          </w:tcPr>
          <w:p w14:paraId="4ACFB374" w14:textId="77777777" w:rsidR="00E61341" w:rsidRDefault="00E61341">
            <w:pPr>
              <w:jc w:val="center"/>
              <w:rPr>
                <w:rFonts w:ascii="Times Roman" w:hAnsi="Times Roman"/>
                <w:color w:val="000000"/>
              </w:rPr>
            </w:pPr>
            <w:r>
              <w:rPr>
                <w:rFonts w:ascii="Times Roman" w:hAnsi="Times Roman"/>
                <w:color w:val="000000"/>
              </w:rPr>
              <w:t>1.23</w:t>
            </w:r>
          </w:p>
        </w:tc>
        <w:tc>
          <w:tcPr>
            <w:tcW w:w="1058" w:type="dxa"/>
            <w:tcBorders>
              <w:top w:val="nil"/>
              <w:left w:val="nil"/>
              <w:bottom w:val="nil"/>
              <w:right w:val="nil"/>
            </w:tcBorders>
            <w:shd w:val="clear" w:color="000000" w:fill="FFFFFF"/>
            <w:tcMar>
              <w:top w:w="15" w:type="dxa"/>
              <w:left w:w="15" w:type="dxa"/>
              <w:bottom w:w="0" w:type="dxa"/>
              <w:right w:w="15" w:type="dxa"/>
            </w:tcMar>
            <w:vAlign w:val="center"/>
            <w:hideMark/>
          </w:tcPr>
          <w:p w14:paraId="1D245809" w14:textId="77777777" w:rsidR="00E61341" w:rsidRDefault="00E61341">
            <w:pPr>
              <w:jc w:val="center"/>
              <w:rPr>
                <w:rFonts w:ascii="Times Roman" w:hAnsi="Times Roman"/>
                <w:color w:val="000000"/>
              </w:rPr>
            </w:pPr>
            <w:r>
              <w:rPr>
                <w:rFonts w:ascii="Times Roman" w:hAnsi="Times Roman"/>
                <w:color w:val="000000"/>
              </w:rPr>
              <w:t>0.04</w:t>
            </w:r>
          </w:p>
        </w:tc>
        <w:tc>
          <w:tcPr>
            <w:tcW w:w="0" w:type="auto"/>
            <w:tcBorders>
              <w:top w:val="nil"/>
              <w:left w:val="nil"/>
              <w:bottom w:val="nil"/>
              <w:right w:val="single" w:sz="4" w:space="0" w:color="auto"/>
            </w:tcBorders>
            <w:shd w:val="clear" w:color="000000" w:fill="FFFFFF"/>
            <w:noWrap/>
            <w:tcMar>
              <w:top w:w="15" w:type="dxa"/>
              <w:left w:w="15" w:type="dxa"/>
              <w:bottom w:w="0" w:type="dxa"/>
              <w:right w:w="15" w:type="dxa"/>
            </w:tcMar>
            <w:vAlign w:val="bottom"/>
            <w:hideMark/>
          </w:tcPr>
          <w:p w14:paraId="16522485" w14:textId="77777777" w:rsidR="00E61341" w:rsidRDefault="00E61341">
            <w:pPr>
              <w:jc w:val="center"/>
              <w:rPr>
                <w:rFonts w:ascii="Times Roman" w:hAnsi="Times Roman"/>
                <w:color w:val="000000"/>
              </w:rPr>
            </w:pPr>
            <w:r>
              <w:rPr>
                <w:rFonts w:ascii="Times Roman" w:hAnsi="Times Roman"/>
                <w:color w:val="000000"/>
              </w:rPr>
              <w:t>2</w:t>
            </w:r>
          </w:p>
        </w:tc>
        <w:tc>
          <w:tcPr>
            <w:tcW w:w="0" w:type="auto"/>
            <w:tcBorders>
              <w:top w:val="nil"/>
              <w:left w:val="single" w:sz="4" w:space="0" w:color="auto"/>
              <w:bottom w:val="nil"/>
              <w:right w:val="nil"/>
            </w:tcBorders>
            <w:shd w:val="clear" w:color="000000" w:fill="FFFFFF"/>
            <w:noWrap/>
            <w:tcMar>
              <w:top w:w="15" w:type="dxa"/>
              <w:left w:w="15" w:type="dxa"/>
              <w:bottom w:w="0" w:type="dxa"/>
              <w:right w:w="15" w:type="dxa"/>
            </w:tcMar>
            <w:vAlign w:val="bottom"/>
            <w:hideMark/>
          </w:tcPr>
          <w:p w14:paraId="684FAE39" w14:textId="77777777" w:rsidR="00E61341" w:rsidRDefault="00E61341">
            <w:pPr>
              <w:jc w:val="center"/>
              <w:rPr>
                <w:rFonts w:ascii="Times Roman" w:hAnsi="Times Roman"/>
                <w:color w:val="000000"/>
              </w:rPr>
            </w:pPr>
            <w:r>
              <w:rPr>
                <w:rFonts w:ascii="Times Roman" w:hAnsi="Times Roman"/>
                <w:color w:val="000000"/>
              </w:rPr>
              <w:t>1.2</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53DBAB7B" w14:textId="77777777" w:rsidR="00E61341" w:rsidRDefault="00E61341">
            <w:pPr>
              <w:jc w:val="center"/>
              <w:rPr>
                <w:rFonts w:ascii="Times Roman" w:hAnsi="Times Roman"/>
                <w:color w:val="000000"/>
              </w:rPr>
            </w:pPr>
            <w:r>
              <w:rPr>
                <w:rFonts w:ascii="Times Roman" w:hAnsi="Times Roman"/>
                <w:color w:val="000000"/>
              </w:rPr>
              <w:t>0.04</w:t>
            </w:r>
          </w:p>
        </w:tc>
        <w:tc>
          <w:tcPr>
            <w:tcW w:w="0" w:type="auto"/>
            <w:tcBorders>
              <w:top w:val="nil"/>
              <w:left w:val="nil"/>
              <w:bottom w:val="nil"/>
              <w:right w:val="single" w:sz="4" w:space="0" w:color="auto"/>
            </w:tcBorders>
            <w:shd w:val="clear" w:color="000000" w:fill="FFFFFF"/>
            <w:noWrap/>
            <w:tcMar>
              <w:top w:w="15" w:type="dxa"/>
              <w:left w:w="15" w:type="dxa"/>
              <w:bottom w:w="0" w:type="dxa"/>
              <w:right w:w="15" w:type="dxa"/>
            </w:tcMar>
            <w:vAlign w:val="bottom"/>
            <w:hideMark/>
          </w:tcPr>
          <w:p w14:paraId="2D4E614E" w14:textId="77777777" w:rsidR="00E61341" w:rsidRPr="0064579A" w:rsidRDefault="00E61341">
            <w:pPr>
              <w:jc w:val="center"/>
              <w:rPr>
                <w:rFonts w:ascii="Times Roman" w:hAnsi="Times Roman"/>
                <w:color w:val="000000"/>
                <w:lang w:val="fr-FR"/>
              </w:rPr>
            </w:pPr>
            <w:r w:rsidRPr="0064579A">
              <w:rPr>
                <w:rFonts w:ascii="Times Roman" w:hAnsi="Times Roman"/>
                <w:color w:val="000000"/>
                <w:lang w:val="fr-FR"/>
              </w:rPr>
              <w:t>Jaouen et al. (2016), McCormack et al (2021)</w:t>
            </w:r>
          </w:p>
        </w:tc>
      </w:tr>
      <w:tr w:rsidR="00E61341" w:rsidRPr="00333F7C" w14:paraId="1C6153E6" w14:textId="77777777" w:rsidTr="00E61341">
        <w:trPr>
          <w:trHeight w:val="295"/>
        </w:trPr>
        <w:tc>
          <w:tcPr>
            <w:tcW w:w="0" w:type="auto"/>
            <w:tcBorders>
              <w:top w:val="nil"/>
              <w:left w:val="single" w:sz="4" w:space="0" w:color="auto"/>
              <w:bottom w:val="nil"/>
              <w:right w:val="single" w:sz="4" w:space="0" w:color="auto"/>
            </w:tcBorders>
            <w:shd w:val="clear" w:color="000000" w:fill="FFFFFF"/>
            <w:noWrap/>
            <w:tcMar>
              <w:top w:w="15" w:type="dxa"/>
              <w:left w:w="15" w:type="dxa"/>
              <w:bottom w:w="0" w:type="dxa"/>
              <w:right w:w="15" w:type="dxa"/>
            </w:tcMar>
            <w:vAlign w:val="bottom"/>
            <w:hideMark/>
          </w:tcPr>
          <w:p w14:paraId="64F76E28"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c>
          <w:tcPr>
            <w:tcW w:w="1058" w:type="dxa"/>
            <w:tcBorders>
              <w:top w:val="nil"/>
              <w:left w:val="nil"/>
              <w:bottom w:val="nil"/>
              <w:right w:val="nil"/>
            </w:tcBorders>
            <w:shd w:val="clear" w:color="000000" w:fill="FFFFFF"/>
            <w:tcMar>
              <w:top w:w="15" w:type="dxa"/>
              <w:left w:w="15" w:type="dxa"/>
              <w:bottom w:w="0" w:type="dxa"/>
              <w:right w:w="15" w:type="dxa"/>
            </w:tcMar>
            <w:vAlign w:val="center"/>
            <w:hideMark/>
          </w:tcPr>
          <w:p w14:paraId="0349F064"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c>
          <w:tcPr>
            <w:tcW w:w="1058" w:type="dxa"/>
            <w:tcBorders>
              <w:top w:val="nil"/>
              <w:left w:val="nil"/>
              <w:bottom w:val="nil"/>
              <w:right w:val="nil"/>
            </w:tcBorders>
            <w:shd w:val="clear" w:color="000000" w:fill="FFFFFF"/>
            <w:tcMar>
              <w:top w:w="15" w:type="dxa"/>
              <w:left w:w="15" w:type="dxa"/>
              <w:bottom w:w="0" w:type="dxa"/>
              <w:right w:w="15" w:type="dxa"/>
            </w:tcMar>
            <w:vAlign w:val="center"/>
            <w:hideMark/>
          </w:tcPr>
          <w:p w14:paraId="4697E978"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c>
          <w:tcPr>
            <w:tcW w:w="0" w:type="auto"/>
            <w:tcBorders>
              <w:top w:val="nil"/>
              <w:left w:val="nil"/>
              <w:bottom w:val="nil"/>
              <w:right w:val="single" w:sz="4" w:space="0" w:color="auto"/>
            </w:tcBorders>
            <w:shd w:val="clear" w:color="000000" w:fill="FFFFFF"/>
            <w:noWrap/>
            <w:tcMar>
              <w:top w:w="15" w:type="dxa"/>
              <w:left w:w="15" w:type="dxa"/>
              <w:bottom w:w="0" w:type="dxa"/>
              <w:right w:w="15" w:type="dxa"/>
            </w:tcMar>
            <w:vAlign w:val="bottom"/>
            <w:hideMark/>
          </w:tcPr>
          <w:p w14:paraId="4CE482D4"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c>
          <w:tcPr>
            <w:tcW w:w="0" w:type="auto"/>
            <w:tcBorders>
              <w:top w:val="nil"/>
              <w:left w:val="single" w:sz="4" w:space="0" w:color="auto"/>
              <w:bottom w:val="nil"/>
              <w:right w:val="nil"/>
            </w:tcBorders>
            <w:shd w:val="clear" w:color="000000" w:fill="FFFFFF"/>
            <w:noWrap/>
            <w:tcMar>
              <w:top w:w="15" w:type="dxa"/>
              <w:left w:w="15" w:type="dxa"/>
              <w:bottom w:w="0" w:type="dxa"/>
              <w:right w:w="15" w:type="dxa"/>
            </w:tcMar>
            <w:vAlign w:val="bottom"/>
            <w:hideMark/>
          </w:tcPr>
          <w:p w14:paraId="757BCE83"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29AE6D14"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c>
          <w:tcPr>
            <w:tcW w:w="0" w:type="auto"/>
            <w:tcBorders>
              <w:top w:val="nil"/>
              <w:left w:val="nil"/>
              <w:bottom w:val="nil"/>
              <w:right w:val="single" w:sz="4" w:space="0" w:color="auto"/>
            </w:tcBorders>
            <w:shd w:val="clear" w:color="000000" w:fill="FFFFFF"/>
            <w:noWrap/>
            <w:tcMar>
              <w:top w:w="15" w:type="dxa"/>
              <w:left w:w="15" w:type="dxa"/>
              <w:bottom w:w="0" w:type="dxa"/>
              <w:right w:w="15" w:type="dxa"/>
            </w:tcMar>
            <w:vAlign w:val="bottom"/>
            <w:hideMark/>
          </w:tcPr>
          <w:p w14:paraId="239B6AEA"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r>
      <w:tr w:rsidR="00E61341" w14:paraId="68C1664B" w14:textId="77777777" w:rsidTr="0064579A">
        <w:trPr>
          <w:trHeight w:val="351"/>
        </w:trPr>
        <w:tc>
          <w:tcPr>
            <w:tcW w:w="0" w:type="auto"/>
            <w:tcBorders>
              <w:top w:val="nil"/>
              <w:left w:val="single" w:sz="4" w:space="0" w:color="auto"/>
              <w:bottom w:val="nil"/>
              <w:right w:val="single" w:sz="4" w:space="0" w:color="auto"/>
            </w:tcBorders>
            <w:shd w:val="clear" w:color="000000" w:fill="FFFFFF"/>
            <w:noWrap/>
            <w:tcMar>
              <w:top w:w="15" w:type="dxa"/>
              <w:left w:w="15" w:type="dxa"/>
              <w:bottom w:w="0" w:type="dxa"/>
              <w:right w:w="15" w:type="dxa"/>
            </w:tcMar>
            <w:vAlign w:val="bottom"/>
            <w:hideMark/>
          </w:tcPr>
          <w:p w14:paraId="5CDC5D91" w14:textId="77777777" w:rsidR="00E61341" w:rsidRPr="0064579A" w:rsidRDefault="00E61341">
            <w:pPr>
              <w:jc w:val="center"/>
              <w:rPr>
                <w:rFonts w:ascii="Times Roman" w:hAnsi="Times Roman"/>
                <w:color w:val="000000"/>
                <w:lang w:val="fr-FR"/>
              </w:rPr>
            </w:pPr>
            <w:r w:rsidRPr="0064579A">
              <w:rPr>
                <w:rFonts w:ascii="Times Roman" w:hAnsi="Times Roman" w:hint="eastAsia"/>
                <w:color w:val="000000"/>
                <w:lang w:val="fr-FR"/>
              </w:rPr>
              <w:t> </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bottom"/>
            <w:hideMark/>
          </w:tcPr>
          <w:p w14:paraId="0CFE7AAA" w14:textId="77777777" w:rsidR="00E61341" w:rsidRDefault="00E61341">
            <w:pPr>
              <w:jc w:val="center"/>
              <w:rPr>
                <w:rFonts w:ascii="Times Roman" w:hAnsi="Times Roman"/>
                <w:b/>
                <w:bCs/>
                <w:color w:val="000000"/>
              </w:rPr>
            </w:pPr>
            <w:r>
              <w:rPr>
                <w:rFonts w:ascii="Times Roman" w:hAnsi="Times Roman"/>
                <w:b/>
                <w:bCs/>
                <w:color w:val="000000"/>
                <w:vertAlign w:val="superscript"/>
              </w:rPr>
              <w:t>87</w:t>
            </w:r>
            <w:r>
              <w:rPr>
                <w:rFonts w:ascii="Times Roman" w:hAnsi="Times Roman"/>
                <w:b/>
                <w:bCs/>
                <w:color w:val="000000"/>
              </w:rPr>
              <w:t>Sr/</w:t>
            </w:r>
            <w:r>
              <w:rPr>
                <w:rFonts w:ascii="Times Roman" w:hAnsi="Times Roman"/>
                <w:b/>
                <w:bCs/>
                <w:color w:val="000000"/>
                <w:vertAlign w:val="superscript"/>
              </w:rPr>
              <w:t>86</w:t>
            </w:r>
            <w:r>
              <w:rPr>
                <w:rFonts w:ascii="Times Roman" w:hAnsi="Times Roman"/>
                <w:b/>
                <w:bCs/>
                <w:color w:val="000000"/>
              </w:rPr>
              <w:t>Sr</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19B49052" w14:textId="77777777" w:rsidR="00E61341" w:rsidRDefault="00E61341">
            <w:pPr>
              <w:jc w:val="center"/>
              <w:rPr>
                <w:rFonts w:ascii="Times Roman" w:hAnsi="Times Roman"/>
                <w:b/>
                <w:bCs/>
                <w:color w:val="000000"/>
              </w:rPr>
            </w:pPr>
            <w:r>
              <w:rPr>
                <w:rFonts w:ascii="Times Roman" w:hAnsi="Times Roman"/>
                <w:b/>
                <w:bCs/>
                <w:color w:val="000000"/>
              </w:rPr>
              <w:t>SD</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3F1154FC" w14:textId="77777777" w:rsidR="00E61341" w:rsidRDefault="00E61341">
            <w:pPr>
              <w:jc w:val="center"/>
              <w:rPr>
                <w:rFonts w:ascii="Times Roman" w:hAnsi="Times Roman"/>
                <w:b/>
                <w:bCs/>
                <w:color w:val="000000"/>
              </w:rPr>
            </w:pPr>
            <w:r>
              <w:rPr>
                <w:rFonts w:ascii="Times Roman" w:hAnsi="Times Roman"/>
                <w:b/>
                <w:bCs/>
                <w:color w:val="000000"/>
              </w:rPr>
              <w:t>n</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16F60E0F" w14:textId="77777777" w:rsidR="00E61341" w:rsidRDefault="00E61341">
            <w:pPr>
              <w:jc w:val="center"/>
              <w:rPr>
                <w:rFonts w:ascii="Times Roman" w:hAnsi="Times Roman"/>
                <w:b/>
                <w:bCs/>
                <w:color w:val="000000"/>
              </w:rPr>
            </w:pPr>
            <w:r>
              <w:rPr>
                <w:rFonts w:ascii="Times Roman" w:hAnsi="Times Roman"/>
                <w:b/>
                <w:bCs/>
                <w:color w:val="000000"/>
                <w:vertAlign w:val="superscript"/>
              </w:rPr>
              <w:t>87</w:t>
            </w:r>
            <w:r>
              <w:rPr>
                <w:rFonts w:ascii="Times Roman" w:hAnsi="Times Roman"/>
                <w:b/>
                <w:bCs/>
                <w:color w:val="000000"/>
              </w:rPr>
              <w:t>Sr/</w:t>
            </w:r>
            <w:r>
              <w:rPr>
                <w:rFonts w:ascii="Times Roman" w:hAnsi="Times Roman"/>
                <w:b/>
                <w:bCs/>
                <w:color w:val="000000"/>
                <w:vertAlign w:val="superscript"/>
              </w:rPr>
              <w:t>86</w:t>
            </w:r>
            <w:r>
              <w:rPr>
                <w:rFonts w:ascii="Times Roman" w:hAnsi="Times Roman"/>
                <w:b/>
                <w:bCs/>
                <w:color w:val="000000"/>
              </w:rPr>
              <w:t>Sr</w:t>
            </w:r>
          </w:p>
        </w:tc>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14:paraId="78860600" w14:textId="77777777" w:rsidR="00E61341" w:rsidRDefault="00E61341">
            <w:pPr>
              <w:jc w:val="center"/>
              <w:rPr>
                <w:rFonts w:ascii="Times Roman" w:hAnsi="Times Roman"/>
                <w:b/>
                <w:bCs/>
                <w:color w:val="000000"/>
              </w:rPr>
            </w:pPr>
            <w:r>
              <w:rPr>
                <w:rFonts w:ascii="Times Roman" w:hAnsi="Times Roman"/>
                <w:b/>
                <w:bCs/>
                <w:color w:val="000000"/>
              </w:rPr>
              <w:t> </w:t>
            </w:r>
          </w:p>
        </w:tc>
        <w:tc>
          <w:tcPr>
            <w:tcW w:w="0" w:type="auto"/>
            <w:tcBorders>
              <w:top w:val="nil"/>
              <w:left w:val="nil"/>
              <w:bottom w:val="nil"/>
              <w:right w:val="single" w:sz="4" w:space="0" w:color="auto"/>
            </w:tcBorders>
            <w:shd w:val="clear" w:color="000000" w:fill="FFFFFF"/>
            <w:noWrap/>
            <w:tcMar>
              <w:top w:w="15" w:type="dxa"/>
              <w:left w:w="15" w:type="dxa"/>
              <w:bottom w:w="0" w:type="dxa"/>
              <w:right w:w="15" w:type="dxa"/>
            </w:tcMar>
            <w:vAlign w:val="bottom"/>
            <w:hideMark/>
          </w:tcPr>
          <w:p w14:paraId="48A122D0" w14:textId="77777777" w:rsidR="00E61341" w:rsidRDefault="00E61341">
            <w:pPr>
              <w:jc w:val="center"/>
              <w:rPr>
                <w:rFonts w:ascii="Times Roman" w:hAnsi="Times Roman"/>
                <w:b/>
                <w:bCs/>
                <w:color w:val="000000"/>
              </w:rPr>
            </w:pPr>
            <w:r>
              <w:rPr>
                <w:rFonts w:ascii="Times Roman" w:hAnsi="Times Roman"/>
                <w:b/>
                <w:bCs/>
                <w:color w:val="000000"/>
              </w:rPr>
              <w:t>References</w:t>
            </w:r>
          </w:p>
        </w:tc>
      </w:tr>
      <w:tr w:rsidR="00E61341" w14:paraId="5D58419A" w14:textId="77777777" w:rsidTr="0064579A">
        <w:trPr>
          <w:trHeight w:val="295"/>
        </w:trPr>
        <w:tc>
          <w:tcPr>
            <w:tcW w:w="0" w:type="auto"/>
            <w:tcBorders>
              <w:top w:val="nil"/>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5E7E3831" w14:textId="77777777" w:rsidR="00E61341" w:rsidRDefault="00E61341">
            <w:pPr>
              <w:jc w:val="center"/>
              <w:rPr>
                <w:rFonts w:ascii="Times Roman" w:hAnsi="Times Roman"/>
                <w:color w:val="000000"/>
              </w:rPr>
            </w:pPr>
            <w:r>
              <w:rPr>
                <w:rFonts w:ascii="Times Roman" w:hAnsi="Times Roman"/>
                <w:color w:val="000000"/>
              </w:rPr>
              <w:t>SRM 1486</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2B3E8DB0" w14:textId="77777777" w:rsidR="00E61341" w:rsidRDefault="00E61341">
            <w:pPr>
              <w:jc w:val="center"/>
              <w:rPr>
                <w:rFonts w:ascii="Times Roman" w:hAnsi="Times Roman"/>
                <w:color w:val="000000"/>
              </w:rPr>
            </w:pPr>
            <w:r>
              <w:rPr>
                <w:rFonts w:ascii="Times Roman" w:hAnsi="Times Roman"/>
                <w:color w:val="000000"/>
              </w:rPr>
              <w:t>0.7093</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19CE6345" w14:textId="77777777" w:rsidR="00E61341" w:rsidRDefault="00E61341">
            <w:pPr>
              <w:jc w:val="center"/>
              <w:rPr>
                <w:rFonts w:ascii="Times Roman" w:hAnsi="Times Roman"/>
                <w:color w:val="000000"/>
              </w:rPr>
            </w:pPr>
            <w:r>
              <w:rPr>
                <w:rFonts w:ascii="Times Roman" w:hAnsi="Times Roman"/>
                <w:color w:val="000000"/>
              </w:rPr>
              <w:t>2E-05</w:t>
            </w:r>
          </w:p>
        </w:tc>
        <w:tc>
          <w:tcPr>
            <w:tcW w:w="0" w:type="auto"/>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1DC308BD" w14:textId="77777777" w:rsidR="00E61341" w:rsidRDefault="00E61341">
            <w:pPr>
              <w:jc w:val="center"/>
              <w:rPr>
                <w:rFonts w:ascii="Times Roman" w:hAnsi="Times Roman"/>
                <w:color w:val="000000"/>
              </w:rPr>
            </w:pPr>
            <w:r>
              <w:rPr>
                <w:rFonts w:ascii="Times Roman" w:hAnsi="Times Roman"/>
                <w:color w:val="000000"/>
              </w:rPr>
              <w:t>7</w:t>
            </w:r>
          </w:p>
        </w:tc>
        <w:tc>
          <w:tcPr>
            <w:tcW w:w="0" w:type="auto"/>
            <w:tcBorders>
              <w:top w:val="nil"/>
              <w:left w:val="single" w:sz="4" w:space="0" w:color="auto"/>
              <w:bottom w:val="single" w:sz="4" w:space="0" w:color="auto"/>
              <w:right w:val="nil"/>
            </w:tcBorders>
            <w:shd w:val="clear" w:color="000000" w:fill="FFFFFF"/>
            <w:noWrap/>
            <w:tcMar>
              <w:top w:w="15" w:type="dxa"/>
              <w:left w:w="15" w:type="dxa"/>
              <w:bottom w:w="0" w:type="dxa"/>
              <w:right w:w="15" w:type="dxa"/>
            </w:tcMar>
            <w:vAlign w:val="bottom"/>
            <w:hideMark/>
          </w:tcPr>
          <w:p w14:paraId="5E32F6C0" w14:textId="77777777" w:rsidR="00E61341" w:rsidRDefault="00E61341">
            <w:pPr>
              <w:jc w:val="center"/>
              <w:rPr>
                <w:rFonts w:ascii="Times Roman" w:hAnsi="Times Roman"/>
                <w:color w:val="000000"/>
              </w:rPr>
            </w:pPr>
            <w:r>
              <w:rPr>
                <w:rFonts w:ascii="Times Roman" w:hAnsi="Times Roman"/>
                <w:color w:val="000000"/>
              </w:rPr>
              <w:t>0.703</w:t>
            </w:r>
          </w:p>
        </w:tc>
        <w:tc>
          <w:tcPr>
            <w:tcW w:w="0" w:type="auto"/>
            <w:tcBorders>
              <w:top w:val="single" w:sz="4"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64311783" w14:textId="77777777" w:rsidR="00E61341" w:rsidRDefault="00E61341">
            <w:pPr>
              <w:jc w:val="center"/>
              <w:rPr>
                <w:rFonts w:ascii="Times Roman" w:hAnsi="Times Roman"/>
                <w:color w:val="000000"/>
              </w:rPr>
            </w:pPr>
            <w:r>
              <w:rPr>
                <w:rFonts w:ascii="Times Roman" w:hAnsi="Times Roman"/>
                <w:color w:val="000000"/>
              </w:rPr>
              <w:t>3E-05</w:t>
            </w:r>
          </w:p>
        </w:tc>
        <w:tc>
          <w:tcPr>
            <w:tcW w:w="0" w:type="auto"/>
            <w:tcBorders>
              <w:top w:val="single" w:sz="4" w:space="0" w:color="auto"/>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4A5FEEC8" w14:textId="77777777" w:rsidR="00E61341" w:rsidRDefault="00E61341">
            <w:pPr>
              <w:jc w:val="center"/>
              <w:rPr>
                <w:rFonts w:ascii="Times Roman" w:hAnsi="Times Roman"/>
                <w:color w:val="000000"/>
              </w:rPr>
            </w:pPr>
            <w:r>
              <w:rPr>
                <w:rFonts w:ascii="Times Roman" w:hAnsi="Times Roman"/>
                <w:color w:val="000000"/>
              </w:rPr>
              <w:t>Long term value at MPI-EVA, n=137</w:t>
            </w:r>
          </w:p>
        </w:tc>
      </w:tr>
    </w:tbl>
    <w:p w14:paraId="5D4D0405" w14:textId="6EA0184B" w:rsidR="004D0B64" w:rsidRDefault="004D0B64" w:rsidP="004D0B64">
      <w:pPr>
        <w:spacing w:before="240" w:after="240" w:line="360" w:lineRule="auto"/>
        <w:rPr>
          <w:rFonts w:ascii="Times New Roman" w:eastAsia="Times New Roman" w:hAnsi="Times New Roman" w:cs="Times New Roman"/>
          <w:b/>
          <w:sz w:val="24"/>
          <w:szCs w:val="24"/>
        </w:rPr>
      </w:pPr>
    </w:p>
    <w:p w14:paraId="7EFB0A40" w14:textId="77777777" w:rsidR="004D0B64" w:rsidRPr="003C7995" w:rsidRDefault="004D0B64" w:rsidP="004D0B64">
      <w:pPr>
        <w:spacing w:after="200" w:line="360" w:lineRule="auto"/>
        <w:jc w:val="both"/>
        <w:rPr>
          <w:rFonts w:ascii="Times New Roman" w:eastAsia="Times New Roman" w:hAnsi="Times New Roman" w:cs="Times New Roman"/>
          <w:color w:val="000000"/>
          <w:sz w:val="24"/>
          <w:szCs w:val="24"/>
          <w:lang w:eastAsia="en-US"/>
        </w:rPr>
      </w:pPr>
      <w:r w:rsidRPr="00AA21F6">
        <w:rPr>
          <w:rFonts w:ascii="Times New Roman" w:eastAsia="Times New Roman" w:hAnsi="Times New Roman" w:cs="Times New Roman"/>
          <w:color w:val="000000"/>
          <w:sz w:val="24"/>
          <w:szCs w:val="24"/>
          <w:lang w:eastAsia="en-US"/>
        </w:rPr>
        <w:t>The weight percentage of carbon</w:t>
      </w:r>
      <w:r>
        <w:rPr>
          <w:rFonts w:ascii="Times New Roman" w:eastAsia="Times New Roman" w:hAnsi="Times New Roman" w:cs="Times New Roman"/>
          <w:color w:val="000000"/>
          <w:sz w:val="24"/>
          <w:szCs w:val="24"/>
          <w:lang w:eastAsia="en-US"/>
        </w:rPr>
        <w:t xml:space="preserve"> </w:t>
      </w:r>
      <w:r w:rsidRPr="003C7995">
        <w:rPr>
          <w:rFonts w:ascii="Times New Roman" w:eastAsia="Times New Roman" w:hAnsi="Times New Roman" w:cs="Times New Roman"/>
          <w:sz w:val="24"/>
          <w:szCs w:val="24"/>
          <w:highlight w:val="white"/>
        </w:rPr>
        <w:t>(</w:t>
      </w:r>
      <w:proofErr w:type="spellStart"/>
      <w:r w:rsidRPr="003C7995">
        <w:rPr>
          <w:rFonts w:ascii="Times New Roman" w:eastAsia="Times New Roman" w:hAnsi="Times New Roman" w:cs="Times New Roman"/>
          <w:sz w:val="24"/>
          <w:szCs w:val="24"/>
          <w:highlight w:val="white"/>
        </w:rPr>
        <w:t>wt</w:t>
      </w:r>
      <w:proofErr w:type="spellEnd"/>
      <w:r w:rsidRPr="003C7995">
        <w:rPr>
          <w:rFonts w:ascii="Times New Roman" w:eastAsia="Times New Roman" w:hAnsi="Times New Roman" w:cs="Times New Roman"/>
          <w:sz w:val="24"/>
          <w:szCs w:val="24"/>
          <w:highlight w:val="white"/>
        </w:rPr>
        <w:t>% C) and nitrogen (</w:t>
      </w:r>
      <w:proofErr w:type="spellStart"/>
      <w:r w:rsidRPr="003C7995">
        <w:rPr>
          <w:rFonts w:ascii="Times New Roman" w:eastAsia="Times New Roman" w:hAnsi="Times New Roman" w:cs="Times New Roman"/>
          <w:sz w:val="24"/>
          <w:szCs w:val="24"/>
          <w:highlight w:val="white"/>
        </w:rPr>
        <w:t>wt</w:t>
      </w:r>
      <w:proofErr w:type="spellEnd"/>
      <w:r w:rsidRPr="003C7995">
        <w:rPr>
          <w:rFonts w:ascii="Times New Roman" w:eastAsia="Times New Roman" w:hAnsi="Times New Roman" w:cs="Times New Roman"/>
          <w:sz w:val="24"/>
          <w:szCs w:val="24"/>
          <w:highlight w:val="white"/>
        </w:rPr>
        <w:t>% N) in samples</w:t>
      </w:r>
      <w:r w:rsidRPr="00AA21F6">
        <w:rPr>
          <w:rFonts w:ascii="Times New Roman" w:eastAsia="Times New Roman" w:hAnsi="Times New Roman" w:cs="Times New Roman"/>
          <w:color w:val="000000"/>
          <w:sz w:val="24"/>
          <w:szCs w:val="24"/>
          <w:lang w:eastAsia="en-US"/>
        </w:rPr>
        <w:t xml:space="preserve"> ranges respectively from </w:t>
      </w:r>
      <w:r>
        <w:rPr>
          <w:rFonts w:ascii="Times New Roman" w:eastAsia="Times New Roman" w:hAnsi="Times New Roman" w:cs="Times New Roman"/>
          <w:color w:val="000000"/>
          <w:sz w:val="24"/>
          <w:szCs w:val="24"/>
          <w:lang w:eastAsia="en-US"/>
        </w:rPr>
        <w:t>47.8</w:t>
      </w:r>
      <w:r w:rsidRPr="00AA21F6">
        <w:rPr>
          <w:rFonts w:ascii="Times New Roman" w:eastAsia="Times New Roman" w:hAnsi="Times New Roman" w:cs="Times New Roman"/>
          <w:color w:val="000000"/>
          <w:sz w:val="24"/>
          <w:szCs w:val="24"/>
          <w:lang w:eastAsia="en-US"/>
        </w:rPr>
        <w:t xml:space="preserve"> to </w:t>
      </w:r>
      <w:r>
        <w:rPr>
          <w:rFonts w:ascii="Times New Roman" w:eastAsia="Times New Roman" w:hAnsi="Times New Roman" w:cs="Times New Roman"/>
          <w:color w:val="000000"/>
          <w:sz w:val="24"/>
          <w:szCs w:val="24"/>
          <w:lang w:eastAsia="en-US"/>
        </w:rPr>
        <w:t>14.4</w:t>
      </w:r>
      <w:r w:rsidRPr="00AA21F6">
        <w:rPr>
          <w:rFonts w:ascii="Times New Roman" w:eastAsia="Times New Roman" w:hAnsi="Times New Roman" w:cs="Times New Roman"/>
          <w:color w:val="000000"/>
          <w:sz w:val="24"/>
          <w:szCs w:val="24"/>
          <w:lang w:eastAsia="en-US"/>
        </w:rPr>
        <w:t xml:space="preserve">% and </w:t>
      </w:r>
      <w:r>
        <w:rPr>
          <w:rFonts w:ascii="Times New Roman" w:eastAsia="Times New Roman" w:hAnsi="Times New Roman" w:cs="Times New Roman"/>
          <w:color w:val="000000"/>
          <w:sz w:val="24"/>
          <w:szCs w:val="24"/>
          <w:lang w:eastAsia="en-US"/>
        </w:rPr>
        <w:t>17.1</w:t>
      </w:r>
      <w:r w:rsidRPr="00AA21F6">
        <w:rPr>
          <w:rFonts w:ascii="Times New Roman" w:eastAsia="Times New Roman" w:hAnsi="Times New Roman" w:cs="Times New Roman"/>
          <w:color w:val="000000"/>
          <w:sz w:val="24"/>
          <w:szCs w:val="24"/>
          <w:lang w:eastAsia="en-US"/>
        </w:rPr>
        <w:t xml:space="preserve"> to </w:t>
      </w:r>
      <w:r>
        <w:rPr>
          <w:rFonts w:ascii="Times New Roman" w:eastAsia="Times New Roman" w:hAnsi="Times New Roman" w:cs="Times New Roman"/>
          <w:color w:val="000000"/>
          <w:sz w:val="24"/>
          <w:szCs w:val="24"/>
          <w:lang w:eastAsia="en-US"/>
        </w:rPr>
        <w:t>5.6</w:t>
      </w:r>
      <w:r w:rsidRPr="00AA21F6">
        <w:rPr>
          <w:rFonts w:ascii="Times New Roman" w:eastAsia="Times New Roman" w:hAnsi="Times New Roman" w:cs="Times New Roman"/>
          <w:color w:val="000000"/>
          <w:sz w:val="24"/>
          <w:szCs w:val="24"/>
          <w:lang w:eastAsia="en-US"/>
        </w:rPr>
        <w:t>% and the atomic ratio fall within the acceptable range (</w:t>
      </w:r>
      <w:r>
        <w:rPr>
          <w:rFonts w:ascii="Times New Roman" w:eastAsia="Times New Roman" w:hAnsi="Times New Roman" w:cs="Times New Roman"/>
          <w:color w:val="000000"/>
          <w:sz w:val="24"/>
          <w:szCs w:val="24"/>
          <w:lang w:eastAsia="en-US"/>
        </w:rPr>
        <w:t>3.0</w:t>
      </w:r>
      <w:r w:rsidRPr="00AA21F6">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3.3</w:t>
      </w:r>
      <w:r w:rsidRPr="00AA21F6">
        <w:rPr>
          <w:rFonts w:ascii="Times New Roman" w:eastAsia="Times New Roman" w:hAnsi="Times New Roman" w:cs="Times New Roman"/>
          <w:color w:val="000000"/>
          <w:sz w:val="24"/>
          <w:szCs w:val="24"/>
          <w:lang w:eastAsia="en-US"/>
        </w:rPr>
        <w:t xml:space="preserve">). </w:t>
      </w:r>
      <w:r w:rsidRPr="00D70D43">
        <w:rPr>
          <w:rFonts w:ascii="Times New Roman" w:eastAsia="Times New Roman" w:hAnsi="Times New Roman" w:cs="Times New Roman"/>
          <w:sz w:val="24"/>
          <w:szCs w:val="24"/>
          <w:highlight w:val="white"/>
        </w:rPr>
        <w:t>We were able to extract enough collagen to conduct CSIA for 54% of the samples and Sulphur isotope analyses for 3 samples.</w:t>
      </w:r>
      <w:r>
        <w:rPr>
          <w:rFonts w:ascii="Times New Roman" w:eastAsia="Times New Roman" w:hAnsi="Times New Roman" w:cs="Times New Roman"/>
          <w:sz w:val="24"/>
          <w:szCs w:val="24"/>
          <w:highlight w:val="white"/>
        </w:rPr>
        <w:t xml:space="preserve"> </w:t>
      </w:r>
    </w:p>
    <w:p w14:paraId="73E5DAF5" w14:textId="626AB1AB" w:rsidR="004D0B64" w:rsidRDefault="004D0B64" w:rsidP="004D0B64">
      <w:pPr>
        <w:pBdr>
          <w:top w:val="nil"/>
          <w:left w:val="nil"/>
          <w:bottom w:val="nil"/>
          <w:right w:val="nil"/>
          <w:between w:val="nil"/>
        </w:pBdr>
        <w:spacing w:after="240" w:line="360" w:lineRule="auto"/>
        <w:jc w:val="both"/>
        <w:rPr>
          <w:rFonts w:ascii="Times New Roman" w:hAnsi="Times New Roman" w:cs="Times New Roman"/>
          <w:sz w:val="24"/>
          <w:szCs w:val="24"/>
        </w:rPr>
      </w:pPr>
      <w:r>
        <w:rPr>
          <w:rFonts w:ascii="Times New Roman" w:hAnsi="Times New Roman" w:cs="Times New Roman"/>
          <w:sz w:val="24"/>
          <w:szCs w:val="24"/>
        </w:rPr>
        <w:t>Reference materials were analyzed along with the samples and gave results consistent with the expected values (Table S4.2)</w:t>
      </w:r>
      <w:r w:rsidR="004F79D0">
        <w:rPr>
          <w:rFonts w:ascii="Times New Roman" w:hAnsi="Times New Roman" w:cs="Times New Roman"/>
          <w:sz w:val="24"/>
          <w:szCs w:val="24"/>
        </w:rPr>
        <w:t xml:space="preserve">. </w:t>
      </w:r>
      <w:r w:rsidR="004F79D0">
        <w:rPr>
          <w:rFonts w:ascii="Times New Roman" w:eastAsia="Times New Roman" w:hAnsi="Times New Roman" w:cs="Times New Roman"/>
          <w:sz w:val="24"/>
          <w:szCs w:val="24"/>
        </w:rPr>
        <w:t xml:space="preserve">Sulphur isotope ratios were commercially analyzed by the society </w:t>
      </w:r>
      <w:proofErr w:type="spellStart"/>
      <w:r w:rsidR="004F79D0">
        <w:rPr>
          <w:rFonts w:ascii="Times New Roman" w:eastAsia="Times New Roman" w:hAnsi="Times New Roman" w:cs="Times New Roman"/>
          <w:sz w:val="24"/>
          <w:szCs w:val="24"/>
        </w:rPr>
        <w:t>Isoanalytical</w:t>
      </w:r>
      <w:proofErr w:type="spellEnd"/>
      <w:r w:rsidR="004F79D0">
        <w:rPr>
          <w:rFonts w:ascii="Times New Roman" w:eastAsia="Times New Roman" w:hAnsi="Times New Roman" w:cs="Times New Roman"/>
          <w:sz w:val="24"/>
          <w:szCs w:val="24"/>
        </w:rPr>
        <w:t xml:space="preserve"> are given in the Table S4.3</w:t>
      </w:r>
    </w:p>
    <w:p w14:paraId="5ADF25F5" w14:textId="77777777" w:rsidR="00E61341" w:rsidRDefault="00E61341" w:rsidP="004D0B64">
      <w:pPr>
        <w:pBdr>
          <w:top w:val="nil"/>
          <w:left w:val="nil"/>
          <w:bottom w:val="nil"/>
          <w:right w:val="nil"/>
          <w:between w:val="nil"/>
        </w:pBdr>
        <w:spacing w:after="240" w:line="360" w:lineRule="auto"/>
        <w:jc w:val="both"/>
        <w:rPr>
          <w:rFonts w:ascii="Times New Roman" w:hAnsi="Times New Roman" w:cs="Times New Roman"/>
          <w:sz w:val="24"/>
          <w:szCs w:val="24"/>
        </w:rPr>
      </w:pPr>
    </w:p>
    <w:p w14:paraId="78D9C257" w14:textId="44067F69" w:rsidR="00E61341" w:rsidRPr="004F79D0" w:rsidRDefault="004F79D0" w:rsidP="004F79D0">
      <w:pPr>
        <w:spacing w:before="240" w:after="240" w:line="360" w:lineRule="auto"/>
        <w:rPr>
          <w:rFonts w:ascii="Times New Roman" w:eastAsia="Times New Roman" w:hAnsi="Times New Roman" w:cs="Times New Roman"/>
          <w:sz w:val="24"/>
          <w:szCs w:val="24"/>
        </w:rPr>
      </w:pPr>
      <w:bookmarkStart w:id="27" w:name="_Hlk137040028"/>
      <w:r w:rsidRPr="0056199B">
        <w:rPr>
          <w:rFonts w:ascii="Times New Roman" w:hAnsi="Times New Roman" w:cs="Times New Roman"/>
          <w:b/>
          <w:sz w:val="24"/>
          <w:szCs w:val="24"/>
        </w:rPr>
        <w:t xml:space="preserve">Table </w:t>
      </w:r>
      <w:r w:rsidRPr="0064579A">
        <w:rPr>
          <w:rFonts w:ascii="Times New Roman" w:hAnsi="Times New Roman" w:cs="Times New Roman"/>
          <w:b/>
          <w:sz w:val="24"/>
          <w:szCs w:val="24"/>
        </w:rPr>
        <w:t>4.2</w:t>
      </w:r>
      <w:r w:rsidRPr="0064579A">
        <w:rPr>
          <w:rFonts w:ascii="Times New Roman" w:hAnsi="Times New Roman" w:cs="Times New Roman"/>
          <w:sz w:val="24"/>
          <w:szCs w:val="24"/>
        </w:rPr>
        <w:t xml:space="preserve">: </w:t>
      </w:r>
      <w:r w:rsidRPr="0064579A">
        <w:rPr>
          <w:rFonts w:ascii="Times New Roman" w:eastAsia="Times New Roman" w:hAnsi="Times New Roman" w:cs="Times New Roman"/>
          <w:sz w:val="24"/>
          <w:szCs w:val="24"/>
        </w:rPr>
        <w:t xml:space="preserve">Carbon and N isotope ratios of reference materials from this study and literature data. </w:t>
      </w:r>
    </w:p>
    <w:tbl>
      <w:tblPr>
        <w:tblW w:w="0" w:type="auto"/>
        <w:tblLook w:val="04A0" w:firstRow="1" w:lastRow="0" w:firstColumn="1" w:lastColumn="0" w:noHBand="0" w:noVBand="1"/>
      </w:tblPr>
      <w:tblGrid>
        <w:gridCol w:w="1514"/>
        <w:gridCol w:w="1592"/>
        <w:gridCol w:w="1336"/>
        <w:gridCol w:w="636"/>
        <w:gridCol w:w="1134"/>
        <w:gridCol w:w="636"/>
        <w:gridCol w:w="1373"/>
        <w:gridCol w:w="1134"/>
      </w:tblGrid>
      <w:tr w:rsidR="00E61341" w:rsidRPr="00E61341" w14:paraId="1F9A837E" w14:textId="77777777" w:rsidTr="0064579A">
        <w:trPr>
          <w:trHeight w:val="300"/>
        </w:trPr>
        <w:tc>
          <w:tcPr>
            <w:tcW w:w="0" w:type="auto"/>
            <w:tcBorders>
              <w:top w:val="nil"/>
              <w:left w:val="nil"/>
              <w:bottom w:val="nil"/>
              <w:right w:val="single" w:sz="4" w:space="0" w:color="auto"/>
            </w:tcBorders>
            <w:shd w:val="clear" w:color="000000" w:fill="FFFFFF"/>
            <w:noWrap/>
            <w:vAlign w:val="bottom"/>
            <w:hideMark/>
          </w:tcPr>
          <w:bookmarkEnd w:id="27"/>
          <w:p w14:paraId="65486B34" w14:textId="77777777" w:rsidR="00E61341" w:rsidRPr="00E61341" w:rsidRDefault="00E61341" w:rsidP="00E61341">
            <w:pPr>
              <w:spacing w:after="0" w:line="240" w:lineRule="auto"/>
              <w:jc w:val="center"/>
              <w:rPr>
                <w:rFonts w:ascii="Times Roman" w:eastAsia="Times New Roman" w:hAnsi="Times Roman"/>
                <w:color w:val="000000"/>
                <w:lang w:eastAsia="en-US"/>
              </w:rPr>
            </w:pPr>
            <w:r w:rsidRPr="00E61341">
              <w:rPr>
                <w:rFonts w:ascii="Times Roman" w:eastAsia="Times New Roman" w:hAnsi="Times Roman"/>
                <w:color w:val="000000"/>
                <w:lang w:eastAsia="en-US"/>
              </w:rPr>
              <w:t> </w:t>
            </w:r>
          </w:p>
        </w:tc>
        <w:tc>
          <w:tcPr>
            <w:tcW w:w="0" w:type="auto"/>
            <w:tcBorders>
              <w:top w:val="single" w:sz="4" w:space="0" w:color="auto"/>
              <w:left w:val="nil"/>
              <w:bottom w:val="nil"/>
              <w:right w:val="nil"/>
            </w:tcBorders>
            <w:shd w:val="clear" w:color="000000" w:fill="FFFFFF"/>
            <w:noWrap/>
            <w:vAlign w:val="bottom"/>
            <w:hideMark/>
          </w:tcPr>
          <w:p w14:paraId="26459A5C" w14:textId="77777777" w:rsidR="00E61341" w:rsidRPr="00E61341" w:rsidRDefault="00E61341" w:rsidP="00E61341">
            <w:pPr>
              <w:spacing w:after="0" w:line="240" w:lineRule="auto"/>
              <w:jc w:val="center"/>
              <w:rPr>
                <w:rFonts w:ascii="Times Roman" w:eastAsia="Times New Roman" w:hAnsi="Times Roman"/>
                <w:color w:val="000000"/>
                <w:lang w:eastAsia="en-US"/>
              </w:rPr>
            </w:pPr>
            <w:r w:rsidRPr="00E61341">
              <w:rPr>
                <w:rFonts w:ascii="Times Roman" w:eastAsia="Times New Roman" w:hAnsi="Times Roman"/>
                <w:color w:val="000000"/>
                <w:lang w:eastAsia="en-US"/>
              </w:rPr>
              <w:t> </w:t>
            </w:r>
          </w:p>
        </w:tc>
        <w:tc>
          <w:tcPr>
            <w:tcW w:w="0" w:type="auto"/>
            <w:gridSpan w:val="4"/>
            <w:tcBorders>
              <w:top w:val="single" w:sz="4" w:space="0" w:color="auto"/>
              <w:left w:val="nil"/>
              <w:bottom w:val="single" w:sz="4" w:space="0" w:color="auto"/>
              <w:right w:val="nil"/>
            </w:tcBorders>
            <w:shd w:val="clear" w:color="000000" w:fill="FFFFFF"/>
            <w:noWrap/>
            <w:vAlign w:val="bottom"/>
            <w:hideMark/>
          </w:tcPr>
          <w:p w14:paraId="573F878C" w14:textId="77777777" w:rsidR="00E61341" w:rsidRPr="00E61341" w:rsidRDefault="00E61341" w:rsidP="00E61341">
            <w:pPr>
              <w:spacing w:after="0" w:line="240" w:lineRule="auto"/>
              <w:jc w:val="center"/>
              <w:rPr>
                <w:rFonts w:ascii="Times Roman" w:eastAsia="Times New Roman" w:hAnsi="Times Roman"/>
                <w:b/>
                <w:bCs/>
                <w:color w:val="000000"/>
                <w:lang w:eastAsia="en-US"/>
              </w:rPr>
            </w:pPr>
            <w:r w:rsidRPr="00E61341">
              <w:rPr>
                <w:rFonts w:ascii="Times Roman" w:eastAsia="Times New Roman" w:hAnsi="Times Roman"/>
                <w:b/>
                <w:bCs/>
                <w:color w:val="000000"/>
                <w:lang w:eastAsia="en-US"/>
              </w:rPr>
              <w:t>This study</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3B3FF4AE" w14:textId="77777777" w:rsidR="00E61341" w:rsidRPr="00E61341" w:rsidRDefault="00E61341" w:rsidP="00E61341">
            <w:pPr>
              <w:spacing w:after="0" w:line="240" w:lineRule="auto"/>
              <w:jc w:val="center"/>
              <w:rPr>
                <w:rFonts w:ascii="Times Roman" w:eastAsia="Times New Roman" w:hAnsi="Times Roman"/>
                <w:b/>
                <w:bCs/>
                <w:color w:val="000000"/>
                <w:lang w:eastAsia="en-US"/>
              </w:rPr>
            </w:pPr>
            <w:r w:rsidRPr="00E61341">
              <w:rPr>
                <w:rFonts w:ascii="Times Roman" w:eastAsia="Times New Roman" w:hAnsi="Times Roman"/>
                <w:b/>
                <w:bCs/>
                <w:color w:val="000000"/>
                <w:lang w:eastAsia="en-US"/>
              </w:rPr>
              <w:t>Expected values</w:t>
            </w:r>
          </w:p>
        </w:tc>
      </w:tr>
      <w:tr w:rsidR="00E61341" w:rsidRPr="00E61341" w14:paraId="729E4DF9" w14:textId="77777777" w:rsidTr="00E61341">
        <w:trPr>
          <w:trHeight w:val="690"/>
        </w:trPr>
        <w:tc>
          <w:tcPr>
            <w:tcW w:w="0" w:type="auto"/>
            <w:tcBorders>
              <w:top w:val="nil"/>
              <w:left w:val="nil"/>
              <w:bottom w:val="nil"/>
              <w:right w:val="single" w:sz="4" w:space="0" w:color="auto"/>
            </w:tcBorders>
            <w:shd w:val="clear" w:color="000000" w:fill="FFFFFF"/>
            <w:vAlign w:val="center"/>
            <w:hideMark/>
          </w:tcPr>
          <w:p w14:paraId="05B328CE"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 xml:space="preserve"> </w:t>
            </w:r>
          </w:p>
        </w:tc>
        <w:tc>
          <w:tcPr>
            <w:tcW w:w="0" w:type="auto"/>
            <w:tcBorders>
              <w:top w:val="single" w:sz="4" w:space="0" w:color="auto"/>
              <w:left w:val="nil"/>
              <w:bottom w:val="single" w:sz="4" w:space="0" w:color="auto"/>
              <w:right w:val="nil"/>
            </w:tcBorders>
            <w:shd w:val="clear" w:color="000000" w:fill="FFFFFF"/>
            <w:vAlign w:val="center"/>
            <w:hideMark/>
          </w:tcPr>
          <w:p w14:paraId="45312ADF"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Material</w:t>
            </w:r>
          </w:p>
        </w:tc>
        <w:tc>
          <w:tcPr>
            <w:tcW w:w="0" w:type="auto"/>
            <w:tcBorders>
              <w:top w:val="nil"/>
              <w:left w:val="nil"/>
              <w:bottom w:val="single" w:sz="4" w:space="0" w:color="auto"/>
              <w:right w:val="nil"/>
            </w:tcBorders>
            <w:shd w:val="clear" w:color="000000" w:fill="FFFFFF"/>
            <w:vAlign w:val="center"/>
            <w:hideMark/>
          </w:tcPr>
          <w:p w14:paraId="0A468428"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δ</w:t>
            </w:r>
            <w:r w:rsidRPr="00E61341">
              <w:rPr>
                <w:rFonts w:ascii="Times Roman" w:eastAsia="Times New Roman" w:hAnsi="Times Roman"/>
                <w:b/>
                <w:bCs/>
                <w:color w:val="000000"/>
                <w:sz w:val="24"/>
                <w:szCs w:val="24"/>
                <w:vertAlign w:val="superscript"/>
                <w:lang w:eastAsia="en-US"/>
              </w:rPr>
              <w:t>13</w:t>
            </w:r>
            <w:r w:rsidRPr="00E61341">
              <w:rPr>
                <w:rFonts w:ascii="Times Roman" w:eastAsia="Times New Roman" w:hAnsi="Times Roman"/>
                <w:b/>
                <w:bCs/>
                <w:color w:val="000000"/>
                <w:sz w:val="24"/>
                <w:szCs w:val="24"/>
                <w:lang w:eastAsia="en-US"/>
              </w:rPr>
              <w:t>C (‰, VPDB)</w:t>
            </w:r>
          </w:p>
        </w:tc>
        <w:tc>
          <w:tcPr>
            <w:tcW w:w="0" w:type="auto"/>
            <w:tcBorders>
              <w:top w:val="nil"/>
              <w:left w:val="nil"/>
              <w:bottom w:val="single" w:sz="4" w:space="0" w:color="auto"/>
              <w:right w:val="nil"/>
            </w:tcBorders>
            <w:shd w:val="clear" w:color="000000" w:fill="FFFFFF"/>
            <w:vAlign w:val="center"/>
            <w:hideMark/>
          </w:tcPr>
          <w:p w14:paraId="4E48AF86"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SD</w:t>
            </w:r>
          </w:p>
        </w:tc>
        <w:tc>
          <w:tcPr>
            <w:tcW w:w="0" w:type="auto"/>
            <w:tcBorders>
              <w:top w:val="nil"/>
              <w:left w:val="nil"/>
              <w:bottom w:val="single" w:sz="4" w:space="0" w:color="auto"/>
              <w:right w:val="nil"/>
            </w:tcBorders>
            <w:shd w:val="clear" w:color="000000" w:fill="FFFFFF"/>
            <w:vAlign w:val="center"/>
            <w:hideMark/>
          </w:tcPr>
          <w:p w14:paraId="55827BF9"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δ</w:t>
            </w:r>
            <w:r w:rsidRPr="00E61341">
              <w:rPr>
                <w:rFonts w:ascii="Times Roman" w:eastAsia="Times New Roman" w:hAnsi="Times Roman"/>
                <w:b/>
                <w:bCs/>
                <w:color w:val="000000"/>
                <w:sz w:val="24"/>
                <w:szCs w:val="24"/>
                <w:vertAlign w:val="superscript"/>
                <w:lang w:eastAsia="en-US"/>
              </w:rPr>
              <w:t>15</w:t>
            </w:r>
            <w:r w:rsidRPr="00E61341">
              <w:rPr>
                <w:rFonts w:ascii="Times Roman" w:eastAsia="Times New Roman" w:hAnsi="Times Roman"/>
                <w:b/>
                <w:bCs/>
                <w:color w:val="000000"/>
                <w:sz w:val="24"/>
                <w:szCs w:val="24"/>
                <w:lang w:eastAsia="en-US"/>
              </w:rPr>
              <w:t>N (‰, AIR)</w:t>
            </w:r>
          </w:p>
        </w:tc>
        <w:tc>
          <w:tcPr>
            <w:tcW w:w="0" w:type="auto"/>
            <w:tcBorders>
              <w:top w:val="nil"/>
              <w:left w:val="nil"/>
              <w:bottom w:val="single" w:sz="4" w:space="0" w:color="auto"/>
              <w:right w:val="nil"/>
            </w:tcBorders>
            <w:shd w:val="clear" w:color="000000" w:fill="FFFFFF"/>
            <w:vAlign w:val="center"/>
            <w:hideMark/>
          </w:tcPr>
          <w:p w14:paraId="09DAE690"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SD</w:t>
            </w:r>
          </w:p>
        </w:tc>
        <w:tc>
          <w:tcPr>
            <w:tcW w:w="0" w:type="auto"/>
            <w:tcBorders>
              <w:top w:val="nil"/>
              <w:left w:val="nil"/>
              <w:bottom w:val="single" w:sz="4" w:space="0" w:color="auto"/>
              <w:right w:val="nil"/>
            </w:tcBorders>
            <w:shd w:val="clear" w:color="000000" w:fill="FFFFFF"/>
            <w:vAlign w:val="center"/>
            <w:hideMark/>
          </w:tcPr>
          <w:p w14:paraId="2DCBD364"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δ</w:t>
            </w:r>
            <w:r w:rsidRPr="00E61341">
              <w:rPr>
                <w:rFonts w:ascii="Times Roman" w:eastAsia="Times New Roman" w:hAnsi="Times Roman"/>
                <w:b/>
                <w:bCs/>
                <w:color w:val="000000"/>
                <w:sz w:val="24"/>
                <w:szCs w:val="24"/>
                <w:vertAlign w:val="superscript"/>
                <w:lang w:eastAsia="en-US"/>
              </w:rPr>
              <w:t>13</w:t>
            </w:r>
            <w:r w:rsidRPr="00E61341">
              <w:rPr>
                <w:rFonts w:ascii="Times Roman" w:eastAsia="Times New Roman" w:hAnsi="Times Roman"/>
                <w:b/>
                <w:bCs/>
                <w:color w:val="000000"/>
                <w:sz w:val="24"/>
                <w:szCs w:val="24"/>
                <w:lang w:eastAsia="en-US"/>
              </w:rPr>
              <w:t>C (‰, VPDB)</w:t>
            </w:r>
          </w:p>
        </w:tc>
        <w:tc>
          <w:tcPr>
            <w:tcW w:w="0" w:type="auto"/>
            <w:tcBorders>
              <w:top w:val="nil"/>
              <w:left w:val="nil"/>
              <w:bottom w:val="single" w:sz="4" w:space="0" w:color="auto"/>
              <w:right w:val="single" w:sz="4" w:space="0" w:color="auto"/>
            </w:tcBorders>
            <w:shd w:val="clear" w:color="000000" w:fill="FFFFFF"/>
            <w:vAlign w:val="center"/>
            <w:hideMark/>
          </w:tcPr>
          <w:p w14:paraId="7F797C31"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δ</w:t>
            </w:r>
            <w:r w:rsidRPr="00E61341">
              <w:rPr>
                <w:rFonts w:ascii="Times Roman" w:eastAsia="Times New Roman" w:hAnsi="Times Roman"/>
                <w:b/>
                <w:bCs/>
                <w:color w:val="000000"/>
                <w:sz w:val="24"/>
                <w:szCs w:val="24"/>
                <w:vertAlign w:val="superscript"/>
                <w:lang w:eastAsia="en-US"/>
              </w:rPr>
              <w:t>15</w:t>
            </w:r>
            <w:r w:rsidRPr="00E61341">
              <w:rPr>
                <w:rFonts w:ascii="Times Roman" w:eastAsia="Times New Roman" w:hAnsi="Times Roman"/>
                <w:b/>
                <w:bCs/>
                <w:color w:val="000000"/>
                <w:sz w:val="24"/>
                <w:szCs w:val="24"/>
                <w:lang w:eastAsia="en-US"/>
              </w:rPr>
              <w:t>N (‰, AIR)</w:t>
            </w:r>
          </w:p>
        </w:tc>
      </w:tr>
      <w:tr w:rsidR="00E61341" w:rsidRPr="00E61341" w14:paraId="7241577B" w14:textId="77777777" w:rsidTr="00E61341">
        <w:trPr>
          <w:trHeight w:val="945"/>
        </w:trPr>
        <w:tc>
          <w:tcPr>
            <w:tcW w:w="0" w:type="auto"/>
            <w:tcBorders>
              <w:top w:val="single" w:sz="4" w:space="0" w:color="auto"/>
              <w:left w:val="single" w:sz="4" w:space="0" w:color="auto"/>
              <w:bottom w:val="nil"/>
              <w:right w:val="single" w:sz="4" w:space="0" w:color="auto"/>
            </w:tcBorders>
            <w:shd w:val="clear" w:color="000000" w:fill="FFFFFF"/>
            <w:vAlign w:val="center"/>
            <w:hideMark/>
          </w:tcPr>
          <w:p w14:paraId="3E223222"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IAEA N1 CH6 (n=12)</w:t>
            </w:r>
          </w:p>
        </w:tc>
        <w:tc>
          <w:tcPr>
            <w:tcW w:w="0" w:type="auto"/>
            <w:tcBorders>
              <w:top w:val="nil"/>
              <w:left w:val="nil"/>
              <w:bottom w:val="nil"/>
              <w:right w:val="nil"/>
            </w:tcBorders>
            <w:shd w:val="clear" w:color="000000" w:fill="FFFFFF"/>
            <w:vAlign w:val="center"/>
            <w:hideMark/>
          </w:tcPr>
          <w:p w14:paraId="40EA12C0"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ammonium sulfate</w:t>
            </w:r>
          </w:p>
        </w:tc>
        <w:tc>
          <w:tcPr>
            <w:tcW w:w="0" w:type="auto"/>
            <w:tcBorders>
              <w:top w:val="nil"/>
              <w:left w:val="nil"/>
              <w:bottom w:val="nil"/>
              <w:right w:val="nil"/>
            </w:tcBorders>
            <w:shd w:val="clear" w:color="000000" w:fill="FFFFFF"/>
            <w:vAlign w:val="center"/>
            <w:hideMark/>
          </w:tcPr>
          <w:p w14:paraId="6EDE25C4"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-10.47</w:t>
            </w:r>
          </w:p>
        </w:tc>
        <w:tc>
          <w:tcPr>
            <w:tcW w:w="0" w:type="auto"/>
            <w:tcBorders>
              <w:top w:val="nil"/>
              <w:left w:val="nil"/>
              <w:bottom w:val="nil"/>
              <w:right w:val="nil"/>
            </w:tcBorders>
            <w:shd w:val="clear" w:color="000000" w:fill="FFFFFF"/>
            <w:vAlign w:val="center"/>
            <w:hideMark/>
          </w:tcPr>
          <w:p w14:paraId="5B5BBE1F"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0.3</w:t>
            </w:r>
          </w:p>
        </w:tc>
        <w:tc>
          <w:tcPr>
            <w:tcW w:w="0" w:type="auto"/>
            <w:tcBorders>
              <w:top w:val="nil"/>
              <w:left w:val="nil"/>
              <w:bottom w:val="nil"/>
              <w:right w:val="nil"/>
            </w:tcBorders>
            <w:shd w:val="clear" w:color="000000" w:fill="FFFFFF"/>
            <w:vAlign w:val="center"/>
            <w:hideMark/>
          </w:tcPr>
          <w:p w14:paraId="69999715"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0.43</w:t>
            </w:r>
          </w:p>
        </w:tc>
        <w:tc>
          <w:tcPr>
            <w:tcW w:w="0" w:type="auto"/>
            <w:tcBorders>
              <w:top w:val="nil"/>
              <w:left w:val="nil"/>
              <w:bottom w:val="nil"/>
              <w:right w:val="nil"/>
            </w:tcBorders>
            <w:shd w:val="clear" w:color="000000" w:fill="FFFFFF"/>
            <w:vAlign w:val="center"/>
            <w:hideMark/>
          </w:tcPr>
          <w:p w14:paraId="4445E914"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0.04</w:t>
            </w:r>
          </w:p>
        </w:tc>
        <w:tc>
          <w:tcPr>
            <w:tcW w:w="0" w:type="auto"/>
            <w:tcBorders>
              <w:top w:val="nil"/>
              <w:left w:val="nil"/>
              <w:bottom w:val="nil"/>
              <w:right w:val="nil"/>
            </w:tcBorders>
            <w:shd w:val="clear" w:color="000000" w:fill="FFFFFF"/>
            <w:vAlign w:val="center"/>
            <w:hideMark/>
          </w:tcPr>
          <w:p w14:paraId="490B860C"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−10.449 ± 0.03</w:t>
            </w:r>
          </w:p>
        </w:tc>
        <w:tc>
          <w:tcPr>
            <w:tcW w:w="0" w:type="auto"/>
            <w:tcBorders>
              <w:top w:val="nil"/>
              <w:left w:val="nil"/>
              <w:bottom w:val="nil"/>
              <w:right w:val="single" w:sz="4" w:space="0" w:color="auto"/>
            </w:tcBorders>
            <w:shd w:val="clear" w:color="000000" w:fill="FFFFFF"/>
            <w:vAlign w:val="center"/>
            <w:hideMark/>
          </w:tcPr>
          <w:p w14:paraId="5A2255C5"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0.43 ± 0.07</w:t>
            </w:r>
          </w:p>
        </w:tc>
      </w:tr>
      <w:tr w:rsidR="00E61341" w:rsidRPr="00E61341" w14:paraId="45FB911D" w14:textId="77777777" w:rsidTr="00E61341">
        <w:trPr>
          <w:trHeight w:val="94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FC5FF9F" w14:textId="77777777" w:rsidR="00E61341" w:rsidRPr="00E61341" w:rsidRDefault="00E61341" w:rsidP="00E61341">
            <w:pPr>
              <w:spacing w:after="0" w:line="240" w:lineRule="auto"/>
              <w:jc w:val="center"/>
              <w:rPr>
                <w:rFonts w:ascii="Times Roman" w:eastAsia="Times New Roman" w:hAnsi="Times Roman"/>
                <w:b/>
                <w:bCs/>
                <w:color w:val="000000"/>
                <w:sz w:val="24"/>
                <w:szCs w:val="24"/>
                <w:lang w:eastAsia="en-US"/>
              </w:rPr>
            </w:pPr>
            <w:r w:rsidRPr="00E61341">
              <w:rPr>
                <w:rFonts w:ascii="Times Roman" w:eastAsia="Times New Roman" w:hAnsi="Times Roman"/>
                <w:b/>
                <w:bCs/>
                <w:color w:val="000000"/>
                <w:sz w:val="24"/>
                <w:szCs w:val="24"/>
                <w:lang w:eastAsia="en-US"/>
              </w:rPr>
              <w:t>IAEA N2 CH7 (n=12)</w:t>
            </w:r>
          </w:p>
        </w:tc>
        <w:tc>
          <w:tcPr>
            <w:tcW w:w="0" w:type="auto"/>
            <w:tcBorders>
              <w:top w:val="nil"/>
              <w:left w:val="nil"/>
              <w:bottom w:val="single" w:sz="4" w:space="0" w:color="auto"/>
              <w:right w:val="nil"/>
            </w:tcBorders>
            <w:shd w:val="clear" w:color="000000" w:fill="FFFFFF"/>
            <w:vAlign w:val="center"/>
            <w:hideMark/>
          </w:tcPr>
          <w:p w14:paraId="79EC4D00"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ammonium sulfate</w:t>
            </w:r>
          </w:p>
        </w:tc>
        <w:tc>
          <w:tcPr>
            <w:tcW w:w="0" w:type="auto"/>
            <w:tcBorders>
              <w:top w:val="nil"/>
              <w:left w:val="nil"/>
              <w:bottom w:val="single" w:sz="4" w:space="0" w:color="auto"/>
              <w:right w:val="nil"/>
            </w:tcBorders>
            <w:shd w:val="clear" w:color="000000" w:fill="FFFFFF"/>
            <w:vAlign w:val="center"/>
            <w:hideMark/>
          </w:tcPr>
          <w:p w14:paraId="7952FBD2"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-32.13</w:t>
            </w:r>
          </w:p>
        </w:tc>
        <w:tc>
          <w:tcPr>
            <w:tcW w:w="0" w:type="auto"/>
            <w:tcBorders>
              <w:top w:val="nil"/>
              <w:left w:val="nil"/>
              <w:bottom w:val="single" w:sz="4" w:space="0" w:color="auto"/>
              <w:right w:val="nil"/>
            </w:tcBorders>
            <w:shd w:val="clear" w:color="000000" w:fill="FFFFFF"/>
            <w:vAlign w:val="center"/>
            <w:hideMark/>
          </w:tcPr>
          <w:p w14:paraId="7F93AD2F"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0.04</w:t>
            </w:r>
          </w:p>
        </w:tc>
        <w:tc>
          <w:tcPr>
            <w:tcW w:w="0" w:type="auto"/>
            <w:tcBorders>
              <w:top w:val="nil"/>
              <w:left w:val="nil"/>
              <w:bottom w:val="single" w:sz="4" w:space="0" w:color="auto"/>
              <w:right w:val="nil"/>
            </w:tcBorders>
            <w:shd w:val="clear" w:color="000000" w:fill="FFFFFF"/>
            <w:vAlign w:val="center"/>
            <w:hideMark/>
          </w:tcPr>
          <w:p w14:paraId="5F67D4B1"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20.35</w:t>
            </w:r>
          </w:p>
        </w:tc>
        <w:tc>
          <w:tcPr>
            <w:tcW w:w="0" w:type="auto"/>
            <w:tcBorders>
              <w:top w:val="nil"/>
              <w:left w:val="nil"/>
              <w:bottom w:val="single" w:sz="4" w:space="0" w:color="auto"/>
              <w:right w:val="nil"/>
            </w:tcBorders>
            <w:shd w:val="clear" w:color="000000" w:fill="FFFFFF"/>
            <w:vAlign w:val="center"/>
            <w:hideMark/>
          </w:tcPr>
          <w:p w14:paraId="2D576471"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0.05</w:t>
            </w:r>
          </w:p>
        </w:tc>
        <w:tc>
          <w:tcPr>
            <w:tcW w:w="0" w:type="auto"/>
            <w:tcBorders>
              <w:top w:val="nil"/>
              <w:left w:val="nil"/>
              <w:bottom w:val="single" w:sz="4" w:space="0" w:color="auto"/>
              <w:right w:val="nil"/>
            </w:tcBorders>
            <w:shd w:val="clear" w:color="000000" w:fill="FFFFFF"/>
            <w:vAlign w:val="center"/>
            <w:hideMark/>
          </w:tcPr>
          <w:p w14:paraId="0CB50A3C"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−32.151 ± 0.05</w:t>
            </w:r>
          </w:p>
        </w:tc>
        <w:tc>
          <w:tcPr>
            <w:tcW w:w="0" w:type="auto"/>
            <w:tcBorders>
              <w:top w:val="nil"/>
              <w:left w:val="nil"/>
              <w:bottom w:val="single" w:sz="4" w:space="0" w:color="auto"/>
              <w:right w:val="single" w:sz="4" w:space="0" w:color="auto"/>
            </w:tcBorders>
            <w:shd w:val="clear" w:color="000000" w:fill="FFFFFF"/>
            <w:vAlign w:val="center"/>
            <w:hideMark/>
          </w:tcPr>
          <w:p w14:paraId="185668B4" w14:textId="77777777" w:rsidR="00E61341" w:rsidRPr="00E61341" w:rsidRDefault="00E61341" w:rsidP="00E61341">
            <w:pPr>
              <w:spacing w:after="0" w:line="240" w:lineRule="auto"/>
              <w:jc w:val="center"/>
              <w:rPr>
                <w:rFonts w:ascii="Times Roman" w:eastAsia="Times New Roman" w:hAnsi="Times Roman"/>
                <w:color w:val="000000"/>
                <w:sz w:val="24"/>
                <w:szCs w:val="24"/>
                <w:lang w:eastAsia="en-US"/>
              </w:rPr>
            </w:pPr>
            <w:r w:rsidRPr="00E61341">
              <w:rPr>
                <w:rFonts w:ascii="Times Roman" w:eastAsia="Times New Roman" w:hAnsi="Times Roman"/>
                <w:color w:val="000000"/>
                <w:sz w:val="24"/>
                <w:szCs w:val="24"/>
                <w:lang w:eastAsia="en-US"/>
              </w:rPr>
              <w:t>20.41 ​± 0.12</w:t>
            </w:r>
          </w:p>
        </w:tc>
      </w:tr>
    </w:tbl>
    <w:p w14:paraId="413375FD" w14:textId="77CA170F" w:rsidR="00067D7C" w:rsidRDefault="00067D7C" w:rsidP="004D0B64">
      <w:pPr>
        <w:pBdr>
          <w:top w:val="nil"/>
          <w:left w:val="nil"/>
          <w:bottom w:val="nil"/>
          <w:right w:val="nil"/>
          <w:between w:val="nil"/>
        </w:pBdr>
        <w:spacing w:after="240" w:line="360" w:lineRule="auto"/>
        <w:jc w:val="both"/>
        <w:rPr>
          <w:rFonts w:ascii="Times New Roman" w:hAnsi="Times New Roman" w:cs="Times New Roman"/>
          <w:sz w:val="24"/>
          <w:szCs w:val="24"/>
        </w:rPr>
      </w:pPr>
    </w:p>
    <w:p w14:paraId="1EE39EDA" w14:textId="77777777" w:rsidR="004F79D0" w:rsidRPr="00D70D43" w:rsidRDefault="004F79D0" w:rsidP="004D0B64">
      <w:pPr>
        <w:pBdr>
          <w:top w:val="nil"/>
          <w:left w:val="nil"/>
          <w:bottom w:val="nil"/>
          <w:right w:val="nil"/>
          <w:between w:val="nil"/>
        </w:pBdr>
        <w:spacing w:after="240" w:line="360" w:lineRule="auto"/>
        <w:jc w:val="both"/>
        <w:rPr>
          <w:rFonts w:ascii="Times New Roman" w:hAnsi="Times New Roman" w:cs="Times New Roman"/>
          <w:sz w:val="24"/>
          <w:szCs w:val="24"/>
        </w:rPr>
      </w:pPr>
    </w:p>
    <w:p w14:paraId="353CA20D" w14:textId="01C231AE" w:rsidR="004D0B64" w:rsidRPr="00D70D43" w:rsidRDefault="004F79D0" w:rsidP="004F79D0">
      <w:pPr>
        <w:spacing w:after="240" w:line="360" w:lineRule="auto"/>
        <w:jc w:val="both"/>
        <w:rPr>
          <w:rFonts w:ascii="Times New Roman" w:eastAsia="Times New Roman" w:hAnsi="Times New Roman" w:cs="Times New Roman"/>
          <w:sz w:val="24"/>
          <w:szCs w:val="24"/>
        </w:rPr>
      </w:pPr>
      <w:bookmarkStart w:id="28" w:name="_Hlk137040038"/>
      <w:r w:rsidRPr="0064579A">
        <w:rPr>
          <w:rFonts w:ascii="Times New Roman" w:eastAsia="Times New Roman" w:hAnsi="Times New Roman" w:cs="Times New Roman"/>
          <w:b/>
          <w:sz w:val="24"/>
          <w:szCs w:val="24"/>
        </w:rPr>
        <w:t xml:space="preserve">Table S4.3: </w:t>
      </w:r>
      <w:r w:rsidRPr="0056199B">
        <w:rPr>
          <w:rFonts w:ascii="Times New Roman" w:eastAsia="Times New Roman" w:hAnsi="Times New Roman" w:cs="Times New Roman"/>
          <w:sz w:val="24"/>
          <w:szCs w:val="24"/>
        </w:rPr>
        <w:t>Reference standards used for Sulphur stable isotopes analyses along wit</w:t>
      </w:r>
      <w:r w:rsidRPr="00022984">
        <w:rPr>
          <w:rFonts w:ascii="Times New Roman" w:eastAsia="Times New Roman" w:hAnsi="Times New Roman" w:cs="Times New Roman"/>
          <w:sz w:val="24"/>
          <w:szCs w:val="24"/>
        </w:rPr>
        <w:t>h the accepted values</w:t>
      </w:r>
    </w:p>
    <w:tbl>
      <w:tblPr>
        <w:tblStyle w:val="a7"/>
        <w:tblW w:w="9195" w:type="dxa"/>
        <w:tblInd w:w="0" w:type="dxa"/>
        <w:tblLayout w:type="fixed"/>
        <w:tblLook w:val="0600" w:firstRow="0" w:lastRow="0" w:firstColumn="0" w:lastColumn="0" w:noHBand="1" w:noVBand="1"/>
      </w:tblPr>
      <w:tblGrid>
        <w:gridCol w:w="1410"/>
        <w:gridCol w:w="1965"/>
        <w:gridCol w:w="1020"/>
        <w:gridCol w:w="1995"/>
        <w:gridCol w:w="870"/>
        <w:gridCol w:w="1935"/>
      </w:tblGrid>
      <w:tr w:rsidR="004D0B64" w:rsidRPr="00D70D43" w14:paraId="385DF5C0" w14:textId="77777777" w:rsidTr="0064579A">
        <w:trPr>
          <w:trHeight w:val="605"/>
        </w:trPr>
        <w:tc>
          <w:tcPr>
            <w:tcW w:w="1410"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bookmarkEnd w:id="28"/>
          <w:p w14:paraId="7221AF53" w14:textId="77777777" w:rsidR="004D0B64" w:rsidRPr="00D70D43" w:rsidRDefault="004D0B64" w:rsidP="0015020B">
            <w:pPr>
              <w:spacing w:before="240" w:after="0" w:line="276"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Standard</w:t>
            </w:r>
          </w:p>
        </w:tc>
        <w:tc>
          <w:tcPr>
            <w:tcW w:w="1965" w:type="dxa"/>
            <w:tcBorders>
              <w:top w:val="single" w:sz="4" w:space="0" w:color="auto"/>
              <w:left w:val="single" w:sz="4" w:space="0" w:color="auto"/>
              <w:bottom w:val="single" w:sz="4" w:space="0" w:color="auto"/>
            </w:tcBorders>
            <w:tcMar>
              <w:top w:w="100" w:type="dxa"/>
              <w:left w:w="100" w:type="dxa"/>
              <w:bottom w:w="100" w:type="dxa"/>
              <w:right w:w="100" w:type="dxa"/>
            </w:tcMar>
          </w:tcPr>
          <w:p w14:paraId="115004DB" w14:textId="77777777" w:rsidR="004D0B64" w:rsidRPr="00D70D43" w:rsidRDefault="004D0B64" w:rsidP="0015020B">
            <w:pPr>
              <w:spacing w:before="240" w:after="0" w:line="276"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material</w:t>
            </w:r>
          </w:p>
        </w:tc>
        <w:tc>
          <w:tcPr>
            <w:tcW w:w="1020" w:type="dxa"/>
            <w:tcBorders>
              <w:top w:val="single" w:sz="4" w:space="0" w:color="auto"/>
              <w:bottom w:val="single" w:sz="4" w:space="0" w:color="auto"/>
            </w:tcBorders>
            <w:tcMar>
              <w:top w:w="100" w:type="dxa"/>
              <w:left w:w="100" w:type="dxa"/>
              <w:bottom w:w="100" w:type="dxa"/>
              <w:right w:w="100" w:type="dxa"/>
            </w:tcMar>
          </w:tcPr>
          <w:p w14:paraId="45D70938" w14:textId="77777777" w:rsidR="004D0B64" w:rsidRPr="00D70D43" w:rsidRDefault="004D0B64" w:rsidP="0015020B">
            <w:pPr>
              <w:spacing w:before="240" w:after="0" w:line="276"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n</w:t>
            </w:r>
          </w:p>
        </w:tc>
        <w:tc>
          <w:tcPr>
            <w:tcW w:w="1995" w:type="dxa"/>
            <w:tcBorders>
              <w:top w:val="single" w:sz="4" w:space="0" w:color="auto"/>
              <w:bottom w:val="single" w:sz="4" w:space="0" w:color="auto"/>
            </w:tcBorders>
            <w:tcMar>
              <w:top w:w="100" w:type="dxa"/>
              <w:left w:w="100" w:type="dxa"/>
              <w:bottom w:w="100" w:type="dxa"/>
              <w:right w:w="100" w:type="dxa"/>
            </w:tcMar>
          </w:tcPr>
          <w:p w14:paraId="65898401" w14:textId="77777777" w:rsidR="004D0B64" w:rsidRPr="00D70D43" w:rsidRDefault="004D0B64" w:rsidP="0015020B">
            <w:pPr>
              <w:spacing w:before="240" w:after="0" w:line="276" w:lineRule="auto"/>
              <w:jc w:val="center"/>
              <w:rPr>
                <w:rFonts w:ascii="Times New Roman" w:eastAsia="Times New Roman" w:hAnsi="Times New Roman" w:cs="Times New Roman"/>
                <w:b/>
                <w:sz w:val="24"/>
                <w:szCs w:val="24"/>
                <w:vertAlign w:val="subscript"/>
              </w:rPr>
            </w:pP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b/>
                <w:sz w:val="24"/>
                <w:szCs w:val="24"/>
                <w:vertAlign w:val="superscript"/>
              </w:rPr>
              <w:t xml:space="preserve"> 34</w:t>
            </w:r>
            <w:r w:rsidRPr="00D70D43">
              <w:rPr>
                <w:rFonts w:ascii="Times New Roman" w:eastAsia="Times New Roman" w:hAnsi="Times New Roman" w:cs="Times New Roman"/>
                <w:b/>
                <w:sz w:val="24"/>
                <w:szCs w:val="24"/>
              </w:rPr>
              <w:t>S</w:t>
            </w:r>
            <w:r w:rsidRPr="00D70D43">
              <w:rPr>
                <w:rFonts w:ascii="Times New Roman" w:eastAsia="Times New Roman" w:hAnsi="Times New Roman" w:cs="Times New Roman"/>
                <w:b/>
                <w:sz w:val="24"/>
                <w:szCs w:val="24"/>
                <w:vertAlign w:val="subscript"/>
              </w:rPr>
              <w:t>V-CDT (mean)</w:t>
            </w:r>
          </w:p>
        </w:tc>
        <w:tc>
          <w:tcPr>
            <w:tcW w:w="870" w:type="dxa"/>
            <w:tcBorders>
              <w:top w:val="single" w:sz="4" w:space="0" w:color="auto"/>
              <w:bottom w:val="single" w:sz="4" w:space="0" w:color="auto"/>
            </w:tcBorders>
            <w:tcMar>
              <w:top w:w="100" w:type="dxa"/>
              <w:left w:w="100" w:type="dxa"/>
              <w:bottom w:w="100" w:type="dxa"/>
              <w:right w:w="100" w:type="dxa"/>
            </w:tcMar>
          </w:tcPr>
          <w:p w14:paraId="679A1252" w14:textId="77777777" w:rsidR="004D0B64" w:rsidRPr="00D70D43" w:rsidRDefault="004D0B64" w:rsidP="0015020B">
            <w:pPr>
              <w:spacing w:before="240"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SD</w:t>
            </w:r>
          </w:p>
        </w:tc>
        <w:tc>
          <w:tcPr>
            <w:tcW w:w="1935" w:type="dxa"/>
            <w:tcBorders>
              <w:top w:val="single" w:sz="4" w:space="0" w:color="auto"/>
              <w:bottom w:val="single" w:sz="4" w:space="0" w:color="auto"/>
              <w:right w:val="single" w:sz="4" w:space="0" w:color="auto"/>
            </w:tcBorders>
            <w:tcMar>
              <w:top w:w="100" w:type="dxa"/>
              <w:left w:w="100" w:type="dxa"/>
              <w:bottom w:w="100" w:type="dxa"/>
              <w:right w:w="100" w:type="dxa"/>
            </w:tcMar>
          </w:tcPr>
          <w:p w14:paraId="1CBDCC93" w14:textId="77777777" w:rsidR="004D0B64" w:rsidRPr="00D70D43" w:rsidRDefault="004D0B64" w:rsidP="0015020B">
            <w:pPr>
              <w:spacing w:before="240" w:after="0" w:line="276" w:lineRule="auto"/>
              <w:jc w:val="center"/>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accepted values</w:t>
            </w:r>
          </w:p>
        </w:tc>
      </w:tr>
      <w:tr w:rsidR="004D0B64" w:rsidRPr="00D70D43" w14:paraId="35B248EC" w14:textId="77777777" w:rsidTr="0064579A">
        <w:trPr>
          <w:trHeight w:val="588"/>
        </w:trPr>
        <w:tc>
          <w:tcPr>
            <w:tcW w:w="1410" w:type="dxa"/>
            <w:tcBorders>
              <w:top w:val="single" w:sz="4" w:space="0" w:color="auto"/>
              <w:left w:val="single" w:sz="4" w:space="0" w:color="auto"/>
              <w:right w:val="single" w:sz="4" w:space="0" w:color="auto"/>
            </w:tcBorders>
            <w:tcMar>
              <w:top w:w="100" w:type="dxa"/>
              <w:left w:w="100" w:type="dxa"/>
              <w:bottom w:w="100" w:type="dxa"/>
              <w:right w:w="100" w:type="dxa"/>
            </w:tcMar>
          </w:tcPr>
          <w:p w14:paraId="07A99222"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IA-R061</w:t>
            </w:r>
          </w:p>
        </w:tc>
        <w:tc>
          <w:tcPr>
            <w:tcW w:w="1965" w:type="dxa"/>
            <w:tcBorders>
              <w:top w:val="single" w:sz="4" w:space="0" w:color="auto"/>
              <w:left w:val="single" w:sz="4" w:space="0" w:color="auto"/>
            </w:tcBorders>
            <w:tcMar>
              <w:top w:w="100" w:type="dxa"/>
              <w:left w:w="100" w:type="dxa"/>
              <w:bottom w:w="100" w:type="dxa"/>
              <w:right w:w="100" w:type="dxa"/>
            </w:tcMar>
          </w:tcPr>
          <w:p w14:paraId="0F57CB7E"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(barium sulphate)</w:t>
            </w:r>
          </w:p>
        </w:tc>
        <w:tc>
          <w:tcPr>
            <w:tcW w:w="1020" w:type="dxa"/>
            <w:tcBorders>
              <w:top w:val="single" w:sz="4" w:space="0" w:color="auto"/>
            </w:tcBorders>
            <w:tcMar>
              <w:top w:w="100" w:type="dxa"/>
              <w:left w:w="100" w:type="dxa"/>
              <w:bottom w:w="100" w:type="dxa"/>
              <w:right w:w="100" w:type="dxa"/>
            </w:tcMar>
          </w:tcPr>
          <w:p w14:paraId="36264989"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3</w:t>
            </w:r>
          </w:p>
        </w:tc>
        <w:tc>
          <w:tcPr>
            <w:tcW w:w="1995" w:type="dxa"/>
            <w:tcBorders>
              <w:top w:val="single" w:sz="4" w:space="0" w:color="auto"/>
            </w:tcBorders>
            <w:tcMar>
              <w:top w:w="100" w:type="dxa"/>
              <w:left w:w="100" w:type="dxa"/>
              <w:bottom w:w="100" w:type="dxa"/>
              <w:right w:w="100" w:type="dxa"/>
            </w:tcMar>
          </w:tcPr>
          <w:p w14:paraId="75DFDF6A"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20.26</w:t>
            </w:r>
          </w:p>
        </w:tc>
        <w:tc>
          <w:tcPr>
            <w:tcW w:w="870" w:type="dxa"/>
            <w:tcBorders>
              <w:top w:val="single" w:sz="4" w:space="0" w:color="auto"/>
            </w:tcBorders>
            <w:tcMar>
              <w:top w:w="100" w:type="dxa"/>
              <w:left w:w="100" w:type="dxa"/>
              <w:bottom w:w="100" w:type="dxa"/>
              <w:right w:w="100" w:type="dxa"/>
            </w:tcMar>
          </w:tcPr>
          <w:p w14:paraId="288ACCC3"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0.03</w:t>
            </w:r>
          </w:p>
        </w:tc>
        <w:tc>
          <w:tcPr>
            <w:tcW w:w="1935" w:type="dxa"/>
            <w:tcBorders>
              <w:top w:val="single" w:sz="4" w:space="0" w:color="auto"/>
              <w:right w:val="single" w:sz="4" w:space="0" w:color="auto"/>
            </w:tcBorders>
            <w:tcMar>
              <w:top w:w="100" w:type="dxa"/>
              <w:left w:w="100" w:type="dxa"/>
              <w:bottom w:w="100" w:type="dxa"/>
              <w:right w:w="100" w:type="dxa"/>
            </w:tcMar>
          </w:tcPr>
          <w:p w14:paraId="6FDE1400"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20.33</w:t>
            </w:r>
          </w:p>
        </w:tc>
      </w:tr>
      <w:tr w:rsidR="004D0B64" w:rsidRPr="00D70D43" w14:paraId="21A0E04A" w14:textId="77777777" w:rsidTr="0064579A">
        <w:trPr>
          <w:trHeight w:val="355"/>
        </w:trPr>
        <w:tc>
          <w:tcPr>
            <w:tcW w:w="1410" w:type="dxa"/>
            <w:tcBorders>
              <w:left w:val="single" w:sz="4" w:space="0" w:color="auto"/>
              <w:right w:val="single" w:sz="4" w:space="0" w:color="auto"/>
            </w:tcBorders>
            <w:tcMar>
              <w:top w:w="100" w:type="dxa"/>
              <w:left w:w="100" w:type="dxa"/>
              <w:bottom w:w="100" w:type="dxa"/>
              <w:right w:w="100" w:type="dxa"/>
            </w:tcMar>
          </w:tcPr>
          <w:p w14:paraId="13A46891"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IAEA-SO-5</w:t>
            </w:r>
          </w:p>
        </w:tc>
        <w:tc>
          <w:tcPr>
            <w:tcW w:w="1965" w:type="dxa"/>
            <w:tcBorders>
              <w:left w:val="single" w:sz="4" w:space="0" w:color="auto"/>
            </w:tcBorders>
            <w:tcMar>
              <w:top w:w="100" w:type="dxa"/>
              <w:left w:w="100" w:type="dxa"/>
              <w:bottom w:w="100" w:type="dxa"/>
              <w:right w:w="100" w:type="dxa"/>
            </w:tcMar>
          </w:tcPr>
          <w:p w14:paraId="254C4C8F"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(barium sulphate)</w:t>
            </w:r>
          </w:p>
        </w:tc>
        <w:tc>
          <w:tcPr>
            <w:tcW w:w="1020" w:type="dxa"/>
            <w:tcMar>
              <w:top w:w="100" w:type="dxa"/>
              <w:left w:w="100" w:type="dxa"/>
              <w:bottom w:w="100" w:type="dxa"/>
              <w:right w:w="100" w:type="dxa"/>
            </w:tcMar>
          </w:tcPr>
          <w:p w14:paraId="7B21C12B"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2</w:t>
            </w:r>
          </w:p>
        </w:tc>
        <w:tc>
          <w:tcPr>
            <w:tcW w:w="1995" w:type="dxa"/>
            <w:tcMar>
              <w:top w:w="100" w:type="dxa"/>
              <w:left w:w="100" w:type="dxa"/>
              <w:bottom w:w="100" w:type="dxa"/>
              <w:right w:w="100" w:type="dxa"/>
            </w:tcMar>
          </w:tcPr>
          <w:p w14:paraId="58FC89CD"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0.35</w:t>
            </w:r>
          </w:p>
        </w:tc>
        <w:tc>
          <w:tcPr>
            <w:tcW w:w="870" w:type="dxa"/>
            <w:tcMar>
              <w:top w:w="100" w:type="dxa"/>
              <w:left w:w="100" w:type="dxa"/>
              <w:bottom w:w="100" w:type="dxa"/>
              <w:right w:w="100" w:type="dxa"/>
            </w:tcMar>
          </w:tcPr>
          <w:p w14:paraId="6B3F6EFD"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0.19</w:t>
            </w:r>
          </w:p>
        </w:tc>
        <w:tc>
          <w:tcPr>
            <w:tcW w:w="1935" w:type="dxa"/>
            <w:tcBorders>
              <w:right w:val="single" w:sz="4" w:space="0" w:color="auto"/>
            </w:tcBorders>
            <w:tcMar>
              <w:top w:w="100" w:type="dxa"/>
              <w:left w:w="100" w:type="dxa"/>
              <w:bottom w:w="100" w:type="dxa"/>
              <w:right w:w="100" w:type="dxa"/>
            </w:tcMar>
          </w:tcPr>
          <w:p w14:paraId="7B91C0DD"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0.50</w:t>
            </w:r>
          </w:p>
        </w:tc>
      </w:tr>
      <w:tr w:rsidR="004D0B64" w:rsidRPr="00D70D43" w14:paraId="08D7F6F9" w14:textId="77777777" w:rsidTr="0064579A">
        <w:trPr>
          <w:trHeight w:val="592"/>
        </w:trPr>
        <w:tc>
          <w:tcPr>
            <w:tcW w:w="1410" w:type="dxa"/>
            <w:tcBorders>
              <w:left w:val="single" w:sz="4" w:space="0" w:color="auto"/>
              <w:right w:val="single" w:sz="4" w:space="0" w:color="auto"/>
            </w:tcBorders>
            <w:tcMar>
              <w:top w:w="100" w:type="dxa"/>
              <w:left w:w="100" w:type="dxa"/>
              <w:bottom w:w="100" w:type="dxa"/>
              <w:right w:w="100" w:type="dxa"/>
            </w:tcMar>
          </w:tcPr>
          <w:p w14:paraId="33C9300E"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IA-R068</w:t>
            </w:r>
          </w:p>
        </w:tc>
        <w:tc>
          <w:tcPr>
            <w:tcW w:w="1965" w:type="dxa"/>
            <w:tcBorders>
              <w:left w:val="single" w:sz="4" w:space="0" w:color="auto"/>
            </w:tcBorders>
            <w:tcMar>
              <w:top w:w="100" w:type="dxa"/>
              <w:left w:w="100" w:type="dxa"/>
              <w:bottom w:w="100" w:type="dxa"/>
              <w:right w:w="100" w:type="dxa"/>
            </w:tcMar>
          </w:tcPr>
          <w:p w14:paraId="48455344"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(soy protein)</w:t>
            </w:r>
          </w:p>
        </w:tc>
        <w:tc>
          <w:tcPr>
            <w:tcW w:w="1020" w:type="dxa"/>
            <w:tcMar>
              <w:top w:w="100" w:type="dxa"/>
              <w:left w:w="100" w:type="dxa"/>
              <w:bottom w:w="100" w:type="dxa"/>
              <w:right w:w="100" w:type="dxa"/>
            </w:tcMar>
          </w:tcPr>
          <w:p w14:paraId="26982ACD"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2</w:t>
            </w:r>
          </w:p>
        </w:tc>
        <w:tc>
          <w:tcPr>
            <w:tcW w:w="1995" w:type="dxa"/>
            <w:tcMar>
              <w:top w:w="100" w:type="dxa"/>
              <w:left w:w="100" w:type="dxa"/>
              <w:bottom w:w="100" w:type="dxa"/>
              <w:right w:w="100" w:type="dxa"/>
            </w:tcMar>
          </w:tcPr>
          <w:p w14:paraId="36AEBECF"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5.09</w:t>
            </w:r>
          </w:p>
        </w:tc>
        <w:tc>
          <w:tcPr>
            <w:tcW w:w="870" w:type="dxa"/>
            <w:tcMar>
              <w:top w:w="100" w:type="dxa"/>
              <w:left w:w="100" w:type="dxa"/>
              <w:bottom w:w="100" w:type="dxa"/>
              <w:right w:w="100" w:type="dxa"/>
            </w:tcMar>
          </w:tcPr>
          <w:p w14:paraId="68DAD7D9"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0.13</w:t>
            </w:r>
          </w:p>
        </w:tc>
        <w:tc>
          <w:tcPr>
            <w:tcW w:w="1935" w:type="dxa"/>
            <w:tcBorders>
              <w:right w:val="single" w:sz="4" w:space="0" w:color="auto"/>
            </w:tcBorders>
            <w:tcMar>
              <w:top w:w="100" w:type="dxa"/>
              <w:left w:w="100" w:type="dxa"/>
              <w:bottom w:w="100" w:type="dxa"/>
              <w:right w:w="100" w:type="dxa"/>
            </w:tcMar>
          </w:tcPr>
          <w:p w14:paraId="2E979911"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5.25</w:t>
            </w:r>
          </w:p>
        </w:tc>
      </w:tr>
      <w:tr w:rsidR="004D0B64" w:rsidRPr="00D70D43" w14:paraId="0ACF86E4" w14:textId="77777777" w:rsidTr="0064579A">
        <w:trPr>
          <w:trHeight w:val="500"/>
        </w:trPr>
        <w:tc>
          <w:tcPr>
            <w:tcW w:w="1410" w:type="dxa"/>
            <w:tcBorders>
              <w:left w:val="single" w:sz="4" w:space="0" w:color="auto"/>
              <w:bottom w:val="single" w:sz="4" w:space="0" w:color="auto"/>
              <w:right w:val="single" w:sz="4" w:space="0" w:color="auto"/>
            </w:tcBorders>
            <w:tcMar>
              <w:top w:w="100" w:type="dxa"/>
              <w:left w:w="100" w:type="dxa"/>
              <w:bottom w:w="100" w:type="dxa"/>
              <w:right w:w="100" w:type="dxa"/>
            </w:tcMar>
          </w:tcPr>
          <w:p w14:paraId="602A611B"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IA-R069</w:t>
            </w:r>
          </w:p>
        </w:tc>
        <w:tc>
          <w:tcPr>
            <w:tcW w:w="1965" w:type="dxa"/>
            <w:tcBorders>
              <w:left w:val="single" w:sz="4" w:space="0" w:color="auto"/>
              <w:bottom w:val="single" w:sz="4" w:space="0" w:color="auto"/>
            </w:tcBorders>
            <w:tcMar>
              <w:top w:w="100" w:type="dxa"/>
              <w:left w:w="100" w:type="dxa"/>
              <w:bottom w:w="100" w:type="dxa"/>
              <w:right w:w="100" w:type="dxa"/>
            </w:tcMar>
          </w:tcPr>
          <w:p w14:paraId="54DC40EB"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(tuna protein)</w:t>
            </w:r>
          </w:p>
        </w:tc>
        <w:tc>
          <w:tcPr>
            <w:tcW w:w="1020" w:type="dxa"/>
            <w:tcBorders>
              <w:bottom w:val="single" w:sz="4" w:space="0" w:color="auto"/>
            </w:tcBorders>
            <w:tcMar>
              <w:top w:w="100" w:type="dxa"/>
              <w:left w:w="100" w:type="dxa"/>
              <w:bottom w:w="100" w:type="dxa"/>
              <w:right w:w="100" w:type="dxa"/>
            </w:tcMar>
          </w:tcPr>
          <w:p w14:paraId="20B357BB"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2</w:t>
            </w:r>
          </w:p>
        </w:tc>
        <w:tc>
          <w:tcPr>
            <w:tcW w:w="1995" w:type="dxa"/>
            <w:tcBorders>
              <w:bottom w:val="single" w:sz="4" w:space="0" w:color="auto"/>
            </w:tcBorders>
            <w:tcMar>
              <w:top w:w="100" w:type="dxa"/>
              <w:left w:w="100" w:type="dxa"/>
              <w:bottom w:w="100" w:type="dxa"/>
              <w:right w:w="100" w:type="dxa"/>
            </w:tcMar>
          </w:tcPr>
          <w:p w14:paraId="1B396B0A"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18.89</w:t>
            </w:r>
          </w:p>
        </w:tc>
        <w:tc>
          <w:tcPr>
            <w:tcW w:w="870" w:type="dxa"/>
            <w:tcBorders>
              <w:bottom w:val="single" w:sz="4" w:space="0" w:color="auto"/>
            </w:tcBorders>
            <w:tcMar>
              <w:top w:w="100" w:type="dxa"/>
              <w:left w:w="100" w:type="dxa"/>
              <w:bottom w:w="100" w:type="dxa"/>
              <w:right w:w="100" w:type="dxa"/>
            </w:tcMar>
          </w:tcPr>
          <w:p w14:paraId="04CC2AC4"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0.15</w:t>
            </w:r>
          </w:p>
        </w:tc>
        <w:tc>
          <w:tcPr>
            <w:tcW w:w="1935" w:type="dxa"/>
            <w:tcBorders>
              <w:bottom w:val="single" w:sz="4" w:space="0" w:color="auto"/>
              <w:right w:val="single" w:sz="4" w:space="0" w:color="auto"/>
            </w:tcBorders>
            <w:tcMar>
              <w:top w:w="100" w:type="dxa"/>
              <w:left w:w="100" w:type="dxa"/>
              <w:bottom w:w="100" w:type="dxa"/>
              <w:right w:w="100" w:type="dxa"/>
            </w:tcMar>
          </w:tcPr>
          <w:p w14:paraId="2791434C" w14:textId="77777777" w:rsidR="004D0B64" w:rsidRPr="00D70D43" w:rsidRDefault="004D0B64" w:rsidP="0015020B">
            <w:pPr>
              <w:spacing w:before="240" w:after="0" w:line="276"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18.91</w:t>
            </w:r>
          </w:p>
        </w:tc>
      </w:tr>
    </w:tbl>
    <w:p w14:paraId="37B6EDA1" w14:textId="77777777" w:rsidR="00E61341" w:rsidRDefault="004D0B64" w:rsidP="004D0B64">
      <w:pPr>
        <w:spacing w:after="240" w:line="360" w:lineRule="auto"/>
        <w:jc w:val="both"/>
        <w:rPr>
          <w:rFonts w:ascii="Times New Roman" w:eastAsia="Times New Roman" w:hAnsi="Times New Roman" w:cs="Times New Roman"/>
          <w:b/>
          <w:sz w:val="24"/>
          <w:szCs w:val="24"/>
        </w:rPr>
      </w:pPr>
      <w:r w:rsidRPr="0064579A">
        <w:rPr>
          <w:rFonts w:ascii="Times New Roman" w:eastAsia="Times New Roman" w:hAnsi="Times New Roman" w:cs="Times New Roman"/>
          <w:b/>
          <w:sz w:val="24"/>
          <w:szCs w:val="24"/>
        </w:rPr>
        <w:t xml:space="preserve"> </w:t>
      </w:r>
    </w:p>
    <w:p w14:paraId="1C6D23F6" w14:textId="71400ECF" w:rsidR="004D0B64" w:rsidRPr="00312D4F" w:rsidRDefault="00312D4F" w:rsidP="004D0B64">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softHyphen/>
      </w:r>
    </w:p>
    <w:p w14:paraId="646A2822" w14:textId="6E36F7EF" w:rsidR="002E43FB" w:rsidRDefault="00003A23" w:rsidP="00792463">
      <w:pPr>
        <w:spacing w:after="240" w:line="360" w:lineRule="auto"/>
        <w:rPr>
          <w:rFonts w:ascii="Times New Roman" w:eastAsia="Times New Roman" w:hAnsi="Times New Roman" w:cs="Times New Roman"/>
          <w:sz w:val="24"/>
          <w:szCs w:val="24"/>
        </w:rPr>
      </w:pPr>
      <w:bookmarkStart w:id="29" w:name="_Hlk122950126"/>
      <w:r w:rsidRPr="00312D4F">
        <w:rPr>
          <w:rFonts w:ascii="Times New Roman" w:eastAsia="Times New Roman" w:hAnsi="Times New Roman" w:cs="Times New Roman"/>
          <w:sz w:val="24"/>
          <w:szCs w:val="24"/>
        </w:rPr>
        <w:t>Carbon and nitrogen isotope measurements on single amino acids were commercially performed by the University of Davis.</w:t>
      </w:r>
      <w:r w:rsidR="00A45DC2" w:rsidRPr="00A45DC2">
        <w:rPr>
          <w:rFonts w:ascii="Times New Roman" w:eastAsia="Times New Roman" w:hAnsi="Times New Roman" w:cs="Times New Roman"/>
          <w:sz w:val="24"/>
          <w:szCs w:val="24"/>
        </w:rPr>
        <w:t xml:space="preserve"> </w:t>
      </w:r>
      <w:r w:rsidR="00A45DC2">
        <w:rPr>
          <w:rFonts w:ascii="Times New Roman" w:eastAsia="Times New Roman" w:hAnsi="Times New Roman" w:cs="Times New Roman"/>
          <w:sz w:val="24"/>
          <w:szCs w:val="24"/>
        </w:rPr>
        <w:t xml:space="preserve">The measurements are calibrated against certified standard reference materials from USGS and IAEA. Internal reference materials with known isotopic values are </w:t>
      </w:r>
      <w:r w:rsidR="00A45DC2">
        <w:rPr>
          <w:rFonts w:ascii="Times New Roman" w:eastAsia="Times New Roman" w:hAnsi="Times New Roman" w:cs="Times New Roman"/>
          <w:sz w:val="24"/>
          <w:szCs w:val="24"/>
        </w:rPr>
        <w:lastRenderedPageBreak/>
        <w:t>used to measure accuracy and reproducibility.</w:t>
      </w:r>
      <w:r w:rsidRPr="00312D4F">
        <w:rPr>
          <w:rFonts w:ascii="Times New Roman" w:eastAsia="Times New Roman" w:hAnsi="Times New Roman" w:cs="Times New Roman"/>
          <w:sz w:val="24"/>
          <w:szCs w:val="24"/>
        </w:rPr>
        <w:t xml:space="preserve"> Reference materials were analyzed along with the samples and gave results consistent with expected values (Table S4.4).</w:t>
      </w:r>
      <w:r>
        <w:rPr>
          <w:rFonts w:ascii="Times New Roman" w:eastAsia="Times New Roman" w:hAnsi="Times New Roman" w:cs="Times New Roman"/>
          <w:sz w:val="24"/>
          <w:szCs w:val="24"/>
        </w:rPr>
        <w:t xml:space="preserve"> For Carbon and Nitrogen, the His, Met are below LOQ for all samples. </w:t>
      </w:r>
      <w:proofErr w:type="spellStart"/>
      <w:r>
        <w:rPr>
          <w:rFonts w:ascii="Times New Roman" w:eastAsia="Times New Roman" w:hAnsi="Times New Roman" w:cs="Times New Roman"/>
          <w:sz w:val="24"/>
          <w:szCs w:val="24"/>
        </w:rPr>
        <w:t>Hyp</w:t>
      </w:r>
      <w:proofErr w:type="spellEnd"/>
      <w:r>
        <w:rPr>
          <w:rFonts w:ascii="Times New Roman" w:eastAsia="Times New Roman" w:hAnsi="Times New Roman" w:cs="Times New Roman"/>
          <w:sz w:val="24"/>
          <w:szCs w:val="24"/>
        </w:rPr>
        <w:t>, Ile, Tyr are below LOQ for select sample</w:t>
      </w:r>
      <w:r w:rsidR="006D6D20">
        <w:rPr>
          <w:rFonts w:ascii="Times New Roman" w:eastAsia="Times New Roman" w:hAnsi="Times New Roman" w:cs="Times New Roman"/>
          <w:sz w:val="24"/>
          <w:szCs w:val="24"/>
        </w:rPr>
        <w:t>s</w:t>
      </w:r>
      <w:r>
        <w:rPr>
          <w:rFonts w:ascii="Times New Roman" w:eastAsia="Times New Roman" w:hAnsi="Times New Roman" w:cs="Times New Roman"/>
          <w:sz w:val="24"/>
          <w:szCs w:val="24"/>
        </w:rPr>
        <w:t>.</w:t>
      </w:r>
      <w:r w:rsidRPr="00312D4F">
        <w:rPr>
          <w:rFonts w:ascii="Times New Roman" w:eastAsia="Times New Roman" w:hAnsi="Times New Roman" w:cs="Times New Roman"/>
          <w:sz w:val="24"/>
          <w:szCs w:val="24"/>
        </w:rPr>
        <w:t xml:space="preserve"> </w:t>
      </w:r>
    </w:p>
    <w:p w14:paraId="7EB17F3E" w14:textId="77777777" w:rsidR="002E43FB" w:rsidRDefault="002E43FB" w:rsidP="00792463">
      <w:pPr>
        <w:spacing w:after="240" w:line="360" w:lineRule="auto"/>
        <w:rPr>
          <w:rFonts w:ascii="Times New Roman" w:eastAsia="Times New Roman" w:hAnsi="Times New Roman" w:cs="Times New Roman"/>
          <w:sz w:val="24"/>
          <w:szCs w:val="24"/>
        </w:rPr>
      </w:pPr>
    </w:p>
    <w:p w14:paraId="02C481A8" w14:textId="5F47E6B2" w:rsidR="00003A23" w:rsidRPr="00FE7273" w:rsidRDefault="00003A23" w:rsidP="00792463">
      <w:pPr>
        <w:spacing w:after="240" w:line="360" w:lineRule="auto"/>
        <w:rPr>
          <w:rFonts w:ascii="Times New Roman" w:eastAsia="Times New Roman" w:hAnsi="Times New Roman" w:cs="Times New Roman"/>
          <w:sz w:val="24"/>
          <w:szCs w:val="24"/>
        </w:rPr>
      </w:pPr>
      <w:r w:rsidRPr="00FE7273">
        <w:rPr>
          <w:rFonts w:ascii="Times New Roman" w:eastAsia="Times New Roman" w:hAnsi="Times New Roman" w:cs="Times New Roman"/>
          <w:sz w:val="24"/>
          <w:szCs w:val="24"/>
        </w:rPr>
        <w:t>In addition, we performed two additional controls:</w:t>
      </w:r>
    </w:p>
    <w:p w14:paraId="0B304DE4" w14:textId="1F1F2068" w:rsidR="00C9655F" w:rsidRPr="00FE7273" w:rsidRDefault="00C9655F" w:rsidP="00C9655F">
      <w:pPr>
        <w:pStyle w:val="Paragraphedeliste"/>
        <w:numPr>
          <w:ilvl w:val="0"/>
          <w:numId w:val="7"/>
        </w:numPr>
        <w:spacing w:after="240" w:line="360" w:lineRule="auto"/>
        <w:rPr>
          <w:rFonts w:asciiTheme="majorBidi" w:eastAsia="Times New Roman" w:hAnsiTheme="majorBidi" w:cstheme="majorBidi"/>
          <w:sz w:val="24"/>
          <w:szCs w:val="24"/>
        </w:rPr>
      </w:pPr>
      <w:r w:rsidRPr="00FE7273">
        <w:rPr>
          <w:rFonts w:ascii="Times New Roman" w:eastAsia="Times New Roman" w:hAnsi="Times New Roman" w:cs="Times New Roman"/>
          <w:sz w:val="24"/>
          <w:szCs w:val="24"/>
        </w:rPr>
        <w:t xml:space="preserve">- </w:t>
      </w:r>
      <w:r w:rsidR="00003A23" w:rsidRPr="00FE7273">
        <w:rPr>
          <w:rFonts w:ascii="Times New Roman" w:eastAsia="Times New Roman" w:hAnsi="Times New Roman" w:cs="Times New Roman"/>
          <w:sz w:val="24"/>
          <w:szCs w:val="24"/>
        </w:rPr>
        <w:t>We sent the reference material SRM 1477</w:t>
      </w:r>
      <w:r w:rsidR="0041613B" w:rsidRPr="00FE7273">
        <w:rPr>
          <w:rFonts w:ascii="Times New Roman" w:eastAsia="Times New Roman" w:hAnsi="Times New Roman" w:cs="Times New Roman"/>
          <w:sz w:val="24"/>
          <w:szCs w:val="24"/>
        </w:rPr>
        <w:t>c</w:t>
      </w:r>
      <w:r w:rsidR="00003A23" w:rsidRPr="00FE7273">
        <w:rPr>
          <w:rFonts w:ascii="Times New Roman" w:eastAsia="Times New Roman" w:hAnsi="Times New Roman" w:cs="Times New Roman"/>
          <w:sz w:val="24"/>
          <w:szCs w:val="24"/>
        </w:rPr>
        <w:t xml:space="preserve"> (bovine liver) that was previously analyzed and published in </w:t>
      </w:r>
      <w:proofErr w:type="spellStart"/>
      <w:r w:rsidR="00003A23" w:rsidRPr="00FE7273">
        <w:rPr>
          <w:rFonts w:ascii="Times New Roman" w:eastAsia="Times New Roman" w:hAnsi="Times New Roman" w:cs="Times New Roman"/>
          <w:sz w:val="24"/>
          <w:szCs w:val="24"/>
        </w:rPr>
        <w:t>Jaouen</w:t>
      </w:r>
      <w:proofErr w:type="spellEnd"/>
      <w:r w:rsidR="00003A23" w:rsidRPr="00FE7273">
        <w:rPr>
          <w:rFonts w:ascii="Times New Roman" w:eastAsia="Times New Roman" w:hAnsi="Times New Roman" w:cs="Times New Roman"/>
          <w:sz w:val="24"/>
          <w:szCs w:val="24"/>
        </w:rPr>
        <w:t xml:space="preserve"> et al (2019)</w:t>
      </w:r>
      <w:r w:rsidR="00E55454" w:rsidRPr="00FE7273">
        <w:rPr>
          <w:rFonts w:ascii="Times New Roman" w:eastAsia="Times New Roman" w:hAnsi="Times New Roman" w:cs="Times New Roman"/>
          <w:sz w:val="24"/>
          <w:szCs w:val="24"/>
        </w:rPr>
        <w:fldChar w:fldCharType="begin"/>
      </w:r>
      <w:r w:rsidR="000E7E53" w:rsidRPr="00FE7273">
        <w:rPr>
          <w:rFonts w:ascii="Times New Roman" w:eastAsia="Times New Roman" w:hAnsi="Times New Roman" w:cs="Times New Roman"/>
          <w:sz w:val="24"/>
          <w:szCs w:val="24"/>
        </w:rPr>
        <w:instrText xml:space="preserve"> ADDIN ZOTERO_ITEM CSL_CITATION {"citationID":"zRQAKuzg","properties":{"formattedCitation":"\\super 66\\nosupersub{}","plainCitation":"66","noteIndex":0},"citationItems":[{"id":145,"uris":["http://zotero.org/users/7125028/items/6TY8YHIJ"],"itemData":{"id":145,"type":"article-journal","abstract":"Isotope and archeological analyses of Paleolithic food webs have suggested that Neandertal subsistence relied mainly on the consumption of large herbivores. This conclusion was primarily based on elevated nitrogen isotope ratios in Neandertal bone collagen and has been significantly debated. This discussion relies on the observation that similar high nitrogen isotopes values could also be the result of the consumption of mammoths, young animals, putrid meat, cooked food, freshwater fish, carnivores, or mushrooms. Recently, compound-specific C and N isotope analyses of bone collagen amino acids have been demonstrated to add significantly more information about trophic levels and aquatic food consumption. We undertook single amino acid C and N isotope analysis on two Neandertals, which were characterized by exceptionally high N isotope ratios in their bulk bone or tooth collagen. We report here both C and N isotope ratios on single amino acids of collagen samples for these two Neandertals and associated fauna. The samples come from two sites dating to the Middle to Upper Paleolithic transition period (Les Cottés and Grotte du Renne, France). Our results reinforce the interpretation of Neandertal dietary adaptations as successful top-level carnivores, even after the arrival of modern humans in Europe. They also demonstrate that high δ15N values of bone collagen can solely be explained by mammal meat consumption, as supported by archeological and zooarcheological evidence, without necessarily invoking explanations including the processing of food (cooking, fermenting), the consumption of mammoths or young mammals, or additional (freshwater fish, mushrooms) dietary protein sources.","container-title":"Proceedings of the National Academy of Sciences","DOI":"10.1073/pnas.1814087116","ISSN":"0027-8424, 1091-6490","issue":"11","journalAbbreviation":"PNAS","language":"en","license":"Copyright © 2019 the Author(s). Published by PNAS.. https://creativecommons.org/licenses/by-nc-nd/4.0/This open access article is distributed under Creative Commons Attribution-NonCommercial-NoDerivatives License 4.0 (CC BY-NC-ND).","note":"publisher: National Academy of Sciences\nsection: Biological Sciences\nPMID: 30782806","page":"4928-4933","source":"www.pnas.org","title":"Exceptionally high δ15N values in collagen single amino acids confirm Neandertals as high-trophic level carnivores","volume":"116","author":[{"family":"Jaouen","given":"Klervia"},{"family":"Richards","given":"Michael P."},{"family":"Cabec","given":"Adeline Le"},{"family":"Welker","given":"Frido"},{"family":"Rendu","given":"William"},{"family":"Hublin","given":"Jean-Jacques"},{"family":"Soressi","given":"Marie"},{"family":"Talamo","given":"Sahra"}],"issued":{"date-parts":[["2019",3,12]]}}}],"schema":"https://github.com/citation-style-language/schema/raw/master/csl-citation.json"} </w:instrText>
      </w:r>
      <w:r w:rsidR="00E55454" w:rsidRPr="00FE7273">
        <w:rPr>
          <w:rFonts w:ascii="Times New Roman" w:eastAsia="Times New Roman" w:hAnsi="Times New Roman" w:cs="Times New Roman"/>
          <w:sz w:val="24"/>
          <w:szCs w:val="24"/>
        </w:rPr>
        <w:fldChar w:fldCharType="separate"/>
      </w:r>
      <w:r w:rsidR="000E7E53" w:rsidRPr="00FE7273">
        <w:rPr>
          <w:rFonts w:ascii="Times New Roman" w:hAnsi="Times New Roman" w:cs="Times New Roman"/>
          <w:sz w:val="24"/>
          <w:szCs w:val="24"/>
          <w:vertAlign w:val="superscript"/>
        </w:rPr>
        <w:t>66</w:t>
      </w:r>
      <w:r w:rsidR="00E55454" w:rsidRPr="00FE7273">
        <w:rPr>
          <w:rFonts w:ascii="Times New Roman" w:eastAsia="Times New Roman" w:hAnsi="Times New Roman" w:cs="Times New Roman"/>
          <w:sz w:val="24"/>
          <w:szCs w:val="24"/>
        </w:rPr>
        <w:fldChar w:fldCharType="end"/>
      </w:r>
      <w:r w:rsidR="00003A23" w:rsidRPr="00FE7273">
        <w:rPr>
          <w:rFonts w:ascii="Times New Roman" w:eastAsia="Times New Roman" w:hAnsi="Times New Roman" w:cs="Times New Roman"/>
          <w:sz w:val="24"/>
          <w:szCs w:val="24"/>
        </w:rPr>
        <w:t xml:space="preserve"> (Table S4.</w:t>
      </w:r>
      <w:r w:rsidR="006D6D20" w:rsidRPr="00FE7273">
        <w:rPr>
          <w:rFonts w:ascii="Times New Roman" w:eastAsia="Times New Roman" w:hAnsi="Times New Roman" w:cs="Times New Roman"/>
          <w:sz w:val="24"/>
          <w:szCs w:val="24"/>
        </w:rPr>
        <w:t>4</w:t>
      </w:r>
      <w:r w:rsidR="00003A23" w:rsidRPr="00FE7273">
        <w:rPr>
          <w:rFonts w:ascii="Times New Roman" w:eastAsia="Times New Roman" w:hAnsi="Times New Roman" w:cs="Times New Roman"/>
          <w:sz w:val="24"/>
          <w:szCs w:val="24"/>
        </w:rPr>
        <w:t>)</w:t>
      </w:r>
      <w:r w:rsidR="00FE0866" w:rsidRPr="00FE7273">
        <w:rPr>
          <w:rFonts w:ascii="Times New Roman" w:eastAsia="Times New Roman" w:hAnsi="Times New Roman" w:cs="Times New Roman"/>
          <w:sz w:val="24"/>
          <w:szCs w:val="24"/>
        </w:rPr>
        <w:t xml:space="preserve"> The carbon, the amino acids Ala, </w:t>
      </w:r>
      <w:proofErr w:type="spellStart"/>
      <w:r w:rsidR="00FE0866" w:rsidRPr="00FE7273">
        <w:rPr>
          <w:rFonts w:ascii="Times New Roman" w:eastAsia="Times New Roman" w:hAnsi="Times New Roman" w:cs="Times New Roman"/>
          <w:sz w:val="24"/>
          <w:szCs w:val="24"/>
        </w:rPr>
        <w:t>Gly</w:t>
      </w:r>
      <w:proofErr w:type="spellEnd"/>
      <w:r w:rsidR="00FE0866" w:rsidRPr="00FE7273">
        <w:rPr>
          <w:rFonts w:ascii="Times New Roman" w:eastAsia="Times New Roman" w:hAnsi="Times New Roman" w:cs="Times New Roman"/>
          <w:sz w:val="24"/>
          <w:szCs w:val="24"/>
        </w:rPr>
        <w:t xml:space="preserve">, Leu, Lys, </w:t>
      </w:r>
      <w:r w:rsidR="005322F4" w:rsidRPr="00FE7273">
        <w:rPr>
          <w:rFonts w:ascii="Times New Roman" w:eastAsia="Times New Roman" w:hAnsi="Times New Roman" w:cs="Times New Roman"/>
          <w:sz w:val="24"/>
          <w:szCs w:val="24"/>
        </w:rPr>
        <w:t xml:space="preserve">Val, Pro </w:t>
      </w:r>
      <w:proofErr w:type="spellStart"/>
      <w:r w:rsidR="00FE0866" w:rsidRPr="00FE7273">
        <w:rPr>
          <w:rFonts w:ascii="Times New Roman" w:eastAsia="Times New Roman" w:hAnsi="Times New Roman" w:cs="Times New Roman"/>
          <w:sz w:val="24"/>
          <w:szCs w:val="24"/>
        </w:rPr>
        <w:t>Phe</w:t>
      </w:r>
      <w:proofErr w:type="spellEnd"/>
      <w:r w:rsidR="00FE0866" w:rsidRPr="00FE7273">
        <w:rPr>
          <w:rFonts w:ascii="Times New Roman" w:eastAsia="Times New Roman" w:hAnsi="Times New Roman" w:cs="Times New Roman"/>
          <w:sz w:val="24"/>
          <w:szCs w:val="24"/>
        </w:rPr>
        <w:t xml:space="preserve"> and Val are within the values published in </w:t>
      </w:r>
      <w:proofErr w:type="spellStart"/>
      <w:r w:rsidR="00FE0866" w:rsidRPr="00FE7273">
        <w:rPr>
          <w:rFonts w:ascii="Times New Roman" w:eastAsia="Times New Roman" w:hAnsi="Times New Roman" w:cs="Times New Roman"/>
          <w:sz w:val="24"/>
          <w:szCs w:val="24"/>
        </w:rPr>
        <w:t>Joauen</w:t>
      </w:r>
      <w:proofErr w:type="spellEnd"/>
      <w:r w:rsidR="00FE0866" w:rsidRPr="00FE7273">
        <w:rPr>
          <w:rFonts w:ascii="Times New Roman" w:eastAsia="Times New Roman" w:hAnsi="Times New Roman" w:cs="Times New Roman"/>
          <w:sz w:val="24"/>
          <w:szCs w:val="24"/>
        </w:rPr>
        <w:t xml:space="preserve"> et al. 201</w:t>
      </w:r>
      <w:r w:rsidR="00E55454" w:rsidRPr="00FE7273">
        <w:rPr>
          <w:rFonts w:ascii="Times New Roman" w:eastAsia="Times New Roman" w:hAnsi="Times New Roman" w:cs="Times New Roman"/>
          <w:sz w:val="24"/>
          <w:szCs w:val="24"/>
        </w:rPr>
        <w:t>9</w:t>
      </w:r>
      <w:r w:rsidR="00FE0866" w:rsidRPr="00FE7273">
        <w:rPr>
          <w:rFonts w:ascii="Times New Roman" w:eastAsia="Times New Roman" w:hAnsi="Times New Roman" w:cs="Times New Roman"/>
          <w:sz w:val="24"/>
          <w:szCs w:val="24"/>
        </w:rPr>
        <w:t xml:space="preserve"> except for</w:t>
      </w:r>
      <w:r w:rsidR="00FE0866" w:rsidRPr="00A05E4F">
        <w:rPr>
          <w:rFonts w:ascii="Times New Roman" w:eastAsia="Times New Roman" w:hAnsi="Times New Roman" w:cs="Times New Roman"/>
          <w:sz w:val="24"/>
          <w:szCs w:val="24"/>
        </w:rPr>
        <w:t xml:space="preserve"> the </w:t>
      </w:r>
      <w:proofErr w:type="spellStart"/>
      <w:r w:rsidR="00FE0866" w:rsidRPr="00A05E4F">
        <w:rPr>
          <w:rFonts w:ascii="Times New Roman" w:eastAsia="Times New Roman" w:hAnsi="Times New Roman" w:cs="Times New Roman"/>
          <w:sz w:val="24"/>
          <w:szCs w:val="24"/>
        </w:rPr>
        <w:t>Asx</w:t>
      </w:r>
      <w:proofErr w:type="spellEnd"/>
      <w:r w:rsidR="00FE0866" w:rsidRPr="00A05E4F">
        <w:rPr>
          <w:rFonts w:ascii="Times New Roman" w:eastAsia="Times New Roman" w:hAnsi="Times New Roman" w:cs="Times New Roman"/>
          <w:sz w:val="24"/>
          <w:szCs w:val="24"/>
        </w:rPr>
        <w:t xml:space="preserve">, </w:t>
      </w:r>
      <w:proofErr w:type="spellStart"/>
      <w:r w:rsidR="00FE0866" w:rsidRPr="00A05E4F">
        <w:rPr>
          <w:rFonts w:ascii="Times New Roman" w:eastAsia="Times New Roman" w:hAnsi="Times New Roman" w:cs="Times New Roman"/>
          <w:sz w:val="24"/>
          <w:szCs w:val="24"/>
        </w:rPr>
        <w:t>Glx</w:t>
      </w:r>
      <w:proofErr w:type="spellEnd"/>
      <w:r w:rsidR="00FE0866" w:rsidRPr="00A05E4F">
        <w:rPr>
          <w:rFonts w:ascii="Times New Roman" w:eastAsia="Times New Roman" w:hAnsi="Times New Roman" w:cs="Times New Roman"/>
          <w:sz w:val="24"/>
          <w:szCs w:val="24"/>
        </w:rPr>
        <w:t xml:space="preserve"> and </w:t>
      </w:r>
      <w:proofErr w:type="spellStart"/>
      <w:r w:rsidR="00FE0866" w:rsidRPr="00A05E4F">
        <w:rPr>
          <w:rFonts w:ascii="Times New Roman" w:eastAsia="Times New Roman" w:hAnsi="Times New Roman" w:cs="Times New Roman"/>
          <w:sz w:val="24"/>
          <w:szCs w:val="24"/>
        </w:rPr>
        <w:t>Thr</w:t>
      </w:r>
      <w:proofErr w:type="spellEnd"/>
      <w:r w:rsidR="00FE0866" w:rsidRPr="00A05E4F">
        <w:rPr>
          <w:rFonts w:ascii="Times New Roman" w:eastAsia="Times New Roman" w:hAnsi="Times New Roman" w:cs="Times New Roman"/>
          <w:sz w:val="24"/>
          <w:szCs w:val="24"/>
        </w:rPr>
        <w:t xml:space="preserve">. </w:t>
      </w:r>
      <w:r w:rsidR="00E35BDF" w:rsidRPr="00FE7273">
        <w:rPr>
          <w:rFonts w:asciiTheme="majorBidi" w:hAnsiTheme="majorBidi" w:cstheme="majorBidi"/>
          <w:sz w:val="24"/>
          <w:szCs w:val="24"/>
        </w:rPr>
        <w:t xml:space="preserve">Since the publication of </w:t>
      </w:r>
      <w:proofErr w:type="spellStart"/>
      <w:r w:rsidR="00E35BDF" w:rsidRPr="00FE7273">
        <w:rPr>
          <w:rFonts w:asciiTheme="majorBidi" w:hAnsiTheme="majorBidi" w:cstheme="majorBidi"/>
          <w:sz w:val="24"/>
          <w:szCs w:val="24"/>
        </w:rPr>
        <w:t>Jaouen</w:t>
      </w:r>
      <w:proofErr w:type="spellEnd"/>
      <w:r w:rsidR="00E35BDF" w:rsidRPr="00FE7273">
        <w:rPr>
          <w:rFonts w:asciiTheme="majorBidi" w:hAnsiTheme="majorBidi" w:cstheme="majorBidi"/>
          <w:sz w:val="24"/>
          <w:szCs w:val="24"/>
        </w:rPr>
        <w:t xml:space="preserve"> et al., 2019, significant advancements have been made in measuring carbon isotopic values of threonine (</w:t>
      </w:r>
      <w:proofErr w:type="spellStart"/>
      <w:r w:rsidR="00E35BDF" w:rsidRPr="00FE7273">
        <w:rPr>
          <w:rFonts w:asciiTheme="majorBidi" w:hAnsiTheme="majorBidi" w:cstheme="majorBidi"/>
          <w:sz w:val="24"/>
          <w:szCs w:val="24"/>
        </w:rPr>
        <w:t>Thr</w:t>
      </w:r>
      <w:proofErr w:type="spellEnd"/>
      <w:r w:rsidR="00E35BDF" w:rsidRPr="00FE7273">
        <w:rPr>
          <w:rFonts w:asciiTheme="majorBidi" w:hAnsiTheme="majorBidi" w:cstheme="majorBidi"/>
          <w:sz w:val="24"/>
          <w:szCs w:val="24"/>
        </w:rPr>
        <w:t xml:space="preserve">). Unfortunately, there is currently a lack of available carbon isotopic data on </w:t>
      </w:r>
      <w:proofErr w:type="spellStart"/>
      <w:r w:rsidR="00E35BDF" w:rsidRPr="00FE7273">
        <w:rPr>
          <w:rFonts w:asciiTheme="majorBidi" w:hAnsiTheme="majorBidi" w:cstheme="majorBidi"/>
          <w:sz w:val="24"/>
          <w:szCs w:val="24"/>
        </w:rPr>
        <w:t>Thr</w:t>
      </w:r>
      <w:proofErr w:type="spellEnd"/>
      <w:r w:rsidR="00E35BDF" w:rsidRPr="00FE7273">
        <w:rPr>
          <w:rFonts w:asciiTheme="majorBidi" w:hAnsiTheme="majorBidi" w:cstheme="majorBidi"/>
          <w:sz w:val="24"/>
          <w:szCs w:val="24"/>
        </w:rPr>
        <w:t xml:space="preserve"> for SMR1577C beyond the aforementioned study. We should also mention that we did not include the </w:t>
      </w:r>
      <w:proofErr w:type="spellStart"/>
      <w:r w:rsidR="00E35BDF" w:rsidRPr="00FE7273">
        <w:rPr>
          <w:rFonts w:asciiTheme="majorBidi" w:hAnsiTheme="majorBidi" w:cstheme="majorBidi"/>
          <w:sz w:val="24"/>
          <w:szCs w:val="24"/>
        </w:rPr>
        <w:t>Thr</w:t>
      </w:r>
      <w:proofErr w:type="spellEnd"/>
      <w:r w:rsidR="00E35BDF" w:rsidRPr="00FE7273">
        <w:rPr>
          <w:rFonts w:asciiTheme="majorBidi" w:hAnsiTheme="majorBidi" w:cstheme="majorBidi"/>
          <w:sz w:val="24"/>
          <w:szCs w:val="24"/>
        </w:rPr>
        <w:t xml:space="preserve"> results in our PCA (</w:t>
      </w:r>
      <w:r w:rsidR="00E35BDF" w:rsidRPr="00FE7273">
        <w:rPr>
          <w:rFonts w:ascii="Times New Roman" w:eastAsia="Times New Roman" w:hAnsi="Times New Roman" w:cs="Times New Roman"/>
          <w:b/>
        </w:rPr>
        <w:t>Figure S4.1</w:t>
      </w:r>
      <w:r w:rsidR="00BA753D" w:rsidRPr="00FE7273">
        <w:rPr>
          <w:rFonts w:ascii="Times New Roman" w:eastAsia="Times New Roman" w:hAnsi="Times New Roman" w:cs="Times New Roman"/>
          <w:b/>
        </w:rPr>
        <w:t>9</w:t>
      </w:r>
      <w:r w:rsidR="00E35BDF" w:rsidRPr="00FE7273">
        <w:rPr>
          <w:rFonts w:ascii="Times New Roman" w:eastAsia="Times New Roman" w:hAnsi="Times New Roman" w:cs="Times New Roman"/>
          <w:b/>
        </w:rPr>
        <w:t>)</w:t>
      </w:r>
      <w:r w:rsidR="00E35BDF" w:rsidRPr="00FE7273">
        <w:rPr>
          <w:rFonts w:asciiTheme="majorBidi" w:hAnsiTheme="majorBidi" w:cstheme="majorBidi"/>
          <w:sz w:val="24"/>
          <w:szCs w:val="24"/>
        </w:rPr>
        <w:t xml:space="preserve">. </w:t>
      </w:r>
      <w:r w:rsidRPr="00FE7273">
        <w:rPr>
          <w:rFonts w:asciiTheme="majorBidi" w:hAnsiTheme="majorBidi" w:cstheme="majorBidi"/>
          <w:sz w:val="24"/>
          <w:szCs w:val="24"/>
        </w:rPr>
        <w:t xml:space="preserve"> Our current findings differ from those reported in </w:t>
      </w:r>
      <w:proofErr w:type="spellStart"/>
      <w:r w:rsidRPr="00FE7273">
        <w:rPr>
          <w:rFonts w:asciiTheme="majorBidi" w:hAnsiTheme="majorBidi" w:cstheme="majorBidi"/>
          <w:sz w:val="24"/>
          <w:szCs w:val="24"/>
        </w:rPr>
        <w:t>Jaouen</w:t>
      </w:r>
      <w:proofErr w:type="spellEnd"/>
      <w:r w:rsidRPr="00FE7273">
        <w:rPr>
          <w:rFonts w:asciiTheme="majorBidi" w:hAnsiTheme="majorBidi" w:cstheme="majorBidi"/>
          <w:sz w:val="24"/>
          <w:szCs w:val="24"/>
        </w:rPr>
        <w:t xml:space="preserve"> et al. 2019, but we cannot definitively determine whether our values or the values published in 2019 are accurate.</w:t>
      </w:r>
    </w:p>
    <w:p w14:paraId="596828B5" w14:textId="0C5837E5" w:rsidR="009A3B66" w:rsidRPr="001B27AE" w:rsidRDefault="00C9655F" w:rsidP="009A3B66">
      <w:pPr>
        <w:pStyle w:val="Paragraphedeliste"/>
        <w:spacing w:after="240" w:line="360" w:lineRule="auto"/>
        <w:rPr>
          <w:rFonts w:ascii="Times New Roman" w:eastAsia="Times New Roman" w:hAnsi="Times New Roman" w:cs="Times New Roman"/>
          <w:sz w:val="24"/>
          <w:szCs w:val="24"/>
        </w:rPr>
      </w:pPr>
      <w:r w:rsidRPr="00FE7273">
        <w:rPr>
          <w:rFonts w:ascii="Times New Roman" w:eastAsia="Times New Roman" w:hAnsi="Times New Roman" w:cs="Times New Roman"/>
          <w:sz w:val="24"/>
          <w:szCs w:val="24"/>
        </w:rPr>
        <w:t xml:space="preserve">- </w:t>
      </w:r>
      <w:r w:rsidR="009A3B66" w:rsidRPr="00FE7273">
        <w:rPr>
          <w:rFonts w:ascii="Times New Roman" w:eastAsia="Times New Roman" w:hAnsi="Times New Roman" w:cs="Times New Roman"/>
          <w:sz w:val="24"/>
          <w:szCs w:val="24"/>
        </w:rPr>
        <w:t xml:space="preserve">For nitrogen (Table 4.4) Ala, </w:t>
      </w:r>
      <w:proofErr w:type="spellStart"/>
      <w:r w:rsidR="009A3B66" w:rsidRPr="00FE7273">
        <w:rPr>
          <w:rFonts w:ascii="Times New Roman" w:eastAsia="Times New Roman" w:hAnsi="Times New Roman" w:cs="Times New Roman"/>
          <w:sz w:val="24"/>
          <w:szCs w:val="24"/>
        </w:rPr>
        <w:t>Asx</w:t>
      </w:r>
      <w:proofErr w:type="spellEnd"/>
      <w:r w:rsidR="009A3B66" w:rsidRPr="00FE7273">
        <w:rPr>
          <w:rFonts w:ascii="Times New Roman" w:eastAsia="Times New Roman" w:hAnsi="Times New Roman" w:cs="Times New Roman"/>
          <w:sz w:val="24"/>
          <w:szCs w:val="24"/>
        </w:rPr>
        <w:t xml:space="preserve">, </w:t>
      </w:r>
      <w:proofErr w:type="spellStart"/>
      <w:r w:rsidR="009A3B66" w:rsidRPr="00FE7273">
        <w:rPr>
          <w:rFonts w:ascii="Times New Roman" w:eastAsia="Times New Roman" w:hAnsi="Times New Roman" w:cs="Times New Roman"/>
          <w:sz w:val="24"/>
          <w:szCs w:val="24"/>
        </w:rPr>
        <w:t>Glx</w:t>
      </w:r>
      <w:proofErr w:type="spellEnd"/>
      <w:r w:rsidR="009A3B66" w:rsidRPr="00FE7273">
        <w:rPr>
          <w:rFonts w:ascii="Times New Roman" w:eastAsia="Times New Roman" w:hAnsi="Times New Roman" w:cs="Times New Roman"/>
          <w:sz w:val="24"/>
          <w:szCs w:val="24"/>
        </w:rPr>
        <w:t xml:space="preserve">, Leu, Pro, Ser, </w:t>
      </w:r>
      <w:proofErr w:type="spellStart"/>
      <w:r w:rsidR="009A3B66" w:rsidRPr="00FE7273">
        <w:rPr>
          <w:rFonts w:ascii="Times New Roman" w:eastAsia="Times New Roman" w:hAnsi="Times New Roman" w:cs="Times New Roman"/>
          <w:sz w:val="24"/>
          <w:szCs w:val="24"/>
        </w:rPr>
        <w:t>Thr</w:t>
      </w:r>
      <w:proofErr w:type="spellEnd"/>
      <w:r w:rsidR="009A3B66" w:rsidRPr="00FE7273">
        <w:rPr>
          <w:rFonts w:ascii="Times New Roman" w:eastAsia="Times New Roman" w:hAnsi="Times New Roman" w:cs="Times New Roman"/>
          <w:sz w:val="24"/>
          <w:szCs w:val="24"/>
        </w:rPr>
        <w:t xml:space="preserve"> and Val are within the published values except for Lys, </w:t>
      </w:r>
      <w:proofErr w:type="spellStart"/>
      <w:r w:rsidR="009A3B66" w:rsidRPr="00FE7273">
        <w:rPr>
          <w:rFonts w:ascii="Times New Roman" w:eastAsia="Times New Roman" w:hAnsi="Times New Roman" w:cs="Times New Roman"/>
          <w:sz w:val="24"/>
          <w:szCs w:val="24"/>
        </w:rPr>
        <w:t>Phe</w:t>
      </w:r>
      <w:proofErr w:type="spellEnd"/>
      <w:r w:rsidR="009A3B66" w:rsidRPr="00FE7273">
        <w:rPr>
          <w:rFonts w:ascii="Times New Roman" w:eastAsia="Times New Roman" w:hAnsi="Times New Roman" w:cs="Times New Roman"/>
          <w:sz w:val="24"/>
          <w:szCs w:val="24"/>
        </w:rPr>
        <w:t>.</w:t>
      </w:r>
      <w:r w:rsidR="009A3B66" w:rsidRPr="001B27AE">
        <w:rPr>
          <w:sz w:val="24"/>
          <w:szCs w:val="24"/>
        </w:rPr>
        <w:t xml:space="preserve"> </w:t>
      </w:r>
    </w:p>
    <w:p w14:paraId="47AEBF74" w14:textId="7B010D7D" w:rsidR="00003A23" w:rsidRPr="00A05E4F" w:rsidRDefault="00003A23" w:rsidP="00A05E4F">
      <w:pPr>
        <w:pStyle w:val="Paragraphedeliste"/>
        <w:spacing w:after="240" w:line="360" w:lineRule="auto"/>
        <w:rPr>
          <w:rFonts w:ascii="Times New Roman" w:eastAsia="Times New Roman" w:hAnsi="Times New Roman" w:cs="Times New Roman"/>
          <w:sz w:val="24"/>
          <w:szCs w:val="24"/>
        </w:rPr>
      </w:pPr>
    </w:p>
    <w:bookmarkEnd w:id="29"/>
    <w:p w14:paraId="39698968" w14:textId="6A0DA89B" w:rsidR="004D0B64" w:rsidRDefault="004D0B64" w:rsidP="004D0B64">
      <w:pPr>
        <w:spacing w:after="240" w:line="360" w:lineRule="auto"/>
        <w:rPr>
          <w:rFonts w:ascii="Times New Roman" w:eastAsia="Times New Roman" w:hAnsi="Times New Roman" w:cs="Times New Roman"/>
          <w:szCs w:val="24"/>
        </w:rPr>
      </w:pPr>
    </w:p>
    <w:p w14:paraId="290A3E04" w14:textId="626E9CEA" w:rsidR="00493174" w:rsidRDefault="00493174" w:rsidP="004D0B64">
      <w:pPr>
        <w:spacing w:after="240" w:line="360" w:lineRule="auto"/>
        <w:rPr>
          <w:rFonts w:ascii="Times New Roman" w:eastAsia="Times New Roman" w:hAnsi="Times New Roman" w:cs="Times New Roman"/>
          <w:szCs w:val="24"/>
        </w:rPr>
      </w:pPr>
    </w:p>
    <w:p w14:paraId="4886ABC0" w14:textId="4459A346" w:rsidR="00493174" w:rsidRDefault="00493174" w:rsidP="004D0B64">
      <w:pPr>
        <w:spacing w:after="240" w:line="360" w:lineRule="auto"/>
        <w:rPr>
          <w:rFonts w:ascii="Times New Roman" w:eastAsia="Times New Roman" w:hAnsi="Times New Roman" w:cs="Times New Roman"/>
          <w:szCs w:val="24"/>
        </w:rPr>
      </w:pPr>
    </w:p>
    <w:p w14:paraId="3DD99B88" w14:textId="7ABCFEFD" w:rsidR="00493174" w:rsidRDefault="00493174" w:rsidP="004D0B64">
      <w:pPr>
        <w:spacing w:after="240" w:line="360" w:lineRule="auto"/>
        <w:rPr>
          <w:rFonts w:ascii="Times New Roman" w:eastAsia="Times New Roman" w:hAnsi="Times New Roman" w:cs="Times New Roman"/>
          <w:szCs w:val="24"/>
        </w:rPr>
      </w:pPr>
    </w:p>
    <w:p w14:paraId="3F8F2E51" w14:textId="5E9B774F" w:rsidR="00493174" w:rsidRDefault="00493174" w:rsidP="004D0B64">
      <w:pPr>
        <w:spacing w:after="240" w:line="360" w:lineRule="auto"/>
        <w:rPr>
          <w:rFonts w:ascii="Times New Roman" w:eastAsia="Times New Roman" w:hAnsi="Times New Roman" w:cs="Times New Roman"/>
          <w:szCs w:val="24"/>
        </w:rPr>
      </w:pPr>
    </w:p>
    <w:p w14:paraId="0D3D00E5" w14:textId="3A94A9E6" w:rsidR="00493174" w:rsidRDefault="00493174" w:rsidP="004D0B64">
      <w:pPr>
        <w:spacing w:after="240" w:line="360" w:lineRule="auto"/>
        <w:rPr>
          <w:rFonts w:ascii="Times New Roman" w:eastAsia="Times New Roman" w:hAnsi="Times New Roman" w:cs="Times New Roman"/>
          <w:szCs w:val="24"/>
        </w:rPr>
      </w:pPr>
    </w:p>
    <w:p w14:paraId="7446AD1A" w14:textId="12F19210" w:rsidR="00493174" w:rsidRDefault="00493174" w:rsidP="004D0B64">
      <w:pPr>
        <w:spacing w:after="240" w:line="360" w:lineRule="auto"/>
        <w:rPr>
          <w:rFonts w:ascii="Times New Roman" w:eastAsia="Times New Roman" w:hAnsi="Times New Roman" w:cs="Times New Roman"/>
          <w:szCs w:val="24"/>
        </w:rPr>
      </w:pPr>
    </w:p>
    <w:p w14:paraId="340F0952" w14:textId="77777777" w:rsidR="00493174" w:rsidRDefault="00493174" w:rsidP="004D0B64">
      <w:pPr>
        <w:spacing w:after="240" w:line="360" w:lineRule="auto"/>
        <w:rPr>
          <w:rFonts w:ascii="Times New Roman" w:eastAsia="Times New Roman" w:hAnsi="Times New Roman" w:cs="Times New Roman"/>
          <w:szCs w:val="24"/>
        </w:rPr>
        <w:sectPr w:rsidR="00493174" w:rsidSect="00C12443">
          <w:pgSz w:w="12240" w:h="15840"/>
          <w:pgMar w:top="1440" w:right="1440" w:bottom="1440" w:left="1440" w:header="720" w:footer="720" w:gutter="0"/>
          <w:lnNumType w:countBy="1" w:restart="continuous"/>
          <w:pgNumType w:start="1"/>
          <w:cols w:space="720"/>
          <w:docGrid w:linePitch="299"/>
        </w:sectPr>
      </w:pPr>
    </w:p>
    <w:tbl>
      <w:tblPr>
        <w:tblpPr w:leftFromText="180" w:rightFromText="180" w:vertAnchor="page" w:horzAnchor="margin" w:tblpY="2881"/>
        <w:tblW w:w="5000" w:type="pct"/>
        <w:tblLook w:val="04A0" w:firstRow="1" w:lastRow="0" w:firstColumn="1" w:lastColumn="0" w:noHBand="0" w:noVBand="1"/>
      </w:tblPr>
      <w:tblGrid>
        <w:gridCol w:w="373"/>
        <w:gridCol w:w="857"/>
        <w:gridCol w:w="792"/>
        <w:gridCol w:w="1163"/>
        <w:gridCol w:w="791"/>
        <w:gridCol w:w="1163"/>
        <w:gridCol w:w="791"/>
        <w:gridCol w:w="1163"/>
        <w:gridCol w:w="791"/>
        <w:gridCol w:w="1163"/>
        <w:gridCol w:w="791"/>
        <w:gridCol w:w="1163"/>
        <w:gridCol w:w="791"/>
        <w:gridCol w:w="1163"/>
      </w:tblGrid>
      <w:tr w:rsidR="00052986" w:rsidRPr="00672068" w14:paraId="164A1971" w14:textId="77777777" w:rsidTr="004F79D0">
        <w:trPr>
          <w:trHeight w:val="311"/>
        </w:trPr>
        <w:tc>
          <w:tcPr>
            <w:tcW w:w="144" w:type="pct"/>
            <w:tcBorders>
              <w:top w:val="nil"/>
              <w:left w:val="nil"/>
              <w:bottom w:val="single" w:sz="4" w:space="0" w:color="auto"/>
              <w:right w:val="nil"/>
            </w:tcBorders>
            <w:shd w:val="clear" w:color="000000" w:fill="FFFFFF"/>
            <w:noWrap/>
            <w:vAlign w:val="bottom"/>
            <w:hideMark/>
          </w:tcPr>
          <w:p w14:paraId="1C9E930E" w14:textId="77777777" w:rsidR="00493174" w:rsidRDefault="00493174" w:rsidP="004F79D0">
            <w:pPr>
              <w:spacing w:after="0" w:line="240" w:lineRule="auto"/>
              <w:rPr>
                <w:rFonts w:asciiTheme="majorBidi" w:eastAsia="Times New Roman" w:hAnsiTheme="majorBidi" w:cstheme="majorBidi"/>
                <w:b/>
                <w:bCs/>
                <w:sz w:val="20"/>
                <w:szCs w:val="20"/>
                <w:lang w:eastAsia="en-US"/>
              </w:rPr>
            </w:pPr>
          </w:p>
          <w:p w14:paraId="3F85CBC2" w14:textId="02A8B118" w:rsidR="004F79D0" w:rsidRPr="00672068" w:rsidRDefault="004F79D0"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single" w:sz="4" w:space="0" w:color="auto"/>
              <w:right w:val="nil"/>
            </w:tcBorders>
            <w:shd w:val="clear" w:color="000000" w:fill="FFFFFF"/>
            <w:noWrap/>
            <w:vAlign w:val="bottom"/>
            <w:hideMark/>
          </w:tcPr>
          <w:p w14:paraId="0AE6B2BD"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755" w:type="pct"/>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4F63A74B"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Ala</w:t>
            </w:r>
          </w:p>
        </w:tc>
        <w:tc>
          <w:tcPr>
            <w:tcW w:w="754" w:type="pct"/>
            <w:gridSpan w:val="2"/>
            <w:tcBorders>
              <w:top w:val="single" w:sz="4" w:space="0" w:color="auto"/>
              <w:left w:val="nil"/>
              <w:bottom w:val="single" w:sz="4" w:space="0" w:color="auto"/>
              <w:right w:val="single" w:sz="4" w:space="0" w:color="000000"/>
            </w:tcBorders>
            <w:shd w:val="clear" w:color="000000" w:fill="FFFFFF"/>
            <w:noWrap/>
            <w:vAlign w:val="bottom"/>
            <w:hideMark/>
          </w:tcPr>
          <w:p w14:paraId="3D15CFA6"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Asx</w:t>
            </w:r>
            <w:proofErr w:type="spellEnd"/>
          </w:p>
        </w:tc>
        <w:tc>
          <w:tcPr>
            <w:tcW w:w="754" w:type="pct"/>
            <w:gridSpan w:val="2"/>
            <w:tcBorders>
              <w:top w:val="single" w:sz="4" w:space="0" w:color="auto"/>
              <w:left w:val="nil"/>
              <w:bottom w:val="single" w:sz="4" w:space="0" w:color="auto"/>
              <w:right w:val="single" w:sz="4" w:space="0" w:color="000000"/>
            </w:tcBorders>
            <w:shd w:val="clear" w:color="000000" w:fill="FFFFFF"/>
            <w:noWrap/>
            <w:vAlign w:val="bottom"/>
            <w:hideMark/>
          </w:tcPr>
          <w:p w14:paraId="08CBE042"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Glx</w:t>
            </w:r>
            <w:proofErr w:type="spellEnd"/>
          </w:p>
        </w:tc>
        <w:tc>
          <w:tcPr>
            <w:tcW w:w="754" w:type="pct"/>
            <w:gridSpan w:val="2"/>
            <w:tcBorders>
              <w:top w:val="single" w:sz="4" w:space="0" w:color="auto"/>
              <w:left w:val="nil"/>
              <w:bottom w:val="single" w:sz="4" w:space="0" w:color="auto"/>
              <w:right w:val="nil"/>
            </w:tcBorders>
            <w:shd w:val="clear" w:color="000000" w:fill="FFFFFF"/>
            <w:noWrap/>
            <w:vAlign w:val="bottom"/>
            <w:hideMark/>
          </w:tcPr>
          <w:p w14:paraId="10670C5C"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Gly</w:t>
            </w:r>
            <w:proofErr w:type="spellEnd"/>
          </w:p>
        </w:tc>
        <w:tc>
          <w:tcPr>
            <w:tcW w:w="754" w:type="pct"/>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5C51EABB"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Leu</w:t>
            </w:r>
          </w:p>
        </w:tc>
        <w:tc>
          <w:tcPr>
            <w:tcW w:w="754" w:type="pct"/>
            <w:gridSpan w:val="2"/>
            <w:tcBorders>
              <w:top w:val="single" w:sz="4" w:space="0" w:color="auto"/>
              <w:left w:val="nil"/>
              <w:bottom w:val="single" w:sz="4" w:space="0" w:color="auto"/>
              <w:right w:val="single" w:sz="4" w:space="0" w:color="000000"/>
            </w:tcBorders>
            <w:shd w:val="clear" w:color="000000" w:fill="FFFFFF"/>
            <w:noWrap/>
            <w:vAlign w:val="bottom"/>
            <w:hideMark/>
          </w:tcPr>
          <w:p w14:paraId="4DA6E272"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Lys</w:t>
            </w:r>
          </w:p>
        </w:tc>
      </w:tr>
      <w:tr w:rsidR="00052986" w:rsidRPr="00672068" w14:paraId="4D031F2E" w14:textId="77777777" w:rsidTr="004F79D0">
        <w:trPr>
          <w:trHeight w:val="311"/>
        </w:trPr>
        <w:tc>
          <w:tcPr>
            <w:tcW w:w="144"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33BEB85A" w14:textId="77777777" w:rsidR="00493174" w:rsidRPr="00672068" w:rsidRDefault="00493174" w:rsidP="004F79D0">
            <w:pPr>
              <w:spacing w:after="0" w:line="240" w:lineRule="auto"/>
              <w:ind w:left="113" w:right="113"/>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δ</w:t>
            </w:r>
            <w:r w:rsidRPr="00672068">
              <w:rPr>
                <w:rFonts w:asciiTheme="majorBidi" w:eastAsia="Times New Roman" w:hAnsiTheme="majorBidi" w:cstheme="majorBidi"/>
                <w:b/>
                <w:bCs/>
                <w:sz w:val="20"/>
                <w:szCs w:val="20"/>
                <w:vertAlign w:val="superscript"/>
                <w:lang w:eastAsia="en-US"/>
              </w:rPr>
              <w:t>13</w:t>
            </w:r>
            <w:r w:rsidRPr="00672068">
              <w:rPr>
                <w:rFonts w:asciiTheme="majorBidi" w:eastAsia="Times New Roman" w:hAnsiTheme="majorBidi" w:cstheme="majorBidi"/>
                <w:b/>
                <w:bCs/>
                <w:sz w:val="20"/>
                <w:szCs w:val="20"/>
                <w:lang w:eastAsia="en-US"/>
              </w:rPr>
              <w:t>C</w:t>
            </w:r>
          </w:p>
        </w:tc>
        <w:tc>
          <w:tcPr>
            <w:tcW w:w="331" w:type="pct"/>
            <w:tcBorders>
              <w:top w:val="single" w:sz="4" w:space="0" w:color="auto"/>
              <w:left w:val="nil"/>
              <w:bottom w:val="nil"/>
              <w:right w:val="nil"/>
            </w:tcBorders>
            <w:shd w:val="clear" w:color="000000" w:fill="FFFFFF"/>
            <w:noWrap/>
            <w:vAlign w:val="bottom"/>
            <w:hideMark/>
          </w:tcPr>
          <w:p w14:paraId="36B3264B"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6" w:type="pct"/>
            <w:tcBorders>
              <w:top w:val="nil"/>
              <w:left w:val="single" w:sz="4" w:space="0" w:color="auto"/>
              <w:bottom w:val="nil"/>
              <w:right w:val="nil"/>
            </w:tcBorders>
            <w:shd w:val="clear" w:color="000000" w:fill="FFFFFF"/>
            <w:noWrap/>
            <w:vAlign w:val="bottom"/>
            <w:hideMark/>
          </w:tcPr>
          <w:p w14:paraId="11D0DDAC"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r w:rsidRPr="00672068">
              <w:rPr>
                <w:rFonts w:asciiTheme="majorBidi" w:eastAsia="Times New Roman" w:hAnsiTheme="majorBidi" w:cstheme="majorBidi"/>
                <w:b/>
                <w:bCs/>
                <w:i/>
                <w:i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14D4BB78"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proofErr w:type="spellStart"/>
            <w:r w:rsidRPr="00672068">
              <w:rPr>
                <w:rFonts w:asciiTheme="majorBidi" w:eastAsia="Times New Roman" w:hAnsiTheme="majorBidi" w:cstheme="majorBidi"/>
                <w:b/>
                <w:bCs/>
                <w:i/>
                <w:iCs/>
                <w:sz w:val="20"/>
                <w:szCs w:val="20"/>
                <w:lang w:eastAsia="en-US"/>
              </w:rPr>
              <w:t>Jaouen</w:t>
            </w:r>
            <w:proofErr w:type="spellEnd"/>
            <w:r w:rsidRPr="00672068">
              <w:rPr>
                <w:rFonts w:asciiTheme="majorBidi" w:eastAsia="Times New Roman" w:hAnsiTheme="majorBidi" w:cstheme="majorBidi"/>
                <w:b/>
                <w:bCs/>
                <w:i/>
                <w:iCs/>
                <w:sz w:val="20"/>
                <w:szCs w:val="20"/>
                <w:lang w:eastAsia="en-US"/>
              </w:rPr>
              <w:t xml:space="preserve"> et al.2019</w:t>
            </w:r>
          </w:p>
        </w:tc>
        <w:tc>
          <w:tcPr>
            <w:tcW w:w="305" w:type="pct"/>
            <w:tcBorders>
              <w:top w:val="nil"/>
              <w:left w:val="nil"/>
              <w:bottom w:val="nil"/>
              <w:right w:val="nil"/>
            </w:tcBorders>
            <w:shd w:val="clear" w:color="000000" w:fill="FFFFFF"/>
            <w:noWrap/>
            <w:vAlign w:val="bottom"/>
            <w:hideMark/>
          </w:tcPr>
          <w:p w14:paraId="4028B5F9"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r w:rsidRPr="00672068">
              <w:rPr>
                <w:rFonts w:asciiTheme="majorBidi" w:eastAsia="Times New Roman" w:hAnsiTheme="majorBidi" w:cstheme="majorBidi"/>
                <w:b/>
                <w:bCs/>
                <w:i/>
                <w:i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74D9E0F4"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proofErr w:type="spellStart"/>
            <w:r w:rsidRPr="00672068">
              <w:rPr>
                <w:rFonts w:asciiTheme="majorBidi" w:eastAsia="Times New Roman" w:hAnsiTheme="majorBidi" w:cstheme="majorBidi"/>
                <w:b/>
                <w:bCs/>
                <w:i/>
                <w:iCs/>
                <w:sz w:val="20"/>
                <w:szCs w:val="20"/>
                <w:lang w:eastAsia="en-US"/>
              </w:rPr>
              <w:t>Jaouen</w:t>
            </w:r>
            <w:proofErr w:type="spellEnd"/>
            <w:r w:rsidRPr="00672068">
              <w:rPr>
                <w:rFonts w:asciiTheme="majorBidi" w:eastAsia="Times New Roman" w:hAnsiTheme="majorBidi" w:cstheme="majorBidi"/>
                <w:b/>
                <w:bCs/>
                <w:i/>
                <w:iCs/>
                <w:sz w:val="20"/>
                <w:szCs w:val="20"/>
                <w:lang w:eastAsia="en-US"/>
              </w:rPr>
              <w:t xml:space="preserve"> et al.2019</w:t>
            </w:r>
          </w:p>
        </w:tc>
        <w:tc>
          <w:tcPr>
            <w:tcW w:w="305" w:type="pct"/>
            <w:tcBorders>
              <w:top w:val="nil"/>
              <w:left w:val="nil"/>
              <w:bottom w:val="nil"/>
              <w:right w:val="nil"/>
            </w:tcBorders>
            <w:shd w:val="clear" w:color="000000" w:fill="FFFFFF"/>
            <w:noWrap/>
            <w:vAlign w:val="bottom"/>
            <w:hideMark/>
          </w:tcPr>
          <w:p w14:paraId="6597E620"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r w:rsidRPr="00672068">
              <w:rPr>
                <w:rFonts w:asciiTheme="majorBidi" w:eastAsia="Times New Roman" w:hAnsiTheme="majorBidi" w:cstheme="majorBidi"/>
                <w:b/>
                <w:bCs/>
                <w:i/>
                <w:i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0F6452A3"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proofErr w:type="spellStart"/>
            <w:r w:rsidRPr="00672068">
              <w:rPr>
                <w:rFonts w:asciiTheme="majorBidi" w:eastAsia="Times New Roman" w:hAnsiTheme="majorBidi" w:cstheme="majorBidi"/>
                <w:b/>
                <w:bCs/>
                <w:i/>
                <w:iCs/>
                <w:sz w:val="20"/>
                <w:szCs w:val="20"/>
                <w:lang w:eastAsia="en-US"/>
              </w:rPr>
              <w:t>Jaouen</w:t>
            </w:r>
            <w:proofErr w:type="spellEnd"/>
            <w:r w:rsidRPr="00672068">
              <w:rPr>
                <w:rFonts w:asciiTheme="majorBidi" w:eastAsia="Times New Roman" w:hAnsiTheme="majorBidi" w:cstheme="majorBidi"/>
                <w:b/>
                <w:bCs/>
                <w:i/>
                <w:iCs/>
                <w:sz w:val="20"/>
                <w:szCs w:val="20"/>
                <w:lang w:eastAsia="en-US"/>
              </w:rPr>
              <w:t xml:space="preserve"> et al.2019</w:t>
            </w:r>
          </w:p>
        </w:tc>
        <w:tc>
          <w:tcPr>
            <w:tcW w:w="305" w:type="pct"/>
            <w:tcBorders>
              <w:top w:val="single" w:sz="4" w:space="0" w:color="auto"/>
              <w:left w:val="nil"/>
              <w:bottom w:val="nil"/>
              <w:right w:val="nil"/>
            </w:tcBorders>
            <w:shd w:val="clear" w:color="000000" w:fill="FFFFFF"/>
            <w:noWrap/>
            <w:vAlign w:val="bottom"/>
            <w:hideMark/>
          </w:tcPr>
          <w:p w14:paraId="16C2F81B"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r w:rsidRPr="00672068">
              <w:rPr>
                <w:rFonts w:asciiTheme="majorBidi" w:eastAsia="Times New Roman" w:hAnsiTheme="majorBidi" w:cstheme="majorBidi"/>
                <w:b/>
                <w:bCs/>
                <w:i/>
                <w:iCs/>
                <w:sz w:val="20"/>
                <w:szCs w:val="20"/>
                <w:lang w:eastAsia="en-US"/>
              </w:rPr>
              <w:t>This study</w:t>
            </w:r>
          </w:p>
        </w:tc>
        <w:tc>
          <w:tcPr>
            <w:tcW w:w="449" w:type="pct"/>
            <w:tcBorders>
              <w:top w:val="single" w:sz="4" w:space="0" w:color="auto"/>
              <w:left w:val="nil"/>
              <w:bottom w:val="nil"/>
              <w:right w:val="nil"/>
            </w:tcBorders>
            <w:shd w:val="clear" w:color="000000" w:fill="FFFFFF"/>
            <w:noWrap/>
            <w:vAlign w:val="bottom"/>
            <w:hideMark/>
          </w:tcPr>
          <w:p w14:paraId="50B4E2D3"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proofErr w:type="spellStart"/>
            <w:r w:rsidRPr="00672068">
              <w:rPr>
                <w:rFonts w:asciiTheme="majorBidi" w:eastAsia="Times New Roman" w:hAnsiTheme="majorBidi" w:cstheme="majorBidi"/>
                <w:b/>
                <w:bCs/>
                <w:i/>
                <w:iCs/>
                <w:sz w:val="20"/>
                <w:szCs w:val="20"/>
                <w:lang w:eastAsia="en-US"/>
              </w:rPr>
              <w:t>Jaouen</w:t>
            </w:r>
            <w:proofErr w:type="spellEnd"/>
            <w:r w:rsidRPr="00672068">
              <w:rPr>
                <w:rFonts w:asciiTheme="majorBidi" w:eastAsia="Times New Roman" w:hAnsiTheme="majorBidi" w:cstheme="majorBidi"/>
                <w:b/>
                <w:bCs/>
                <w:i/>
                <w:iCs/>
                <w:sz w:val="20"/>
                <w:szCs w:val="20"/>
                <w:lang w:eastAsia="en-US"/>
              </w:rPr>
              <w:t xml:space="preserve"> et al.2019</w:t>
            </w:r>
          </w:p>
        </w:tc>
        <w:tc>
          <w:tcPr>
            <w:tcW w:w="305" w:type="pct"/>
            <w:tcBorders>
              <w:top w:val="nil"/>
              <w:left w:val="single" w:sz="4" w:space="0" w:color="auto"/>
              <w:bottom w:val="nil"/>
              <w:right w:val="nil"/>
            </w:tcBorders>
            <w:shd w:val="clear" w:color="000000" w:fill="FFFFFF"/>
            <w:noWrap/>
            <w:vAlign w:val="bottom"/>
            <w:hideMark/>
          </w:tcPr>
          <w:p w14:paraId="466E8946"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r w:rsidRPr="00672068">
              <w:rPr>
                <w:rFonts w:asciiTheme="majorBidi" w:eastAsia="Times New Roman" w:hAnsiTheme="majorBidi" w:cstheme="majorBidi"/>
                <w:b/>
                <w:bCs/>
                <w:i/>
                <w:i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19952D5B"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proofErr w:type="spellStart"/>
            <w:r w:rsidRPr="00672068">
              <w:rPr>
                <w:rFonts w:asciiTheme="majorBidi" w:eastAsia="Times New Roman" w:hAnsiTheme="majorBidi" w:cstheme="majorBidi"/>
                <w:b/>
                <w:bCs/>
                <w:i/>
                <w:iCs/>
                <w:sz w:val="20"/>
                <w:szCs w:val="20"/>
                <w:lang w:eastAsia="en-US"/>
              </w:rPr>
              <w:t>Jaouen</w:t>
            </w:r>
            <w:proofErr w:type="spellEnd"/>
            <w:r w:rsidRPr="00672068">
              <w:rPr>
                <w:rFonts w:asciiTheme="majorBidi" w:eastAsia="Times New Roman" w:hAnsiTheme="majorBidi" w:cstheme="majorBidi"/>
                <w:b/>
                <w:bCs/>
                <w:i/>
                <w:iCs/>
                <w:sz w:val="20"/>
                <w:szCs w:val="20"/>
                <w:lang w:eastAsia="en-US"/>
              </w:rPr>
              <w:t xml:space="preserve"> et al.2019</w:t>
            </w:r>
          </w:p>
        </w:tc>
        <w:tc>
          <w:tcPr>
            <w:tcW w:w="305" w:type="pct"/>
            <w:tcBorders>
              <w:top w:val="nil"/>
              <w:left w:val="nil"/>
              <w:bottom w:val="nil"/>
              <w:right w:val="nil"/>
            </w:tcBorders>
            <w:shd w:val="clear" w:color="000000" w:fill="FFFFFF"/>
            <w:noWrap/>
            <w:vAlign w:val="bottom"/>
            <w:hideMark/>
          </w:tcPr>
          <w:p w14:paraId="0AF9B741"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r w:rsidRPr="00672068">
              <w:rPr>
                <w:rFonts w:asciiTheme="majorBidi" w:eastAsia="Times New Roman" w:hAnsiTheme="majorBidi" w:cstheme="majorBidi"/>
                <w:b/>
                <w:bCs/>
                <w:i/>
                <w:i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28F7FF1F" w14:textId="77777777" w:rsidR="00493174" w:rsidRPr="00672068" w:rsidRDefault="00493174" w:rsidP="004F79D0">
            <w:pPr>
              <w:spacing w:after="0" w:line="240" w:lineRule="auto"/>
              <w:jc w:val="center"/>
              <w:rPr>
                <w:rFonts w:asciiTheme="majorBidi" w:eastAsia="Times New Roman" w:hAnsiTheme="majorBidi" w:cstheme="majorBidi"/>
                <w:b/>
                <w:bCs/>
                <w:i/>
                <w:iCs/>
                <w:sz w:val="20"/>
                <w:szCs w:val="20"/>
                <w:lang w:eastAsia="en-US"/>
              </w:rPr>
            </w:pPr>
            <w:proofErr w:type="spellStart"/>
            <w:r w:rsidRPr="00672068">
              <w:rPr>
                <w:rFonts w:asciiTheme="majorBidi" w:eastAsia="Times New Roman" w:hAnsiTheme="majorBidi" w:cstheme="majorBidi"/>
                <w:b/>
                <w:bCs/>
                <w:i/>
                <w:iCs/>
                <w:sz w:val="20"/>
                <w:szCs w:val="20"/>
                <w:lang w:eastAsia="en-US"/>
              </w:rPr>
              <w:t>Jaouen</w:t>
            </w:r>
            <w:proofErr w:type="spellEnd"/>
            <w:r w:rsidRPr="00672068">
              <w:rPr>
                <w:rFonts w:asciiTheme="majorBidi" w:eastAsia="Times New Roman" w:hAnsiTheme="majorBidi" w:cstheme="majorBidi"/>
                <w:b/>
                <w:bCs/>
                <w:i/>
                <w:iCs/>
                <w:sz w:val="20"/>
                <w:szCs w:val="20"/>
                <w:lang w:eastAsia="en-US"/>
              </w:rPr>
              <w:t xml:space="preserve"> et al.2019</w:t>
            </w:r>
          </w:p>
        </w:tc>
      </w:tr>
      <w:tr w:rsidR="00052986" w:rsidRPr="00672068" w14:paraId="355534A0"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0BCFF62A"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nil"/>
              <w:right w:val="nil"/>
            </w:tcBorders>
            <w:shd w:val="clear" w:color="000000" w:fill="FFFFFF"/>
            <w:noWrap/>
            <w:vAlign w:val="bottom"/>
            <w:hideMark/>
          </w:tcPr>
          <w:p w14:paraId="4423638D"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Mean value</w:t>
            </w:r>
          </w:p>
        </w:tc>
        <w:tc>
          <w:tcPr>
            <w:tcW w:w="306" w:type="pct"/>
            <w:tcBorders>
              <w:top w:val="nil"/>
              <w:left w:val="single" w:sz="4" w:space="0" w:color="auto"/>
              <w:bottom w:val="nil"/>
              <w:right w:val="nil"/>
            </w:tcBorders>
            <w:shd w:val="clear" w:color="000000" w:fill="FFFFFF"/>
            <w:noWrap/>
            <w:vAlign w:val="bottom"/>
            <w:hideMark/>
          </w:tcPr>
          <w:p w14:paraId="1CAEFE34"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-20.18</w:t>
            </w:r>
          </w:p>
        </w:tc>
        <w:tc>
          <w:tcPr>
            <w:tcW w:w="449" w:type="pct"/>
            <w:tcBorders>
              <w:top w:val="nil"/>
              <w:left w:val="nil"/>
              <w:bottom w:val="nil"/>
              <w:right w:val="single" w:sz="4" w:space="0" w:color="auto"/>
            </w:tcBorders>
            <w:shd w:val="clear" w:color="000000" w:fill="FFFFFF"/>
            <w:noWrap/>
            <w:vAlign w:val="bottom"/>
            <w:hideMark/>
          </w:tcPr>
          <w:p w14:paraId="005ACC8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-19.82</w:t>
            </w:r>
          </w:p>
        </w:tc>
        <w:tc>
          <w:tcPr>
            <w:tcW w:w="305" w:type="pct"/>
            <w:tcBorders>
              <w:top w:val="nil"/>
              <w:left w:val="single" w:sz="4" w:space="0" w:color="auto"/>
              <w:bottom w:val="nil"/>
              <w:right w:val="nil"/>
            </w:tcBorders>
            <w:shd w:val="clear" w:color="000000" w:fill="FFFFFF"/>
            <w:noWrap/>
            <w:vAlign w:val="bottom"/>
            <w:hideMark/>
          </w:tcPr>
          <w:p w14:paraId="36656DB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-16.06</w:t>
            </w:r>
          </w:p>
        </w:tc>
        <w:tc>
          <w:tcPr>
            <w:tcW w:w="449" w:type="pct"/>
            <w:tcBorders>
              <w:top w:val="nil"/>
              <w:left w:val="nil"/>
              <w:bottom w:val="nil"/>
              <w:right w:val="single" w:sz="4" w:space="0" w:color="auto"/>
            </w:tcBorders>
            <w:shd w:val="clear" w:color="000000" w:fill="FFFFFF"/>
            <w:noWrap/>
            <w:vAlign w:val="bottom"/>
            <w:hideMark/>
          </w:tcPr>
          <w:p w14:paraId="6C2F36C3" w14:textId="726F6540"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-12.8</w:t>
            </w:r>
            <w:r w:rsidR="00636878">
              <w:rPr>
                <w:rFonts w:asciiTheme="majorBidi" w:eastAsia="Times New Roman" w:hAnsiTheme="majorBidi" w:cstheme="majorBidi"/>
                <w:sz w:val="20"/>
                <w:szCs w:val="20"/>
                <w:lang w:eastAsia="en-US"/>
              </w:rPr>
              <w:t>1</w:t>
            </w:r>
          </w:p>
        </w:tc>
        <w:tc>
          <w:tcPr>
            <w:tcW w:w="305" w:type="pct"/>
            <w:tcBorders>
              <w:top w:val="nil"/>
              <w:left w:val="single" w:sz="4" w:space="0" w:color="auto"/>
              <w:bottom w:val="nil"/>
              <w:right w:val="nil"/>
            </w:tcBorders>
            <w:shd w:val="clear" w:color="000000" w:fill="FFFFFF"/>
            <w:noWrap/>
            <w:vAlign w:val="bottom"/>
            <w:hideMark/>
          </w:tcPr>
          <w:p w14:paraId="6A54B5EC"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-14.63</w:t>
            </w:r>
          </w:p>
        </w:tc>
        <w:tc>
          <w:tcPr>
            <w:tcW w:w="449" w:type="pct"/>
            <w:tcBorders>
              <w:top w:val="nil"/>
              <w:left w:val="nil"/>
              <w:bottom w:val="nil"/>
              <w:right w:val="single" w:sz="4" w:space="0" w:color="auto"/>
            </w:tcBorders>
            <w:shd w:val="clear" w:color="000000" w:fill="FFFFFF"/>
            <w:noWrap/>
            <w:vAlign w:val="bottom"/>
            <w:hideMark/>
          </w:tcPr>
          <w:p w14:paraId="4ED40BE8"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-16.56</w:t>
            </w:r>
          </w:p>
        </w:tc>
        <w:tc>
          <w:tcPr>
            <w:tcW w:w="305" w:type="pct"/>
            <w:tcBorders>
              <w:top w:val="nil"/>
              <w:left w:val="nil"/>
              <w:bottom w:val="nil"/>
              <w:right w:val="nil"/>
            </w:tcBorders>
            <w:shd w:val="clear" w:color="000000" w:fill="FFFFFF"/>
            <w:noWrap/>
            <w:vAlign w:val="bottom"/>
            <w:hideMark/>
          </w:tcPr>
          <w:p w14:paraId="37D98FB5"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-10.04</w:t>
            </w:r>
          </w:p>
        </w:tc>
        <w:tc>
          <w:tcPr>
            <w:tcW w:w="449" w:type="pct"/>
            <w:tcBorders>
              <w:top w:val="nil"/>
              <w:left w:val="nil"/>
              <w:bottom w:val="nil"/>
              <w:right w:val="nil"/>
            </w:tcBorders>
            <w:shd w:val="clear" w:color="000000" w:fill="FFFFFF"/>
            <w:noWrap/>
            <w:vAlign w:val="bottom"/>
            <w:hideMark/>
          </w:tcPr>
          <w:p w14:paraId="306AF716"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-8.10</w:t>
            </w:r>
          </w:p>
        </w:tc>
        <w:tc>
          <w:tcPr>
            <w:tcW w:w="305" w:type="pct"/>
            <w:tcBorders>
              <w:top w:val="nil"/>
              <w:left w:val="single" w:sz="4" w:space="0" w:color="auto"/>
              <w:bottom w:val="nil"/>
              <w:right w:val="nil"/>
            </w:tcBorders>
            <w:shd w:val="clear" w:color="000000" w:fill="FFFFFF"/>
            <w:noWrap/>
            <w:vAlign w:val="bottom"/>
            <w:hideMark/>
          </w:tcPr>
          <w:p w14:paraId="1295C2C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-28.89</w:t>
            </w:r>
          </w:p>
        </w:tc>
        <w:tc>
          <w:tcPr>
            <w:tcW w:w="449" w:type="pct"/>
            <w:tcBorders>
              <w:top w:val="nil"/>
              <w:left w:val="nil"/>
              <w:bottom w:val="nil"/>
              <w:right w:val="single" w:sz="4" w:space="0" w:color="auto"/>
            </w:tcBorders>
            <w:shd w:val="clear" w:color="000000" w:fill="FFFFFF"/>
            <w:noWrap/>
            <w:vAlign w:val="bottom"/>
            <w:hideMark/>
          </w:tcPr>
          <w:p w14:paraId="165E70E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-29.66</w:t>
            </w:r>
          </w:p>
        </w:tc>
        <w:tc>
          <w:tcPr>
            <w:tcW w:w="305" w:type="pct"/>
            <w:tcBorders>
              <w:top w:val="nil"/>
              <w:left w:val="single" w:sz="4" w:space="0" w:color="auto"/>
              <w:bottom w:val="nil"/>
              <w:right w:val="nil"/>
            </w:tcBorders>
            <w:shd w:val="clear" w:color="000000" w:fill="FFFFFF"/>
            <w:noWrap/>
            <w:vAlign w:val="bottom"/>
            <w:hideMark/>
          </w:tcPr>
          <w:p w14:paraId="401E76F5"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-16.64</w:t>
            </w:r>
          </w:p>
        </w:tc>
        <w:tc>
          <w:tcPr>
            <w:tcW w:w="449" w:type="pct"/>
            <w:tcBorders>
              <w:top w:val="nil"/>
              <w:left w:val="nil"/>
              <w:bottom w:val="nil"/>
              <w:right w:val="single" w:sz="4" w:space="0" w:color="auto"/>
            </w:tcBorders>
            <w:shd w:val="clear" w:color="000000" w:fill="FFFFFF"/>
            <w:noWrap/>
            <w:vAlign w:val="bottom"/>
            <w:hideMark/>
          </w:tcPr>
          <w:p w14:paraId="6BC66673"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-15.89</w:t>
            </w:r>
          </w:p>
        </w:tc>
      </w:tr>
      <w:tr w:rsidR="00052986" w:rsidRPr="00672068" w14:paraId="5801B524"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20D0B8DE"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nil"/>
              <w:right w:val="nil"/>
            </w:tcBorders>
            <w:shd w:val="clear" w:color="000000" w:fill="FFFFFF"/>
            <w:noWrap/>
            <w:vAlign w:val="bottom"/>
            <w:hideMark/>
          </w:tcPr>
          <w:p w14:paraId="0250CEDB"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SD</w:t>
            </w:r>
          </w:p>
        </w:tc>
        <w:tc>
          <w:tcPr>
            <w:tcW w:w="306" w:type="pct"/>
            <w:tcBorders>
              <w:top w:val="nil"/>
              <w:left w:val="single" w:sz="4" w:space="0" w:color="auto"/>
              <w:bottom w:val="nil"/>
              <w:right w:val="nil"/>
            </w:tcBorders>
            <w:shd w:val="clear" w:color="000000" w:fill="FFFFFF"/>
            <w:noWrap/>
            <w:vAlign w:val="bottom"/>
            <w:hideMark/>
          </w:tcPr>
          <w:p w14:paraId="711C4F7E"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1.14</w:t>
            </w:r>
          </w:p>
        </w:tc>
        <w:tc>
          <w:tcPr>
            <w:tcW w:w="449" w:type="pct"/>
            <w:tcBorders>
              <w:top w:val="nil"/>
              <w:left w:val="nil"/>
              <w:bottom w:val="nil"/>
              <w:right w:val="single" w:sz="4" w:space="0" w:color="auto"/>
            </w:tcBorders>
            <w:shd w:val="clear" w:color="000000" w:fill="FFFFFF"/>
            <w:noWrap/>
            <w:vAlign w:val="bottom"/>
            <w:hideMark/>
          </w:tcPr>
          <w:p w14:paraId="66228DDC"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0.47</w:t>
            </w:r>
          </w:p>
        </w:tc>
        <w:tc>
          <w:tcPr>
            <w:tcW w:w="305" w:type="pct"/>
            <w:tcBorders>
              <w:top w:val="nil"/>
              <w:left w:val="single" w:sz="4" w:space="0" w:color="auto"/>
              <w:bottom w:val="nil"/>
              <w:right w:val="nil"/>
            </w:tcBorders>
            <w:shd w:val="clear" w:color="000000" w:fill="FFFFFF"/>
            <w:noWrap/>
            <w:vAlign w:val="bottom"/>
            <w:hideMark/>
          </w:tcPr>
          <w:p w14:paraId="56A90FDB"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0.91</w:t>
            </w:r>
          </w:p>
        </w:tc>
        <w:tc>
          <w:tcPr>
            <w:tcW w:w="449" w:type="pct"/>
            <w:tcBorders>
              <w:top w:val="nil"/>
              <w:left w:val="nil"/>
              <w:bottom w:val="nil"/>
              <w:right w:val="single" w:sz="4" w:space="0" w:color="auto"/>
            </w:tcBorders>
            <w:shd w:val="clear" w:color="000000" w:fill="FFFFFF"/>
            <w:noWrap/>
            <w:vAlign w:val="bottom"/>
            <w:hideMark/>
          </w:tcPr>
          <w:p w14:paraId="2ED223B8" w14:textId="368C459B"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w:t>
            </w:r>
            <w:r w:rsidR="00636878">
              <w:rPr>
                <w:rFonts w:asciiTheme="majorBidi" w:eastAsia="Times New Roman" w:hAnsiTheme="majorBidi" w:cstheme="majorBidi"/>
                <w:sz w:val="20"/>
                <w:szCs w:val="20"/>
                <w:lang w:eastAsia="en-US"/>
              </w:rPr>
              <w:t>25</w:t>
            </w:r>
          </w:p>
        </w:tc>
        <w:tc>
          <w:tcPr>
            <w:tcW w:w="305" w:type="pct"/>
            <w:tcBorders>
              <w:top w:val="nil"/>
              <w:left w:val="single" w:sz="4" w:space="0" w:color="auto"/>
              <w:bottom w:val="nil"/>
              <w:right w:val="nil"/>
            </w:tcBorders>
            <w:shd w:val="clear" w:color="000000" w:fill="FFFFFF"/>
            <w:noWrap/>
            <w:vAlign w:val="bottom"/>
            <w:hideMark/>
          </w:tcPr>
          <w:p w14:paraId="4EB1178B"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0.51</w:t>
            </w:r>
          </w:p>
        </w:tc>
        <w:tc>
          <w:tcPr>
            <w:tcW w:w="449" w:type="pct"/>
            <w:tcBorders>
              <w:top w:val="nil"/>
              <w:left w:val="nil"/>
              <w:bottom w:val="nil"/>
              <w:right w:val="single" w:sz="4" w:space="0" w:color="auto"/>
            </w:tcBorders>
            <w:shd w:val="clear" w:color="000000" w:fill="FFFFFF"/>
            <w:noWrap/>
            <w:vAlign w:val="bottom"/>
            <w:hideMark/>
          </w:tcPr>
          <w:p w14:paraId="7AE11732"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0.41</w:t>
            </w:r>
          </w:p>
        </w:tc>
        <w:tc>
          <w:tcPr>
            <w:tcW w:w="305" w:type="pct"/>
            <w:tcBorders>
              <w:top w:val="nil"/>
              <w:left w:val="nil"/>
              <w:bottom w:val="nil"/>
              <w:right w:val="nil"/>
            </w:tcBorders>
            <w:shd w:val="clear" w:color="000000" w:fill="FFFFFF"/>
            <w:noWrap/>
            <w:vAlign w:val="bottom"/>
            <w:hideMark/>
          </w:tcPr>
          <w:p w14:paraId="2843C1FE"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0.98</w:t>
            </w:r>
          </w:p>
        </w:tc>
        <w:tc>
          <w:tcPr>
            <w:tcW w:w="449" w:type="pct"/>
            <w:tcBorders>
              <w:top w:val="nil"/>
              <w:left w:val="nil"/>
              <w:bottom w:val="nil"/>
              <w:right w:val="nil"/>
            </w:tcBorders>
            <w:shd w:val="clear" w:color="000000" w:fill="FFFFFF"/>
            <w:noWrap/>
            <w:vAlign w:val="bottom"/>
            <w:hideMark/>
          </w:tcPr>
          <w:p w14:paraId="4A75E53F"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1.15</w:t>
            </w:r>
          </w:p>
        </w:tc>
        <w:tc>
          <w:tcPr>
            <w:tcW w:w="305" w:type="pct"/>
            <w:tcBorders>
              <w:top w:val="nil"/>
              <w:left w:val="single" w:sz="4" w:space="0" w:color="auto"/>
              <w:bottom w:val="nil"/>
              <w:right w:val="nil"/>
            </w:tcBorders>
            <w:shd w:val="clear" w:color="000000" w:fill="FFFFFF"/>
            <w:noWrap/>
            <w:vAlign w:val="bottom"/>
            <w:hideMark/>
          </w:tcPr>
          <w:p w14:paraId="27E86FA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0.01</w:t>
            </w:r>
          </w:p>
        </w:tc>
        <w:tc>
          <w:tcPr>
            <w:tcW w:w="449" w:type="pct"/>
            <w:tcBorders>
              <w:top w:val="nil"/>
              <w:left w:val="nil"/>
              <w:bottom w:val="nil"/>
              <w:right w:val="single" w:sz="4" w:space="0" w:color="auto"/>
            </w:tcBorders>
            <w:shd w:val="clear" w:color="000000" w:fill="FFFFFF"/>
            <w:noWrap/>
            <w:vAlign w:val="bottom"/>
            <w:hideMark/>
          </w:tcPr>
          <w:p w14:paraId="1B109511"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0.71</w:t>
            </w:r>
          </w:p>
        </w:tc>
        <w:tc>
          <w:tcPr>
            <w:tcW w:w="305" w:type="pct"/>
            <w:tcBorders>
              <w:top w:val="nil"/>
              <w:left w:val="single" w:sz="4" w:space="0" w:color="auto"/>
              <w:bottom w:val="nil"/>
              <w:right w:val="nil"/>
            </w:tcBorders>
            <w:shd w:val="clear" w:color="000000" w:fill="FFFFFF"/>
            <w:noWrap/>
            <w:vAlign w:val="bottom"/>
            <w:hideMark/>
          </w:tcPr>
          <w:p w14:paraId="66336B84"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0.17</w:t>
            </w:r>
          </w:p>
        </w:tc>
        <w:tc>
          <w:tcPr>
            <w:tcW w:w="449" w:type="pct"/>
            <w:tcBorders>
              <w:top w:val="nil"/>
              <w:left w:val="nil"/>
              <w:bottom w:val="nil"/>
              <w:right w:val="single" w:sz="4" w:space="0" w:color="auto"/>
            </w:tcBorders>
            <w:shd w:val="clear" w:color="000000" w:fill="FFFFFF"/>
            <w:noWrap/>
            <w:vAlign w:val="bottom"/>
            <w:hideMark/>
          </w:tcPr>
          <w:p w14:paraId="5DB08596"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1.2</w:t>
            </w:r>
          </w:p>
        </w:tc>
      </w:tr>
      <w:tr w:rsidR="00052986" w:rsidRPr="00672068" w14:paraId="00CA711E"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548F0443"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nil"/>
              <w:right w:val="nil"/>
            </w:tcBorders>
            <w:shd w:val="clear" w:color="000000" w:fill="FFFFFF"/>
            <w:noWrap/>
            <w:vAlign w:val="bottom"/>
            <w:hideMark/>
          </w:tcPr>
          <w:p w14:paraId="0DA3648C"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n</w:t>
            </w:r>
          </w:p>
        </w:tc>
        <w:tc>
          <w:tcPr>
            <w:tcW w:w="306" w:type="pct"/>
            <w:tcBorders>
              <w:top w:val="nil"/>
              <w:left w:val="single" w:sz="4" w:space="0" w:color="auto"/>
              <w:bottom w:val="single" w:sz="4" w:space="0" w:color="auto"/>
              <w:right w:val="nil"/>
            </w:tcBorders>
            <w:shd w:val="clear" w:color="000000" w:fill="FFFFFF"/>
            <w:noWrap/>
            <w:vAlign w:val="bottom"/>
            <w:hideMark/>
          </w:tcPr>
          <w:p w14:paraId="5054F90B"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66E2FEF3"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305" w:type="pct"/>
            <w:tcBorders>
              <w:top w:val="nil"/>
              <w:left w:val="nil"/>
              <w:bottom w:val="single" w:sz="4" w:space="0" w:color="auto"/>
              <w:right w:val="nil"/>
            </w:tcBorders>
            <w:shd w:val="clear" w:color="000000" w:fill="FFFFFF"/>
            <w:noWrap/>
            <w:vAlign w:val="bottom"/>
            <w:hideMark/>
          </w:tcPr>
          <w:p w14:paraId="2D5B95F5"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2D949E23"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305" w:type="pct"/>
            <w:tcBorders>
              <w:top w:val="nil"/>
              <w:left w:val="nil"/>
              <w:bottom w:val="single" w:sz="4" w:space="0" w:color="auto"/>
              <w:right w:val="nil"/>
            </w:tcBorders>
            <w:shd w:val="clear" w:color="000000" w:fill="FFFFFF"/>
            <w:noWrap/>
            <w:vAlign w:val="bottom"/>
            <w:hideMark/>
          </w:tcPr>
          <w:p w14:paraId="39837F27"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04B1DE3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305" w:type="pct"/>
            <w:tcBorders>
              <w:top w:val="nil"/>
              <w:left w:val="nil"/>
              <w:bottom w:val="nil"/>
              <w:right w:val="nil"/>
            </w:tcBorders>
            <w:shd w:val="clear" w:color="000000" w:fill="FFFFFF"/>
            <w:noWrap/>
            <w:vAlign w:val="bottom"/>
            <w:hideMark/>
          </w:tcPr>
          <w:p w14:paraId="36A70F7E"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nil"/>
              <w:right w:val="nil"/>
            </w:tcBorders>
            <w:shd w:val="clear" w:color="000000" w:fill="FFFFFF"/>
            <w:noWrap/>
            <w:vAlign w:val="bottom"/>
            <w:hideMark/>
          </w:tcPr>
          <w:p w14:paraId="420A25FF"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305" w:type="pct"/>
            <w:tcBorders>
              <w:top w:val="nil"/>
              <w:left w:val="single" w:sz="4" w:space="0" w:color="auto"/>
              <w:bottom w:val="single" w:sz="4" w:space="0" w:color="auto"/>
              <w:right w:val="nil"/>
            </w:tcBorders>
            <w:shd w:val="clear" w:color="000000" w:fill="FFFFFF"/>
            <w:noWrap/>
            <w:vAlign w:val="bottom"/>
            <w:hideMark/>
          </w:tcPr>
          <w:p w14:paraId="1A607D95"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02BE7DB9"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305" w:type="pct"/>
            <w:tcBorders>
              <w:top w:val="nil"/>
              <w:left w:val="nil"/>
              <w:bottom w:val="single" w:sz="4" w:space="0" w:color="auto"/>
              <w:right w:val="nil"/>
            </w:tcBorders>
            <w:shd w:val="clear" w:color="000000" w:fill="FFFFFF"/>
            <w:noWrap/>
            <w:vAlign w:val="bottom"/>
            <w:hideMark/>
          </w:tcPr>
          <w:p w14:paraId="60E9C559"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0344C872"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w:t>
            </w:r>
          </w:p>
        </w:tc>
      </w:tr>
      <w:tr w:rsidR="00052986" w:rsidRPr="00672068" w14:paraId="3C4B328F"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71624C1D"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nil"/>
              <w:right w:val="nil"/>
            </w:tcBorders>
            <w:shd w:val="clear" w:color="000000" w:fill="FFFFFF"/>
            <w:noWrap/>
            <w:vAlign w:val="bottom"/>
            <w:hideMark/>
          </w:tcPr>
          <w:p w14:paraId="630ED88F"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755" w:type="pct"/>
            <w:gridSpan w:val="2"/>
            <w:tcBorders>
              <w:top w:val="single" w:sz="4" w:space="0" w:color="auto"/>
              <w:left w:val="single" w:sz="4" w:space="0" w:color="auto"/>
              <w:bottom w:val="single" w:sz="4" w:space="0" w:color="auto"/>
              <w:right w:val="nil"/>
            </w:tcBorders>
            <w:shd w:val="clear" w:color="000000" w:fill="FFFFFF"/>
            <w:noWrap/>
            <w:vAlign w:val="bottom"/>
            <w:hideMark/>
          </w:tcPr>
          <w:p w14:paraId="4B96BF7D"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Phe</w:t>
            </w:r>
            <w:proofErr w:type="spellEnd"/>
          </w:p>
        </w:tc>
        <w:tc>
          <w:tcPr>
            <w:tcW w:w="754" w:type="pct"/>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713CFA92"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Pro</w:t>
            </w:r>
          </w:p>
        </w:tc>
        <w:tc>
          <w:tcPr>
            <w:tcW w:w="754" w:type="pct"/>
            <w:gridSpan w:val="2"/>
            <w:tcBorders>
              <w:top w:val="single" w:sz="4" w:space="0" w:color="auto"/>
              <w:left w:val="nil"/>
              <w:bottom w:val="single" w:sz="4" w:space="0" w:color="auto"/>
              <w:right w:val="single" w:sz="4" w:space="0" w:color="000000"/>
            </w:tcBorders>
            <w:shd w:val="clear" w:color="000000" w:fill="FFFFFF"/>
            <w:noWrap/>
            <w:vAlign w:val="bottom"/>
            <w:hideMark/>
          </w:tcPr>
          <w:p w14:paraId="4B659CEA"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Ser</w:t>
            </w:r>
          </w:p>
        </w:tc>
        <w:tc>
          <w:tcPr>
            <w:tcW w:w="754" w:type="pct"/>
            <w:gridSpan w:val="2"/>
            <w:tcBorders>
              <w:top w:val="single" w:sz="4" w:space="0" w:color="auto"/>
              <w:left w:val="nil"/>
              <w:bottom w:val="single" w:sz="4" w:space="0" w:color="auto"/>
              <w:right w:val="single" w:sz="4" w:space="0" w:color="000000"/>
            </w:tcBorders>
            <w:shd w:val="clear" w:color="000000" w:fill="FFFFFF"/>
            <w:noWrap/>
            <w:vAlign w:val="bottom"/>
            <w:hideMark/>
          </w:tcPr>
          <w:p w14:paraId="144189D0"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Thr</w:t>
            </w:r>
            <w:proofErr w:type="spellEnd"/>
          </w:p>
        </w:tc>
        <w:tc>
          <w:tcPr>
            <w:tcW w:w="754" w:type="pct"/>
            <w:gridSpan w:val="2"/>
            <w:tcBorders>
              <w:top w:val="single" w:sz="4" w:space="0" w:color="auto"/>
              <w:left w:val="nil"/>
              <w:bottom w:val="single" w:sz="4" w:space="0" w:color="auto"/>
              <w:right w:val="single" w:sz="4" w:space="0" w:color="000000"/>
            </w:tcBorders>
            <w:shd w:val="clear" w:color="000000" w:fill="FFFFFF"/>
            <w:noWrap/>
            <w:vAlign w:val="bottom"/>
            <w:hideMark/>
          </w:tcPr>
          <w:p w14:paraId="3150AB02"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Tyr</w:t>
            </w:r>
          </w:p>
        </w:tc>
        <w:tc>
          <w:tcPr>
            <w:tcW w:w="754" w:type="pct"/>
            <w:gridSpan w:val="2"/>
            <w:tcBorders>
              <w:top w:val="single" w:sz="4" w:space="0" w:color="auto"/>
              <w:left w:val="nil"/>
              <w:bottom w:val="single" w:sz="4" w:space="0" w:color="auto"/>
              <w:right w:val="single" w:sz="4" w:space="0" w:color="000000"/>
            </w:tcBorders>
            <w:shd w:val="clear" w:color="000000" w:fill="FFFFFF"/>
            <w:noWrap/>
            <w:vAlign w:val="bottom"/>
            <w:hideMark/>
          </w:tcPr>
          <w:p w14:paraId="7EBD3946"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Val</w:t>
            </w:r>
          </w:p>
        </w:tc>
      </w:tr>
      <w:tr w:rsidR="00052986" w:rsidRPr="00672068" w14:paraId="518D5653"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2BDF62CE"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nil"/>
              <w:right w:val="nil"/>
            </w:tcBorders>
            <w:shd w:val="clear" w:color="000000" w:fill="FFFFFF"/>
            <w:noWrap/>
            <w:vAlign w:val="bottom"/>
            <w:hideMark/>
          </w:tcPr>
          <w:p w14:paraId="33DE3DEC"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6" w:type="pct"/>
            <w:tcBorders>
              <w:top w:val="nil"/>
              <w:left w:val="single" w:sz="4" w:space="0" w:color="auto"/>
              <w:bottom w:val="nil"/>
              <w:right w:val="nil"/>
            </w:tcBorders>
            <w:shd w:val="clear" w:color="000000" w:fill="FFFFFF"/>
            <w:noWrap/>
            <w:vAlign w:val="bottom"/>
            <w:hideMark/>
          </w:tcPr>
          <w:p w14:paraId="6FFA4C57"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449" w:type="pct"/>
            <w:tcBorders>
              <w:top w:val="nil"/>
              <w:left w:val="nil"/>
              <w:bottom w:val="nil"/>
              <w:right w:val="nil"/>
            </w:tcBorders>
            <w:shd w:val="clear" w:color="000000" w:fill="FFFFFF"/>
            <w:noWrap/>
            <w:vAlign w:val="bottom"/>
            <w:hideMark/>
          </w:tcPr>
          <w:p w14:paraId="704F9BFD"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305" w:type="pct"/>
            <w:tcBorders>
              <w:top w:val="nil"/>
              <w:left w:val="single" w:sz="4" w:space="0" w:color="auto"/>
              <w:bottom w:val="nil"/>
              <w:right w:val="nil"/>
            </w:tcBorders>
            <w:shd w:val="clear" w:color="000000" w:fill="FFFFFF"/>
            <w:noWrap/>
            <w:vAlign w:val="bottom"/>
            <w:hideMark/>
          </w:tcPr>
          <w:p w14:paraId="392038D0"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24305FCD"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305" w:type="pct"/>
            <w:tcBorders>
              <w:top w:val="nil"/>
              <w:left w:val="single" w:sz="4" w:space="0" w:color="auto"/>
              <w:bottom w:val="nil"/>
              <w:right w:val="nil"/>
            </w:tcBorders>
            <w:shd w:val="clear" w:color="000000" w:fill="FFFFFF"/>
            <w:noWrap/>
            <w:vAlign w:val="bottom"/>
            <w:hideMark/>
          </w:tcPr>
          <w:p w14:paraId="6ED805F3"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70692A3E"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305" w:type="pct"/>
            <w:tcBorders>
              <w:top w:val="nil"/>
              <w:left w:val="single" w:sz="4" w:space="0" w:color="auto"/>
              <w:bottom w:val="nil"/>
              <w:right w:val="nil"/>
            </w:tcBorders>
            <w:shd w:val="clear" w:color="000000" w:fill="FFFFFF"/>
            <w:noWrap/>
            <w:vAlign w:val="bottom"/>
            <w:hideMark/>
          </w:tcPr>
          <w:p w14:paraId="0D868D2E"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7DE2CC8A"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305" w:type="pct"/>
            <w:tcBorders>
              <w:top w:val="nil"/>
              <w:left w:val="single" w:sz="4" w:space="0" w:color="auto"/>
              <w:bottom w:val="nil"/>
              <w:right w:val="nil"/>
            </w:tcBorders>
            <w:shd w:val="clear" w:color="000000" w:fill="FFFFFF"/>
            <w:noWrap/>
            <w:vAlign w:val="bottom"/>
            <w:hideMark/>
          </w:tcPr>
          <w:p w14:paraId="00CDB822"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6F1D9656"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305" w:type="pct"/>
            <w:tcBorders>
              <w:top w:val="nil"/>
              <w:left w:val="single" w:sz="4" w:space="0" w:color="auto"/>
              <w:bottom w:val="nil"/>
              <w:right w:val="nil"/>
            </w:tcBorders>
            <w:shd w:val="clear" w:color="000000" w:fill="FFFFFF"/>
            <w:noWrap/>
            <w:vAlign w:val="bottom"/>
            <w:hideMark/>
          </w:tcPr>
          <w:p w14:paraId="5D1D64F7"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449" w:type="pct"/>
            <w:tcBorders>
              <w:top w:val="nil"/>
              <w:left w:val="nil"/>
              <w:bottom w:val="nil"/>
              <w:right w:val="single" w:sz="4" w:space="0" w:color="auto"/>
            </w:tcBorders>
            <w:shd w:val="clear" w:color="000000" w:fill="FFFFFF"/>
            <w:noWrap/>
            <w:vAlign w:val="bottom"/>
            <w:hideMark/>
          </w:tcPr>
          <w:p w14:paraId="4BB7498C"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r>
      <w:tr w:rsidR="00052986" w:rsidRPr="00672068" w14:paraId="7D89BF67"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36359F85"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nil"/>
              <w:right w:val="nil"/>
            </w:tcBorders>
            <w:shd w:val="clear" w:color="000000" w:fill="FFFFFF"/>
            <w:noWrap/>
            <w:vAlign w:val="bottom"/>
            <w:hideMark/>
          </w:tcPr>
          <w:p w14:paraId="42358456"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Mean value</w:t>
            </w:r>
          </w:p>
        </w:tc>
        <w:tc>
          <w:tcPr>
            <w:tcW w:w="306" w:type="pct"/>
            <w:tcBorders>
              <w:top w:val="nil"/>
              <w:left w:val="single" w:sz="4" w:space="0" w:color="auto"/>
              <w:bottom w:val="nil"/>
              <w:right w:val="nil"/>
            </w:tcBorders>
            <w:shd w:val="clear" w:color="000000" w:fill="FFFFFF"/>
            <w:noWrap/>
            <w:vAlign w:val="bottom"/>
            <w:hideMark/>
          </w:tcPr>
          <w:p w14:paraId="1A22BAF9"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-25.15</w:t>
            </w:r>
          </w:p>
        </w:tc>
        <w:tc>
          <w:tcPr>
            <w:tcW w:w="449" w:type="pct"/>
            <w:tcBorders>
              <w:top w:val="nil"/>
              <w:left w:val="nil"/>
              <w:bottom w:val="nil"/>
              <w:right w:val="nil"/>
            </w:tcBorders>
            <w:shd w:val="clear" w:color="000000" w:fill="FFFFFF"/>
            <w:noWrap/>
            <w:vAlign w:val="bottom"/>
            <w:hideMark/>
          </w:tcPr>
          <w:p w14:paraId="416BB33B"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ahoma" w:eastAsia="Times New Roman" w:hAnsi="Tahoma" w:cs="Tahoma"/>
                <w:sz w:val="20"/>
                <w:szCs w:val="20"/>
                <w:lang w:eastAsia="en-US"/>
              </w:rPr>
              <w:t>﻿</w:t>
            </w:r>
            <w:r w:rsidRPr="00672068">
              <w:rPr>
                <w:rFonts w:asciiTheme="majorBidi" w:eastAsia="Times New Roman" w:hAnsiTheme="majorBidi" w:cstheme="majorBidi"/>
                <w:sz w:val="20"/>
                <w:szCs w:val="20"/>
                <w:lang w:eastAsia="en-US"/>
              </w:rPr>
              <w:t>-25.1</w:t>
            </w:r>
          </w:p>
        </w:tc>
        <w:tc>
          <w:tcPr>
            <w:tcW w:w="305" w:type="pct"/>
            <w:tcBorders>
              <w:top w:val="nil"/>
              <w:left w:val="single" w:sz="4" w:space="0" w:color="auto"/>
              <w:bottom w:val="nil"/>
              <w:right w:val="nil"/>
            </w:tcBorders>
            <w:shd w:val="clear" w:color="000000" w:fill="FFFFFF"/>
            <w:noWrap/>
            <w:vAlign w:val="bottom"/>
            <w:hideMark/>
          </w:tcPr>
          <w:p w14:paraId="5BC7B0EE"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-18.35</w:t>
            </w:r>
          </w:p>
        </w:tc>
        <w:tc>
          <w:tcPr>
            <w:tcW w:w="449" w:type="pct"/>
            <w:tcBorders>
              <w:top w:val="nil"/>
              <w:left w:val="nil"/>
              <w:bottom w:val="nil"/>
              <w:right w:val="single" w:sz="4" w:space="0" w:color="auto"/>
            </w:tcBorders>
            <w:shd w:val="clear" w:color="000000" w:fill="FFFFFF"/>
            <w:noWrap/>
            <w:vAlign w:val="bottom"/>
            <w:hideMark/>
          </w:tcPr>
          <w:p w14:paraId="16DB73C7"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-18.68</w:t>
            </w:r>
          </w:p>
        </w:tc>
        <w:tc>
          <w:tcPr>
            <w:tcW w:w="305" w:type="pct"/>
            <w:tcBorders>
              <w:top w:val="nil"/>
              <w:left w:val="single" w:sz="4" w:space="0" w:color="auto"/>
              <w:bottom w:val="nil"/>
              <w:right w:val="nil"/>
            </w:tcBorders>
            <w:shd w:val="clear" w:color="000000" w:fill="FFFFFF"/>
            <w:noWrap/>
            <w:vAlign w:val="bottom"/>
            <w:hideMark/>
          </w:tcPr>
          <w:p w14:paraId="7BF5608C"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-7.78</w:t>
            </w:r>
          </w:p>
        </w:tc>
        <w:tc>
          <w:tcPr>
            <w:tcW w:w="449" w:type="pct"/>
            <w:tcBorders>
              <w:top w:val="nil"/>
              <w:left w:val="nil"/>
              <w:bottom w:val="nil"/>
              <w:right w:val="single" w:sz="4" w:space="0" w:color="auto"/>
            </w:tcBorders>
            <w:shd w:val="clear" w:color="000000" w:fill="FFFFFF"/>
            <w:noWrap/>
            <w:vAlign w:val="bottom"/>
            <w:hideMark/>
          </w:tcPr>
          <w:p w14:paraId="0F85D119"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5" w:type="pct"/>
            <w:tcBorders>
              <w:top w:val="nil"/>
              <w:left w:val="single" w:sz="4" w:space="0" w:color="auto"/>
              <w:bottom w:val="nil"/>
              <w:right w:val="nil"/>
            </w:tcBorders>
            <w:shd w:val="clear" w:color="000000" w:fill="FFFFFF"/>
            <w:noWrap/>
            <w:vAlign w:val="bottom"/>
            <w:hideMark/>
          </w:tcPr>
          <w:p w14:paraId="1BB377D6"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-9.74</w:t>
            </w:r>
          </w:p>
        </w:tc>
        <w:tc>
          <w:tcPr>
            <w:tcW w:w="449" w:type="pct"/>
            <w:tcBorders>
              <w:top w:val="nil"/>
              <w:left w:val="nil"/>
              <w:bottom w:val="nil"/>
              <w:right w:val="single" w:sz="4" w:space="0" w:color="auto"/>
            </w:tcBorders>
            <w:shd w:val="clear" w:color="000000" w:fill="FFFFFF"/>
            <w:noWrap/>
            <w:vAlign w:val="bottom"/>
            <w:hideMark/>
          </w:tcPr>
          <w:p w14:paraId="4F0918B8" w14:textId="3465A2A4" w:rsidR="00493174" w:rsidRPr="00672068" w:rsidRDefault="00180B66" w:rsidP="004F79D0">
            <w:pPr>
              <w:spacing w:after="0" w:line="240" w:lineRule="auto"/>
              <w:jc w:val="center"/>
              <w:rPr>
                <w:rFonts w:asciiTheme="majorBidi" w:eastAsia="Times New Roman" w:hAnsiTheme="majorBidi" w:cstheme="majorBidi"/>
                <w:sz w:val="20"/>
                <w:szCs w:val="20"/>
                <w:lang w:eastAsia="en-US"/>
              </w:rPr>
            </w:pPr>
            <w:r>
              <w:rPr>
                <w:rFonts w:asciiTheme="majorBidi" w:eastAsia="Times New Roman" w:hAnsiTheme="majorBidi" w:cstheme="majorBidi"/>
                <w:sz w:val="20"/>
                <w:szCs w:val="20"/>
                <w:lang w:eastAsia="en-US"/>
              </w:rPr>
              <w:t>-</w:t>
            </w:r>
            <w:r w:rsidR="00493174" w:rsidRPr="00672068">
              <w:rPr>
                <w:rFonts w:asciiTheme="majorBidi" w:eastAsia="Times New Roman" w:hAnsiTheme="majorBidi" w:cstheme="majorBidi"/>
                <w:sz w:val="20"/>
                <w:szCs w:val="20"/>
                <w:lang w:eastAsia="en-US"/>
              </w:rPr>
              <w:t>7.23</w:t>
            </w:r>
          </w:p>
        </w:tc>
        <w:tc>
          <w:tcPr>
            <w:tcW w:w="305" w:type="pct"/>
            <w:tcBorders>
              <w:top w:val="nil"/>
              <w:left w:val="single" w:sz="4" w:space="0" w:color="auto"/>
              <w:bottom w:val="nil"/>
              <w:right w:val="nil"/>
            </w:tcBorders>
            <w:shd w:val="clear" w:color="000000" w:fill="FFFFFF"/>
            <w:noWrap/>
            <w:vAlign w:val="bottom"/>
            <w:hideMark/>
          </w:tcPr>
          <w:p w14:paraId="2B062BB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-30.9</w:t>
            </w:r>
          </w:p>
        </w:tc>
        <w:tc>
          <w:tcPr>
            <w:tcW w:w="449" w:type="pct"/>
            <w:tcBorders>
              <w:top w:val="nil"/>
              <w:left w:val="nil"/>
              <w:bottom w:val="nil"/>
              <w:right w:val="single" w:sz="4" w:space="0" w:color="auto"/>
            </w:tcBorders>
            <w:shd w:val="clear" w:color="000000" w:fill="FFFFFF"/>
            <w:noWrap/>
            <w:vAlign w:val="bottom"/>
            <w:hideMark/>
          </w:tcPr>
          <w:p w14:paraId="26C85317"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5" w:type="pct"/>
            <w:tcBorders>
              <w:top w:val="nil"/>
              <w:left w:val="single" w:sz="4" w:space="0" w:color="auto"/>
              <w:bottom w:val="nil"/>
              <w:right w:val="nil"/>
            </w:tcBorders>
            <w:shd w:val="clear" w:color="000000" w:fill="FFFFFF"/>
            <w:noWrap/>
            <w:vAlign w:val="bottom"/>
            <w:hideMark/>
          </w:tcPr>
          <w:p w14:paraId="6E286EFF"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-24.57</w:t>
            </w:r>
          </w:p>
        </w:tc>
        <w:tc>
          <w:tcPr>
            <w:tcW w:w="449" w:type="pct"/>
            <w:tcBorders>
              <w:top w:val="nil"/>
              <w:left w:val="nil"/>
              <w:bottom w:val="nil"/>
              <w:right w:val="single" w:sz="4" w:space="0" w:color="auto"/>
            </w:tcBorders>
            <w:shd w:val="clear" w:color="000000" w:fill="FFFFFF"/>
            <w:noWrap/>
            <w:vAlign w:val="bottom"/>
            <w:hideMark/>
          </w:tcPr>
          <w:p w14:paraId="20371E15"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-25.2</w:t>
            </w:r>
          </w:p>
        </w:tc>
      </w:tr>
      <w:tr w:rsidR="00052986" w:rsidRPr="00672068" w14:paraId="6876B3E8"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2880BFF7"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nil"/>
              <w:right w:val="nil"/>
            </w:tcBorders>
            <w:shd w:val="clear" w:color="000000" w:fill="FFFFFF"/>
            <w:noWrap/>
            <w:vAlign w:val="bottom"/>
            <w:hideMark/>
          </w:tcPr>
          <w:p w14:paraId="6E512FC8"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SD</w:t>
            </w:r>
          </w:p>
        </w:tc>
        <w:tc>
          <w:tcPr>
            <w:tcW w:w="306" w:type="pct"/>
            <w:tcBorders>
              <w:top w:val="nil"/>
              <w:left w:val="single" w:sz="4" w:space="0" w:color="auto"/>
              <w:bottom w:val="nil"/>
              <w:right w:val="nil"/>
            </w:tcBorders>
            <w:shd w:val="clear" w:color="000000" w:fill="FFFFFF"/>
            <w:noWrap/>
            <w:vAlign w:val="bottom"/>
            <w:hideMark/>
          </w:tcPr>
          <w:p w14:paraId="3BA30FAE"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0.23</w:t>
            </w:r>
          </w:p>
        </w:tc>
        <w:tc>
          <w:tcPr>
            <w:tcW w:w="449" w:type="pct"/>
            <w:tcBorders>
              <w:top w:val="nil"/>
              <w:left w:val="nil"/>
              <w:bottom w:val="nil"/>
              <w:right w:val="nil"/>
            </w:tcBorders>
            <w:shd w:val="clear" w:color="000000" w:fill="FFFFFF"/>
            <w:noWrap/>
            <w:vAlign w:val="bottom"/>
            <w:hideMark/>
          </w:tcPr>
          <w:p w14:paraId="799D6225"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0.50</w:t>
            </w:r>
          </w:p>
        </w:tc>
        <w:tc>
          <w:tcPr>
            <w:tcW w:w="305" w:type="pct"/>
            <w:tcBorders>
              <w:top w:val="nil"/>
              <w:left w:val="single" w:sz="4" w:space="0" w:color="auto"/>
              <w:bottom w:val="nil"/>
              <w:right w:val="nil"/>
            </w:tcBorders>
            <w:shd w:val="clear" w:color="000000" w:fill="FFFFFF"/>
            <w:noWrap/>
            <w:vAlign w:val="bottom"/>
            <w:hideMark/>
          </w:tcPr>
          <w:p w14:paraId="25CB20C6"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0.59</w:t>
            </w:r>
          </w:p>
        </w:tc>
        <w:tc>
          <w:tcPr>
            <w:tcW w:w="449" w:type="pct"/>
            <w:tcBorders>
              <w:top w:val="nil"/>
              <w:left w:val="nil"/>
              <w:bottom w:val="nil"/>
              <w:right w:val="single" w:sz="4" w:space="0" w:color="auto"/>
            </w:tcBorders>
            <w:shd w:val="clear" w:color="000000" w:fill="FFFFFF"/>
            <w:noWrap/>
            <w:vAlign w:val="bottom"/>
            <w:hideMark/>
          </w:tcPr>
          <w:p w14:paraId="7CB5252A"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0.19</w:t>
            </w:r>
          </w:p>
        </w:tc>
        <w:tc>
          <w:tcPr>
            <w:tcW w:w="305" w:type="pct"/>
            <w:tcBorders>
              <w:top w:val="nil"/>
              <w:left w:val="single" w:sz="4" w:space="0" w:color="auto"/>
              <w:bottom w:val="nil"/>
              <w:right w:val="nil"/>
            </w:tcBorders>
            <w:shd w:val="clear" w:color="000000" w:fill="FFFFFF"/>
            <w:noWrap/>
            <w:vAlign w:val="bottom"/>
            <w:hideMark/>
          </w:tcPr>
          <w:p w14:paraId="4C5FC946"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0.77</w:t>
            </w:r>
          </w:p>
        </w:tc>
        <w:tc>
          <w:tcPr>
            <w:tcW w:w="449" w:type="pct"/>
            <w:tcBorders>
              <w:top w:val="nil"/>
              <w:left w:val="nil"/>
              <w:bottom w:val="nil"/>
              <w:right w:val="single" w:sz="4" w:space="0" w:color="auto"/>
            </w:tcBorders>
            <w:shd w:val="clear" w:color="000000" w:fill="FFFFFF"/>
            <w:noWrap/>
            <w:vAlign w:val="bottom"/>
            <w:hideMark/>
          </w:tcPr>
          <w:p w14:paraId="11B95694"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5" w:type="pct"/>
            <w:tcBorders>
              <w:top w:val="nil"/>
              <w:left w:val="single" w:sz="4" w:space="0" w:color="auto"/>
              <w:bottom w:val="nil"/>
              <w:right w:val="nil"/>
            </w:tcBorders>
            <w:shd w:val="clear" w:color="000000" w:fill="FFFFFF"/>
            <w:noWrap/>
            <w:vAlign w:val="bottom"/>
            <w:hideMark/>
          </w:tcPr>
          <w:p w14:paraId="0E3B1E92"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0.06</w:t>
            </w:r>
          </w:p>
        </w:tc>
        <w:tc>
          <w:tcPr>
            <w:tcW w:w="449" w:type="pct"/>
            <w:tcBorders>
              <w:top w:val="nil"/>
              <w:left w:val="nil"/>
              <w:bottom w:val="nil"/>
              <w:right w:val="single" w:sz="4" w:space="0" w:color="auto"/>
            </w:tcBorders>
            <w:shd w:val="clear" w:color="000000" w:fill="FFFFFF"/>
            <w:noWrap/>
            <w:vAlign w:val="bottom"/>
            <w:hideMark/>
          </w:tcPr>
          <w:p w14:paraId="0D10805D" w14:textId="2057CDAC"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r w:rsidR="00C3454A">
              <w:rPr>
                <w:rFonts w:asciiTheme="majorBidi" w:eastAsia="Times New Roman" w:hAnsiTheme="majorBidi" w:cstheme="majorBidi"/>
                <w:sz w:val="20"/>
                <w:szCs w:val="20"/>
                <w:lang w:eastAsia="en-US"/>
              </w:rPr>
              <w:t>0.25</w:t>
            </w:r>
          </w:p>
        </w:tc>
        <w:tc>
          <w:tcPr>
            <w:tcW w:w="305" w:type="pct"/>
            <w:tcBorders>
              <w:top w:val="nil"/>
              <w:left w:val="single" w:sz="4" w:space="0" w:color="auto"/>
              <w:bottom w:val="nil"/>
              <w:right w:val="nil"/>
            </w:tcBorders>
            <w:shd w:val="clear" w:color="000000" w:fill="FFFFFF"/>
            <w:noWrap/>
            <w:vAlign w:val="bottom"/>
            <w:hideMark/>
          </w:tcPr>
          <w:p w14:paraId="4D192189"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1.2</w:t>
            </w:r>
          </w:p>
        </w:tc>
        <w:tc>
          <w:tcPr>
            <w:tcW w:w="449" w:type="pct"/>
            <w:tcBorders>
              <w:top w:val="nil"/>
              <w:left w:val="nil"/>
              <w:bottom w:val="nil"/>
              <w:right w:val="single" w:sz="4" w:space="0" w:color="auto"/>
            </w:tcBorders>
            <w:shd w:val="clear" w:color="000000" w:fill="FFFFFF"/>
            <w:noWrap/>
            <w:vAlign w:val="bottom"/>
            <w:hideMark/>
          </w:tcPr>
          <w:p w14:paraId="582875FC"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5" w:type="pct"/>
            <w:tcBorders>
              <w:top w:val="nil"/>
              <w:left w:val="single" w:sz="4" w:space="0" w:color="auto"/>
              <w:bottom w:val="nil"/>
              <w:right w:val="nil"/>
            </w:tcBorders>
            <w:shd w:val="clear" w:color="000000" w:fill="FFFFFF"/>
            <w:noWrap/>
            <w:vAlign w:val="bottom"/>
            <w:hideMark/>
          </w:tcPr>
          <w:p w14:paraId="23432FFF"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0.18</w:t>
            </w:r>
          </w:p>
        </w:tc>
        <w:tc>
          <w:tcPr>
            <w:tcW w:w="449" w:type="pct"/>
            <w:tcBorders>
              <w:top w:val="nil"/>
              <w:left w:val="nil"/>
              <w:bottom w:val="nil"/>
              <w:right w:val="single" w:sz="4" w:space="0" w:color="auto"/>
            </w:tcBorders>
            <w:shd w:val="clear" w:color="000000" w:fill="FFFFFF"/>
            <w:noWrap/>
            <w:vAlign w:val="bottom"/>
            <w:hideMark/>
          </w:tcPr>
          <w:p w14:paraId="63950F3E"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0.3</w:t>
            </w:r>
          </w:p>
        </w:tc>
      </w:tr>
      <w:tr w:rsidR="00052986" w:rsidRPr="00672068" w14:paraId="594DC0EB" w14:textId="77777777" w:rsidTr="004F79D0">
        <w:trPr>
          <w:trHeight w:val="311"/>
        </w:trPr>
        <w:tc>
          <w:tcPr>
            <w:tcW w:w="144" w:type="pct"/>
            <w:vMerge/>
            <w:tcBorders>
              <w:top w:val="nil"/>
              <w:left w:val="single" w:sz="4" w:space="0" w:color="auto"/>
              <w:bottom w:val="single" w:sz="4" w:space="0" w:color="000000"/>
              <w:right w:val="nil"/>
            </w:tcBorders>
            <w:vAlign w:val="center"/>
            <w:hideMark/>
          </w:tcPr>
          <w:p w14:paraId="2CE0CB2F" w14:textId="77777777" w:rsidR="00493174" w:rsidRPr="00672068" w:rsidRDefault="00493174" w:rsidP="004F79D0">
            <w:pPr>
              <w:spacing w:after="0" w:line="240" w:lineRule="auto"/>
              <w:rPr>
                <w:rFonts w:asciiTheme="majorBidi" w:eastAsia="Times New Roman" w:hAnsiTheme="majorBidi" w:cstheme="majorBidi"/>
                <w:b/>
                <w:bCs/>
                <w:sz w:val="20"/>
                <w:szCs w:val="20"/>
                <w:lang w:eastAsia="en-US"/>
              </w:rPr>
            </w:pPr>
          </w:p>
        </w:tc>
        <w:tc>
          <w:tcPr>
            <w:tcW w:w="331" w:type="pct"/>
            <w:tcBorders>
              <w:top w:val="nil"/>
              <w:left w:val="nil"/>
              <w:bottom w:val="single" w:sz="4" w:space="0" w:color="auto"/>
              <w:right w:val="nil"/>
            </w:tcBorders>
            <w:shd w:val="clear" w:color="000000" w:fill="FFFFFF"/>
            <w:noWrap/>
            <w:vAlign w:val="bottom"/>
            <w:hideMark/>
          </w:tcPr>
          <w:p w14:paraId="46DFA63C" w14:textId="77777777" w:rsidR="00493174" w:rsidRPr="00672068" w:rsidRDefault="00493174" w:rsidP="004F79D0">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n</w:t>
            </w:r>
          </w:p>
        </w:tc>
        <w:tc>
          <w:tcPr>
            <w:tcW w:w="306" w:type="pct"/>
            <w:tcBorders>
              <w:top w:val="nil"/>
              <w:left w:val="single" w:sz="4" w:space="0" w:color="auto"/>
              <w:bottom w:val="single" w:sz="4" w:space="0" w:color="auto"/>
              <w:right w:val="nil"/>
            </w:tcBorders>
            <w:shd w:val="clear" w:color="000000" w:fill="FFFFFF"/>
            <w:noWrap/>
            <w:vAlign w:val="bottom"/>
            <w:hideMark/>
          </w:tcPr>
          <w:p w14:paraId="0CF935AD"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nil"/>
            </w:tcBorders>
            <w:shd w:val="clear" w:color="000000" w:fill="FFFFFF"/>
            <w:noWrap/>
            <w:vAlign w:val="bottom"/>
            <w:hideMark/>
          </w:tcPr>
          <w:p w14:paraId="4F8CD436"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305" w:type="pct"/>
            <w:tcBorders>
              <w:top w:val="nil"/>
              <w:left w:val="single" w:sz="4" w:space="0" w:color="auto"/>
              <w:bottom w:val="single" w:sz="4" w:space="0" w:color="auto"/>
              <w:right w:val="nil"/>
            </w:tcBorders>
            <w:shd w:val="clear" w:color="000000" w:fill="FFFFFF"/>
            <w:noWrap/>
            <w:vAlign w:val="bottom"/>
            <w:hideMark/>
          </w:tcPr>
          <w:p w14:paraId="68B5F574"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27965B2D"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305" w:type="pct"/>
            <w:tcBorders>
              <w:top w:val="nil"/>
              <w:left w:val="nil"/>
              <w:bottom w:val="single" w:sz="4" w:space="0" w:color="auto"/>
              <w:right w:val="nil"/>
            </w:tcBorders>
            <w:shd w:val="clear" w:color="000000" w:fill="FFFFFF"/>
            <w:noWrap/>
            <w:vAlign w:val="bottom"/>
            <w:hideMark/>
          </w:tcPr>
          <w:p w14:paraId="4E34A6BD"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54ED6EE2"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5" w:type="pct"/>
            <w:tcBorders>
              <w:top w:val="nil"/>
              <w:left w:val="nil"/>
              <w:bottom w:val="single" w:sz="4" w:space="0" w:color="auto"/>
              <w:right w:val="nil"/>
            </w:tcBorders>
            <w:shd w:val="clear" w:color="000000" w:fill="FFFFFF"/>
            <w:noWrap/>
            <w:vAlign w:val="bottom"/>
            <w:hideMark/>
          </w:tcPr>
          <w:p w14:paraId="33C3C638"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78981E51"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w:t>
            </w:r>
          </w:p>
        </w:tc>
        <w:tc>
          <w:tcPr>
            <w:tcW w:w="305" w:type="pct"/>
            <w:tcBorders>
              <w:top w:val="nil"/>
              <w:left w:val="nil"/>
              <w:bottom w:val="single" w:sz="4" w:space="0" w:color="auto"/>
              <w:right w:val="nil"/>
            </w:tcBorders>
            <w:shd w:val="clear" w:color="000000" w:fill="FFFFFF"/>
            <w:noWrap/>
            <w:vAlign w:val="bottom"/>
            <w:hideMark/>
          </w:tcPr>
          <w:p w14:paraId="7ED010AB"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0F1C6B15"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305" w:type="pct"/>
            <w:tcBorders>
              <w:top w:val="nil"/>
              <w:left w:val="nil"/>
              <w:bottom w:val="single" w:sz="4" w:space="0" w:color="auto"/>
              <w:right w:val="nil"/>
            </w:tcBorders>
            <w:shd w:val="clear" w:color="000000" w:fill="FFFFFF"/>
            <w:noWrap/>
            <w:vAlign w:val="bottom"/>
            <w:hideMark/>
          </w:tcPr>
          <w:p w14:paraId="5044BAF4"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449" w:type="pct"/>
            <w:tcBorders>
              <w:top w:val="nil"/>
              <w:left w:val="nil"/>
              <w:bottom w:val="single" w:sz="4" w:space="0" w:color="auto"/>
              <w:right w:val="single" w:sz="4" w:space="0" w:color="auto"/>
            </w:tcBorders>
            <w:shd w:val="clear" w:color="000000" w:fill="FFFFFF"/>
            <w:noWrap/>
            <w:vAlign w:val="bottom"/>
            <w:hideMark/>
          </w:tcPr>
          <w:p w14:paraId="77C4F090" w14:textId="77777777" w:rsidR="00493174" w:rsidRPr="00672068" w:rsidRDefault="00493174" w:rsidP="004F79D0">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r>
    </w:tbl>
    <w:p w14:paraId="27FBE570" w14:textId="15C80816" w:rsidR="00672068" w:rsidRDefault="00672068" w:rsidP="00672068">
      <w:pPr>
        <w:spacing w:after="240" w:line="360" w:lineRule="auto"/>
        <w:rPr>
          <w:rFonts w:ascii="Times New Roman" w:eastAsia="Times New Roman" w:hAnsi="Times New Roman" w:cs="Times New Roman"/>
          <w:sz w:val="24"/>
          <w:szCs w:val="24"/>
        </w:rPr>
      </w:pPr>
      <w:bookmarkStart w:id="30" w:name="_Hlk137040062"/>
      <w:r w:rsidRPr="0064579A">
        <w:rPr>
          <w:rFonts w:ascii="Times New Roman" w:eastAsia="Times New Roman" w:hAnsi="Times New Roman" w:cs="Times New Roman"/>
          <w:b/>
          <w:sz w:val="24"/>
          <w:szCs w:val="24"/>
        </w:rPr>
        <w:t>Table S4.4</w:t>
      </w:r>
      <w:r>
        <w:rPr>
          <w:rFonts w:ascii="Times New Roman" w:eastAsia="Times New Roman" w:hAnsi="Times New Roman" w:cs="Times New Roman"/>
          <w:b/>
          <w:sz w:val="24"/>
          <w:szCs w:val="24"/>
        </w:rPr>
        <w:t>:</w:t>
      </w:r>
      <w:r w:rsidRPr="0064579A">
        <w:rPr>
          <w:rFonts w:ascii="Times New Roman" w:eastAsia="Times New Roman" w:hAnsi="Times New Roman" w:cs="Times New Roman"/>
          <w:b/>
          <w:sz w:val="24"/>
          <w:szCs w:val="24"/>
        </w:rPr>
        <w:t xml:space="preserve"> </w:t>
      </w:r>
      <w:r w:rsidRPr="0064579A">
        <w:rPr>
          <w:rFonts w:ascii="Times New Roman" w:eastAsia="Times New Roman" w:hAnsi="Times New Roman" w:cs="Times New Roman"/>
          <w:sz w:val="24"/>
          <w:szCs w:val="24"/>
        </w:rPr>
        <w:t xml:space="preserve">Carbon and </w:t>
      </w:r>
      <w:r w:rsidR="004F79D0">
        <w:rPr>
          <w:rFonts w:ascii="Times New Roman" w:eastAsia="Times New Roman" w:hAnsi="Times New Roman" w:cs="Times New Roman"/>
          <w:sz w:val="24"/>
          <w:szCs w:val="24"/>
        </w:rPr>
        <w:t>nitrogen</w:t>
      </w:r>
      <w:r w:rsidRPr="0064579A">
        <w:rPr>
          <w:rFonts w:ascii="Times New Roman" w:eastAsia="Times New Roman" w:hAnsi="Times New Roman" w:cs="Times New Roman"/>
          <w:sz w:val="24"/>
          <w:szCs w:val="24"/>
        </w:rPr>
        <w:t xml:space="preserve"> isotope ratios of single amino acids measured in the reference material SRM 1577c</w:t>
      </w:r>
      <w:r w:rsidR="004F79D0">
        <w:rPr>
          <w:rFonts w:ascii="Times New Roman" w:eastAsia="Times New Roman" w:hAnsi="Times New Roman" w:cs="Times New Roman"/>
          <w:sz w:val="24"/>
          <w:szCs w:val="24"/>
        </w:rPr>
        <w:t xml:space="preserve"> in our study compared to published values in </w:t>
      </w:r>
      <w:proofErr w:type="spellStart"/>
      <w:r w:rsidR="004F79D0">
        <w:rPr>
          <w:rFonts w:ascii="Times New Roman" w:eastAsia="Times New Roman" w:hAnsi="Times New Roman" w:cs="Times New Roman"/>
          <w:sz w:val="24"/>
          <w:szCs w:val="24"/>
        </w:rPr>
        <w:t>Joauen</w:t>
      </w:r>
      <w:proofErr w:type="spellEnd"/>
      <w:r w:rsidR="004F79D0">
        <w:rPr>
          <w:rFonts w:ascii="Times New Roman" w:eastAsia="Times New Roman" w:hAnsi="Times New Roman" w:cs="Times New Roman"/>
          <w:sz w:val="24"/>
          <w:szCs w:val="24"/>
        </w:rPr>
        <w:t xml:space="preserve"> et al., 2019.</w:t>
      </w:r>
      <w:r w:rsidR="004F79D0">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{"citationID":"9gSJK9IF","properties":{"formattedCitation":"\\super 66\\nosupersub{}","plainCitation":"66","noteIndex":0},"citationItems":[{"id":145,"uris":["http://zotero.org/users/7125028/items/6TY8YHIJ"],"itemData":{"id":145,"type":"article-journal","abstract":"Isotope and archeological analyses of Paleolithic food webs have suggested that Neandertal subsistence relied mainly on the consumption of large herbivores. This conclusion was primarily based on elevated nitrogen isotope ratios in Neandertal bone collagen and has been significantly debated. This discussion relies on the observation that similar high nitrogen isotopes values could also be the result of the consumption of mammoths, young animals, putrid meat, cooked food, freshwater fish, carnivores, or mushrooms. Recently, compound-specific C and N isotope analyses of bone collagen amino acids have been demonstrated to add significantly more information about trophic levels and aquatic food consumption. We undertook single amino acid C and N isotope analysis on two Neandertals, which were characterized by exceptionally high N isotope ratios in their bulk bone or tooth collagen. We report here both C and N isotope ratios on single amino acids of collagen samples for these two Neandertals and associated fauna. The samples come from two sites dating to the Middle to Upper Paleolithic transition period (Les Cottés and Grotte du Renne, France). Our results reinforce the interpretation of Neandertal dietary adaptations as successful top-level carnivores, even after the arrival of modern humans in Europe. They also demonstrate that high δ15N values of bone collagen can solely be explained by mammal meat consumption, as supported by archeological and zooarcheological evidence, without necessarily invoking explanations including the processing of food (cooking, fermenting), the consumption of mammoths or young mammals, or additional (freshwater fish, mushrooms) dietary protein sources.","container-title":"Proceedings of the National Academy of Sciences","DOI":"10.1073/pnas.1814087116","ISSN":"0027-8424, 1091-6490","issue":"11","journalAbbreviation":"PNAS","language":"en","license":"Copyright © 2019 the Author(s). Published by PNAS.. https://creativecommons.org/licenses/by-nc-nd/4.0/This open access article is distributed under Creative Commons Attribution-NonCommercial-NoDerivatives License 4.0 (CC BY-NC-ND).","note":"publisher: National Academy of Sciences\nsection: Biological Sciences\nPMID: 30782806","page":"4928-4933","source":"www.pnas.org","title":"Exceptionally high δ15N values in collagen single amino acids confirm Neandertals as high-trophic level carnivores","volume":"116","author":[{"family":"Jaouen","given":"Klervia"},{"family":"Richards","given":"Michael P."},{"family":"Cabec","given":"Adeline Le"},{"family":"Welker","given":"Frido"},{"family":"Rendu","given":"William"},{"family":"Hublin","given":"Jean-Jacques"},{"family":"Soressi","given":"Marie"},{"family":"Talamo","given":"Sahra"}],"issued":{"date-parts":[["2019",3,12]]}}}],"schema":"https://github.com/citation-style-language/schema/raw/master/csl-citation.json"} </w:instrText>
      </w:r>
      <w:r w:rsidR="004F79D0">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66</w:t>
      </w:r>
      <w:r w:rsidR="004F79D0">
        <w:rPr>
          <w:rFonts w:ascii="Times New Roman" w:eastAsia="Times New Roman" w:hAnsi="Times New Roman" w:cs="Times New Roman"/>
          <w:sz w:val="24"/>
          <w:szCs w:val="24"/>
        </w:rPr>
        <w:fldChar w:fldCharType="end"/>
      </w:r>
    </w:p>
    <w:bookmarkEnd w:id="30"/>
    <w:p w14:paraId="30FDCFF6" w14:textId="7689615B" w:rsidR="004F79D0" w:rsidRDefault="004F79D0" w:rsidP="00672068">
      <w:pPr>
        <w:spacing w:after="240" w:line="360" w:lineRule="auto"/>
        <w:rPr>
          <w:rFonts w:ascii="Times New Roman" w:eastAsia="Times New Roman" w:hAnsi="Times New Roman" w:cs="Times New Roman"/>
          <w:sz w:val="24"/>
          <w:szCs w:val="24"/>
        </w:rPr>
      </w:pPr>
    </w:p>
    <w:p w14:paraId="0F68D181" w14:textId="77777777" w:rsidR="004F79D0" w:rsidRDefault="004F79D0" w:rsidP="00672068">
      <w:pPr>
        <w:spacing w:after="240" w:line="360" w:lineRule="auto"/>
        <w:rPr>
          <w:rFonts w:ascii="Times New Roman" w:eastAsia="Times New Roman" w:hAnsi="Times New Roman" w:cs="Times New Roman"/>
          <w:sz w:val="24"/>
          <w:szCs w:val="24"/>
        </w:rPr>
      </w:pPr>
    </w:p>
    <w:p w14:paraId="4A74A5F8" w14:textId="2F5961C7" w:rsidR="004F79D0" w:rsidRDefault="004F79D0" w:rsidP="00672068">
      <w:pPr>
        <w:spacing w:after="240" w:line="360" w:lineRule="auto"/>
        <w:rPr>
          <w:rFonts w:ascii="Times New Roman" w:eastAsia="Times New Roman" w:hAnsi="Times New Roman" w:cs="Times New Roman"/>
          <w:sz w:val="24"/>
          <w:szCs w:val="24"/>
        </w:rPr>
      </w:pPr>
    </w:p>
    <w:p w14:paraId="1308E996" w14:textId="167A5F1E" w:rsidR="004F79D0" w:rsidRDefault="004F79D0" w:rsidP="00672068">
      <w:pPr>
        <w:spacing w:after="240" w:line="360" w:lineRule="auto"/>
        <w:rPr>
          <w:rFonts w:ascii="Times New Roman" w:eastAsia="Times New Roman" w:hAnsi="Times New Roman" w:cs="Times New Roman"/>
          <w:sz w:val="24"/>
          <w:szCs w:val="24"/>
        </w:rPr>
      </w:pPr>
    </w:p>
    <w:p w14:paraId="5D41429F" w14:textId="08742322" w:rsidR="004F79D0" w:rsidRDefault="004F79D0" w:rsidP="00672068">
      <w:pPr>
        <w:spacing w:after="240" w:line="360" w:lineRule="auto"/>
        <w:rPr>
          <w:rFonts w:ascii="Times New Roman" w:eastAsia="Times New Roman" w:hAnsi="Times New Roman" w:cs="Times New Roman"/>
          <w:sz w:val="24"/>
          <w:szCs w:val="24"/>
        </w:rPr>
      </w:pPr>
    </w:p>
    <w:p w14:paraId="6A7489DE" w14:textId="55457D6A" w:rsidR="004F79D0" w:rsidRDefault="004F79D0" w:rsidP="00672068">
      <w:pPr>
        <w:spacing w:after="240" w:line="360" w:lineRule="auto"/>
        <w:rPr>
          <w:rFonts w:ascii="Times New Roman" w:eastAsia="Times New Roman" w:hAnsi="Times New Roman" w:cs="Times New Roman"/>
          <w:sz w:val="24"/>
          <w:szCs w:val="24"/>
        </w:rPr>
      </w:pPr>
    </w:p>
    <w:p w14:paraId="65E91D54" w14:textId="5DC7174D" w:rsidR="004F79D0" w:rsidRDefault="004F79D0" w:rsidP="00672068">
      <w:pPr>
        <w:spacing w:after="240" w:line="360" w:lineRule="auto"/>
        <w:rPr>
          <w:rFonts w:ascii="Times New Roman" w:eastAsia="Times New Roman" w:hAnsi="Times New Roman" w:cs="Times New Roman"/>
          <w:sz w:val="24"/>
          <w:szCs w:val="24"/>
        </w:rPr>
      </w:pPr>
    </w:p>
    <w:p w14:paraId="39D5BE23" w14:textId="77777777" w:rsidR="004F79D0" w:rsidRPr="0064579A" w:rsidRDefault="004F79D0" w:rsidP="00672068">
      <w:pPr>
        <w:spacing w:after="240" w:line="360" w:lineRule="auto"/>
        <w:rPr>
          <w:rFonts w:ascii="Times New Roman" w:eastAsia="Times New Roman" w:hAnsi="Times New Roman" w:cs="Times New Roman"/>
          <w:sz w:val="24"/>
          <w:szCs w:val="24"/>
        </w:rPr>
      </w:pPr>
    </w:p>
    <w:p w14:paraId="7EFCB052" w14:textId="77777777" w:rsidR="00672068" w:rsidRDefault="00672068" w:rsidP="004D0B64">
      <w:pPr>
        <w:spacing w:after="240" w:line="360" w:lineRule="auto"/>
        <w:rPr>
          <w:rFonts w:ascii="Times New Roman" w:eastAsia="Times New Roman" w:hAnsi="Times New Roman" w:cs="Times New Roman"/>
          <w:szCs w:val="24"/>
        </w:rPr>
      </w:pPr>
    </w:p>
    <w:tbl>
      <w:tblPr>
        <w:tblW w:w="0" w:type="auto"/>
        <w:tblLook w:val="04A0" w:firstRow="1" w:lastRow="0" w:firstColumn="1" w:lastColumn="0" w:noHBand="0" w:noVBand="1"/>
      </w:tblPr>
      <w:tblGrid>
        <w:gridCol w:w="373"/>
        <w:gridCol w:w="857"/>
        <w:gridCol w:w="792"/>
        <w:gridCol w:w="1163"/>
        <w:gridCol w:w="791"/>
        <w:gridCol w:w="1163"/>
        <w:gridCol w:w="791"/>
        <w:gridCol w:w="1163"/>
        <w:gridCol w:w="791"/>
        <w:gridCol w:w="1163"/>
        <w:gridCol w:w="791"/>
        <w:gridCol w:w="1163"/>
        <w:gridCol w:w="791"/>
        <w:gridCol w:w="1163"/>
      </w:tblGrid>
      <w:tr w:rsidR="00052986" w:rsidRPr="00672068" w14:paraId="7E5E14B0" w14:textId="77777777" w:rsidTr="00052986">
        <w:trPr>
          <w:trHeight w:val="315"/>
        </w:trPr>
        <w:tc>
          <w:tcPr>
            <w:tcW w:w="0" w:type="auto"/>
            <w:tcBorders>
              <w:top w:val="nil"/>
              <w:left w:val="nil"/>
              <w:bottom w:val="single" w:sz="4" w:space="0" w:color="auto"/>
              <w:right w:val="nil"/>
            </w:tcBorders>
            <w:shd w:val="clear" w:color="000000" w:fill="FFFFFF"/>
            <w:noWrap/>
            <w:vAlign w:val="bottom"/>
            <w:hideMark/>
          </w:tcPr>
          <w:p w14:paraId="35802CD7"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 </w:t>
            </w:r>
          </w:p>
        </w:tc>
        <w:tc>
          <w:tcPr>
            <w:tcW w:w="0" w:type="auto"/>
            <w:tcBorders>
              <w:top w:val="nil"/>
              <w:left w:val="nil"/>
              <w:bottom w:val="single" w:sz="4" w:space="0" w:color="auto"/>
              <w:right w:val="nil"/>
            </w:tcBorders>
            <w:shd w:val="clear" w:color="000000" w:fill="FFFFFF"/>
            <w:noWrap/>
            <w:vAlign w:val="bottom"/>
            <w:hideMark/>
          </w:tcPr>
          <w:p w14:paraId="11450914"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2079F6FF"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Ala</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020546FE"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Asx</w:t>
            </w:r>
            <w:proofErr w:type="spellEnd"/>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1F813426"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Glx</w:t>
            </w:r>
            <w:proofErr w:type="spellEnd"/>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3ABA6049"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Leu</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1B0CB021"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Lys</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50CDB323"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Phe</w:t>
            </w:r>
            <w:proofErr w:type="spellEnd"/>
          </w:p>
        </w:tc>
      </w:tr>
      <w:tr w:rsidR="00052986" w:rsidRPr="00672068" w14:paraId="7D09BC23" w14:textId="77777777" w:rsidTr="008F160D">
        <w:trPr>
          <w:trHeight w:val="315"/>
        </w:trPr>
        <w:tc>
          <w:tcPr>
            <w:tcW w:w="0" w:type="auto"/>
            <w:vMerge w:val="restart"/>
            <w:tcBorders>
              <w:top w:val="nil"/>
              <w:left w:val="single" w:sz="4" w:space="0" w:color="auto"/>
              <w:bottom w:val="single" w:sz="4" w:space="0" w:color="000000"/>
              <w:right w:val="nil"/>
            </w:tcBorders>
            <w:shd w:val="clear" w:color="000000" w:fill="FFFFFF"/>
            <w:noWrap/>
            <w:textDirection w:val="btLr"/>
            <w:vAlign w:val="center"/>
            <w:hideMark/>
          </w:tcPr>
          <w:p w14:paraId="7A4C8F02" w14:textId="77777777" w:rsidR="00052986" w:rsidRPr="00672068" w:rsidRDefault="00052986" w:rsidP="008F160D">
            <w:pPr>
              <w:spacing w:after="0" w:line="240" w:lineRule="auto"/>
              <w:ind w:left="113" w:right="113"/>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δ</w:t>
            </w:r>
            <w:r w:rsidRPr="00672068">
              <w:rPr>
                <w:rFonts w:asciiTheme="majorBidi" w:eastAsia="Times New Roman" w:hAnsiTheme="majorBidi" w:cstheme="majorBidi"/>
                <w:b/>
                <w:bCs/>
                <w:sz w:val="20"/>
                <w:szCs w:val="20"/>
                <w:vertAlign w:val="superscript"/>
                <w:lang w:eastAsia="en-US"/>
              </w:rPr>
              <w:t>15</w:t>
            </w:r>
            <w:r w:rsidRPr="00672068">
              <w:rPr>
                <w:rFonts w:asciiTheme="majorBidi" w:eastAsia="Times New Roman" w:hAnsiTheme="majorBidi" w:cstheme="majorBidi"/>
                <w:b/>
                <w:bCs/>
                <w:sz w:val="20"/>
                <w:szCs w:val="20"/>
                <w:lang w:eastAsia="en-US"/>
              </w:rPr>
              <w:t>N</w:t>
            </w:r>
          </w:p>
        </w:tc>
        <w:tc>
          <w:tcPr>
            <w:tcW w:w="0" w:type="auto"/>
            <w:tcBorders>
              <w:top w:val="single" w:sz="4" w:space="0" w:color="auto"/>
              <w:left w:val="nil"/>
              <w:bottom w:val="nil"/>
              <w:right w:val="nil"/>
            </w:tcBorders>
            <w:shd w:val="clear" w:color="000000" w:fill="FFFFFF"/>
            <w:noWrap/>
            <w:vAlign w:val="bottom"/>
            <w:hideMark/>
          </w:tcPr>
          <w:p w14:paraId="66172F4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single" w:sz="4" w:space="0" w:color="auto"/>
              <w:bottom w:val="nil"/>
              <w:right w:val="nil"/>
            </w:tcBorders>
            <w:shd w:val="clear" w:color="000000" w:fill="FFFFFF"/>
            <w:noWrap/>
            <w:vAlign w:val="bottom"/>
            <w:hideMark/>
          </w:tcPr>
          <w:p w14:paraId="227E3BEC"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5FCD80E2"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nil"/>
              <w:bottom w:val="nil"/>
              <w:right w:val="nil"/>
            </w:tcBorders>
            <w:shd w:val="clear" w:color="000000" w:fill="FFFFFF"/>
            <w:noWrap/>
            <w:vAlign w:val="bottom"/>
            <w:hideMark/>
          </w:tcPr>
          <w:p w14:paraId="69D6481F"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5C99CE49"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nil"/>
              <w:bottom w:val="nil"/>
              <w:right w:val="nil"/>
            </w:tcBorders>
            <w:shd w:val="clear" w:color="000000" w:fill="FFFFFF"/>
            <w:noWrap/>
            <w:vAlign w:val="bottom"/>
            <w:hideMark/>
          </w:tcPr>
          <w:p w14:paraId="138BBE7C"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7317471A"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nil"/>
              <w:bottom w:val="nil"/>
              <w:right w:val="nil"/>
            </w:tcBorders>
            <w:shd w:val="clear" w:color="000000" w:fill="FFFFFF"/>
            <w:noWrap/>
            <w:vAlign w:val="bottom"/>
            <w:hideMark/>
          </w:tcPr>
          <w:p w14:paraId="5F0FA927"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76D92EFB"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nil"/>
              <w:bottom w:val="nil"/>
              <w:right w:val="nil"/>
            </w:tcBorders>
            <w:shd w:val="clear" w:color="000000" w:fill="FFFFFF"/>
            <w:noWrap/>
            <w:vAlign w:val="bottom"/>
            <w:hideMark/>
          </w:tcPr>
          <w:p w14:paraId="04EC5005"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78C6749A"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nil"/>
              <w:bottom w:val="nil"/>
              <w:right w:val="nil"/>
            </w:tcBorders>
            <w:shd w:val="clear" w:color="000000" w:fill="FFFFFF"/>
            <w:noWrap/>
            <w:vAlign w:val="bottom"/>
            <w:hideMark/>
          </w:tcPr>
          <w:p w14:paraId="70743F43"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36ABEF57"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r>
      <w:tr w:rsidR="00052986" w:rsidRPr="00672068" w14:paraId="6168D5D9"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79837B41"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nil"/>
              <w:right w:val="nil"/>
            </w:tcBorders>
            <w:shd w:val="clear" w:color="000000" w:fill="FFFFFF"/>
            <w:noWrap/>
            <w:vAlign w:val="bottom"/>
            <w:hideMark/>
          </w:tcPr>
          <w:p w14:paraId="441C6639"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Mean value</w:t>
            </w:r>
          </w:p>
        </w:tc>
        <w:tc>
          <w:tcPr>
            <w:tcW w:w="0" w:type="auto"/>
            <w:tcBorders>
              <w:top w:val="nil"/>
              <w:left w:val="single" w:sz="4" w:space="0" w:color="auto"/>
              <w:bottom w:val="nil"/>
              <w:right w:val="nil"/>
            </w:tcBorders>
            <w:shd w:val="clear" w:color="000000" w:fill="FFFFFF"/>
            <w:noWrap/>
            <w:vAlign w:val="bottom"/>
            <w:hideMark/>
          </w:tcPr>
          <w:p w14:paraId="108A6B0E"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12.18</w:t>
            </w:r>
          </w:p>
        </w:tc>
        <w:tc>
          <w:tcPr>
            <w:tcW w:w="0" w:type="auto"/>
            <w:tcBorders>
              <w:top w:val="nil"/>
              <w:left w:val="nil"/>
              <w:bottom w:val="nil"/>
              <w:right w:val="single" w:sz="4" w:space="0" w:color="auto"/>
            </w:tcBorders>
            <w:shd w:val="clear" w:color="000000" w:fill="FFFFFF"/>
            <w:noWrap/>
            <w:vAlign w:val="bottom"/>
            <w:hideMark/>
          </w:tcPr>
          <w:p w14:paraId="2939C377"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10.37</w:t>
            </w:r>
          </w:p>
        </w:tc>
        <w:tc>
          <w:tcPr>
            <w:tcW w:w="0" w:type="auto"/>
            <w:tcBorders>
              <w:top w:val="nil"/>
              <w:left w:val="single" w:sz="4" w:space="0" w:color="auto"/>
              <w:bottom w:val="nil"/>
              <w:right w:val="nil"/>
            </w:tcBorders>
            <w:shd w:val="clear" w:color="000000" w:fill="FFFFFF"/>
            <w:noWrap/>
            <w:vAlign w:val="bottom"/>
            <w:hideMark/>
          </w:tcPr>
          <w:p w14:paraId="280C7BB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10.01</w:t>
            </w:r>
          </w:p>
        </w:tc>
        <w:tc>
          <w:tcPr>
            <w:tcW w:w="0" w:type="auto"/>
            <w:tcBorders>
              <w:top w:val="nil"/>
              <w:left w:val="nil"/>
              <w:bottom w:val="nil"/>
              <w:right w:val="single" w:sz="4" w:space="0" w:color="auto"/>
            </w:tcBorders>
            <w:shd w:val="clear" w:color="000000" w:fill="FFFFFF"/>
            <w:noWrap/>
            <w:vAlign w:val="bottom"/>
            <w:hideMark/>
          </w:tcPr>
          <w:p w14:paraId="01F38410"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10.27</w:t>
            </w:r>
          </w:p>
        </w:tc>
        <w:tc>
          <w:tcPr>
            <w:tcW w:w="0" w:type="auto"/>
            <w:tcBorders>
              <w:top w:val="nil"/>
              <w:left w:val="single" w:sz="4" w:space="0" w:color="auto"/>
              <w:bottom w:val="nil"/>
              <w:right w:val="nil"/>
            </w:tcBorders>
            <w:shd w:val="clear" w:color="000000" w:fill="FFFFFF"/>
            <w:noWrap/>
            <w:vAlign w:val="bottom"/>
            <w:hideMark/>
          </w:tcPr>
          <w:p w14:paraId="761E0618"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10.69</w:t>
            </w:r>
          </w:p>
        </w:tc>
        <w:tc>
          <w:tcPr>
            <w:tcW w:w="0" w:type="auto"/>
            <w:tcBorders>
              <w:top w:val="nil"/>
              <w:left w:val="nil"/>
              <w:bottom w:val="nil"/>
              <w:right w:val="single" w:sz="4" w:space="0" w:color="auto"/>
            </w:tcBorders>
            <w:shd w:val="clear" w:color="000000" w:fill="FFFFFF"/>
            <w:noWrap/>
            <w:vAlign w:val="bottom"/>
            <w:hideMark/>
          </w:tcPr>
          <w:p w14:paraId="78DCADF8"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10.30</w:t>
            </w:r>
          </w:p>
        </w:tc>
        <w:tc>
          <w:tcPr>
            <w:tcW w:w="0" w:type="auto"/>
            <w:tcBorders>
              <w:top w:val="nil"/>
              <w:left w:val="single" w:sz="4" w:space="0" w:color="auto"/>
              <w:bottom w:val="nil"/>
              <w:right w:val="nil"/>
            </w:tcBorders>
            <w:shd w:val="clear" w:color="000000" w:fill="FFFFFF"/>
            <w:noWrap/>
            <w:vAlign w:val="bottom"/>
            <w:hideMark/>
          </w:tcPr>
          <w:p w14:paraId="450AFF8D"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7.24</w:t>
            </w:r>
          </w:p>
        </w:tc>
        <w:tc>
          <w:tcPr>
            <w:tcW w:w="0" w:type="auto"/>
            <w:tcBorders>
              <w:top w:val="nil"/>
              <w:left w:val="nil"/>
              <w:bottom w:val="nil"/>
              <w:right w:val="single" w:sz="4" w:space="0" w:color="auto"/>
            </w:tcBorders>
            <w:shd w:val="clear" w:color="000000" w:fill="FFFFFF"/>
            <w:noWrap/>
            <w:vAlign w:val="bottom"/>
            <w:hideMark/>
          </w:tcPr>
          <w:p w14:paraId="51FA92D2"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4.95</w:t>
            </w:r>
          </w:p>
        </w:tc>
        <w:tc>
          <w:tcPr>
            <w:tcW w:w="0" w:type="auto"/>
            <w:tcBorders>
              <w:top w:val="nil"/>
              <w:left w:val="single" w:sz="4" w:space="0" w:color="auto"/>
              <w:bottom w:val="nil"/>
              <w:right w:val="nil"/>
            </w:tcBorders>
            <w:shd w:val="clear" w:color="000000" w:fill="FFFFFF"/>
            <w:noWrap/>
            <w:vAlign w:val="bottom"/>
            <w:hideMark/>
          </w:tcPr>
          <w:p w14:paraId="14DF70E3"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7.02</w:t>
            </w:r>
          </w:p>
        </w:tc>
        <w:tc>
          <w:tcPr>
            <w:tcW w:w="0" w:type="auto"/>
            <w:tcBorders>
              <w:top w:val="nil"/>
              <w:left w:val="nil"/>
              <w:bottom w:val="nil"/>
              <w:right w:val="single" w:sz="4" w:space="0" w:color="auto"/>
            </w:tcBorders>
            <w:shd w:val="clear" w:color="000000" w:fill="FFFFFF"/>
            <w:noWrap/>
            <w:vAlign w:val="bottom"/>
            <w:hideMark/>
          </w:tcPr>
          <w:p w14:paraId="5AFA6BD6"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2.75</w:t>
            </w:r>
          </w:p>
        </w:tc>
        <w:tc>
          <w:tcPr>
            <w:tcW w:w="0" w:type="auto"/>
            <w:tcBorders>
              <w:top w:val="nil"/>
              <w:left w:val="single" w:sz="4" w:space="0" w:color="auto"/>
              <w:bottom w:val="nil"/>
              <w:right w:val="nil"/>
            </w:tcBorders>
            <w:shd w:val="clear" w:color="000000" w:fill="FFFFFF"/>
            <w:noWrap/>
            <w:vAlign w:val="bottom"/>
            <w:hideMark/>
          </w:tcPr>
          <w:p w14:paraId="5407D37F"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10.10</w:t>
            </w:r>
          </w:p>
        </w:tc>
        <w:tc>
          <w:tcPr>
            <w:tcW w:w="0" w:type="auto"/>
            <w:tcBorders>
              <w:top w:val="nil"/>
              <w:left w:val="nil"/>
              <w:bottom w:val="nil"/>
              <w:right w:val="single" w:sz="4" w:space="0" w:color="auto"/>
            </w:tcBorders>
            <w:shd w:val="clear" w:color="000000" w:fill="FFFFFF"/>
            <w:noWrap/>
            <w:vAlign w:val="bottom"/>
            <w:hideMark/>
          </w:tcPr>
          <w:p w14:paraId="4B499869"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8.25</w:t>
            </w:r>
          </w:p>
        </w:tc>
      </w:tr>
      <w:tr w:rsidR="00052986" w:rsidRPr="00672068" w14:paraId="53F2C249"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0DE0E0A5"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nil"/>
              <w:right w:val="nil"/>
            </w:tcBorders>
            <w:shd w:val="clear" w:color="000000" w:fill="FFFFFF"/>
            <w:noWrap/>
            <w:vAlign w:val="bottom"/>
            <w:hideMark/>
          </w:tcPr>
          <w:p w14:paraId="0716C242"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SD</w:t>
            </w:r>
          </w:p>
        </w:tc>
        <w:tc>
          <w:tcPr>
            <w:tcW w:w="0" w:type="auto"/>
            <w:tcBorders>
              <w:top w:val="nil"/>
              <w:left w:val="single" w:sz="4" w:space="0" w:color="auto"/>
              <w:bottom w:val="nil"/>
              <w:right w:val="nil"/>
            </w:tcBorders>
            <w:shd w:val="clear" w:color="000000" w:fill="FFFFFF"/>
            <w:noWrap/>
            <w:vAlign w:val="bottom"/>
            <w:hideMark/>
          </w:tcPr>
          <w:p w14:paraId="0F2706D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0.38</w:t>
            </w:r>
          </w:p>
        </w:tc>
        <w:tc>
          <w:tcPr>
            <w:tcW w:w="0" w:type="auto"/>
            <w:tcBorders>
              <w:top w:val="nil"/>
              <w:left w:val="nil"/>
              <w:bottom w:val="nil"/>
              <w:right w:val="single" w:sz="4" w:space="0" w:color="auto"/>
            </w:tcBorders>
            <w:shd w:val="clear" w:color="000000" w:fill="FFFFFF"/>
            <w:noWrap/>
            <w:vAlign w:val="bottom"/>
            <w:hideMark/>
          </w:tcPr>
          <w:p w14:paraId="673D332D"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0.61</w:t>
            </w:r>
          </w:p>
        </w:tc>
        <w:tc>
          <w:tcPr>
            <w:tcW w:w="0" w:type="auto"/>
            <w:tcBorders>
              <w:top w:val="nil"/>
              <w:left w:val="single" w:sz="4" w:space="0" w:color="auto"/>
              <w:bottom w:val="nil"/>
              <w:right w:val="nil"/>
            </w:tcBorders>
            <w:shd w:val="clear" w:color="000000" w:fill="FFFFFF"/>
            <w:noWrap/>
            <w:vAlign w:val="bottom"/>
            <w:hideMark/>
          </w:tcPr>
          <w:p w14:paraId="31E1287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0.88</w:t>
            </w:r>
          </w:p>
        </w:tc>
        <w:tc>
          <w:tcPr>
            <w:tcW w:w="0" w:type="auto"/>
            <w:tcBorders>
              <w:top w:val="nil"/>
              <w:left w:val="nil"/>
              <w:bottom w:val="nil"/>
              <w:right w:val="single" w:sz="4" w:space="0" w:color="auto"/>
            </w:tcBorders>
            <w:shd w:val="clear" w:color="000000" w:fill="FFFFFF"/>
            <w:noWrap/>
            <w:vAlign w:val="bottom"/>
            <w:hideMark/>
          </w:tcPr>
          <w:p w14:paraId="25DAB613"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1.15</w:t>
            </w:r>
          </w:p>
        </w:tc>
        <w:tc>
          <w:tcPr>
            <w:tcW w:w="0" w:type="auto"/>
            <w:tcBorders>
              <w:top w:val="nil"/>
              <w:left w:val="single" w:sz="4" w:space="0" w:color="auto"/>
              <w:bottom w:val="nil"/>
              <w:right w:val="nil"/>
            </w:tcBorders>
            <w:shd w:val="clear" w:color="000000" w:fill="FFFFFF"/>
            <w:noWrap/>
            <w:vAlign w:val="bottom"/>
            <w:hideMark/>
          </w:tcPr>
          <w:p w14:paraId="5287C40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0.68</w:t>
            </w:r>
          </w:p>
        </w:tc>
        <w:tc>
          <w:tcPr>
            <w:tcW w:w="0" w:type="auto"/>
            <w:tcBorders>
              <w:top w:val="nil"/>
              <w:left w:val="nil"/>
              <w:bottom w:val="nil"/>
              <w:right w:val="single" w:sz="4" w:space="0" w:color="auto"/>
            </w:tcBorders>
            <w:shd w:val="clear" w:color="000000" w:fill="FFFFFF"/>
            <w:noWrap/>
            <w:vAlign w:val="bottom"/>
            <w:hideMark/>
          </w:tcPr>
          <w:p w14:paraId="3D7730AE"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0.40</w:t>
            </w:r>
          </w:p>
        </w:tc>
        <w:tc>
          <w:tcPr>
            <w:tcW w:w="0" w:type="auto"/>
            <w:tcBorders>
              <w:top w:val="nil"/>
              <w:left w:val="single" w:sz="4" w:space="0" w:color="auto"/>
              <w:bottom w:val="nil"/>
              <w:right w:val="nil"/>
            </w:tcBorders>
            <w:shd w:val="clear" w:color="000000" w:fill="FFFFFF"/>
            <w:noWrap/>
            <w:vAlign w:val="bottom"/>
            <w:hideMark/>
          </w:tcPr>
          <w:p w14:paraId="209366A5"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0.16</w:t>
            </w:r>
          </w:p>
        </w:tc>
        <w:tc>
          <w:tcPr>
            <w:tcW w:w="0" w:type="auto"/>
            <w:tcBorders>
              <w:top w:val="nil"/>
              <w:left w:val="nil"/>
              <w:bottom w:val="nil"/>
              <w:right w:val="single" w:sz="4" w:space="0" w:color="auto"/>
            </w:tcBorders>
            <w:shd w:val="clear" w:color="000000" w:fill="FFFFFF"/>
            <w:noWrap/>
            <w:vAlign w:val="bottom"/>
            <w:hideMark/>
          </w:tcPr>
          <w:p w14:paraId="51D57CD7"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1.86</w:t>
            </w:r>
          </w:p>
        </w:tc>
        <w:tc>
          <w:tcPr>
            <w:tcW w:w="0" w:type="auto"/>
            <w:tcBorders>
              <w:top w:val="nil"/>
              <w:left w:val="single" w:sz="4" w:space="0" w:color="auto"/>
              <w:bottom w:val="nil"/>
              <w:right w:val="nil"/>
            </w:tcBorders>
            <w:shd w:val="clear" w:color="000000" w:fill="FFFFFF"/>
            <w:noWrap/>
            <w:vAlign w:val="bottom"/>
            <w:hideMark/>
          </w:tcPr>
          <w:p w14:paraId="06232717"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0.67</w:t>
            </w:r>
          </w:p>
        </w:tc>
        <w:tc>
          <w:tcPr>
            <w:tcW w:w="0" w:type="auto"/>
            <w:tcBorders>
              <w:top w:val="nil"/>
              <w:left w:val="nil"/>
              <w:bottom w:val="nil"/>
              <w:right w:val="single" w:sz="4" w:space="0" w:color="auto"/>
            </w:tcBorders>
            <w:shd w:val="clear" w:color="000000" w:fill="FFFFFF"/>
            <w:noWrap/>
            <w:vAlign w:val="bottom"/>
            <w:hideMark/>
          </w:tcPr>
          <w:p w14:paraId="0D9F4ED0"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1.11</w:t>
            </w:r>
          </w:p>
        </w:tc>
        <w:tc>
          <w:tcPr>
            <w:tcW w:w="0" w:type="auto"/>
            <w:tcBorders>
              <w:top w:val="nil"/>
              <w:left w:val="single" w:sz="4" w:space="0" w:color="auto"/>
              <w:bottom w:val="nil"/>
              <w:right w:val="nil"/>
            </w:tcBorders>
            <w:shd w:val="clear" w:color="000000" w:fill="FFFFFF"/>
            <w:noWrap/>
            <w:vAlign w:val="bottom"/>
            <w:hideMark/>
          </w:tcPr>
          <w:p w14:paraId="339F308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0.38</w:t>
            </w:r>
          </w:p>
        </w:tc>
        <w:tc>
          <w:tcPr>
            <w:tcW w:w="0" w:type="auto"/>
            <w:tcBorders>
              <w:top w:val="nil"/>
              <w:left w:val="nil"/>
              <w:bottom w:val="nil"/>
              <w:right w:val="single" w:sz="4" w:space="0" w:color="auto"/>
            </w:tcBorders>
            <w:shd w:val="clear" w:color="000000" w:fill="FFFFFF"/>
            <w:noWrap/>
            <w:vAlign w:val="bottom"/>
            <w:hideMark/>
          </w:tcPr>
          <w:p w14:paraId="7D161A10"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0.12</w:t>
            </w:r>
          </w:p>
        </w:tc>
      </w:tr>
      <w:tr w:rsidR="00052986" w:rsidRPr="00672068" w14:paraId="3A4E83B2"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231448B5"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nil"/>
              <w:right w:val="nil"/>
            </w:tcBorders>
            <w:shd w:val="clear" w:color="000000" w:fill="FFFFFF"/>
            <w:noWrap/>
            <w:vAlign w:val="bottom"/>
            <w:hideMark/>
          </w:tcPr>
          <w:p w14:paraId="5C360797"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n</w:t>
            </w:r>
          </w:p>
        </w:tc>
        <w:tc>
          <w:tcPr>
            <w:tcW w:w="0" w:type="auto"/>
            <w:tcBorders>
              <w:top w:val="nil"/>
              <w:left w:val="single" w:sz="4" w:space="0" w:color="auto"/>
              <w:bottom w:val="single" w:sz="4" w:space="0" w:color="auto"/>
              <w:right w:val="nil"/>
            </w:tcBorders>
            <w:shd w:val="clear" w:color="000000" w:fill="FFFFFF"/>
            <w:noWrap/>
            <w:vAlign w:val="bottom"/>
            <w:hideMark/>
          </w:tcPr>
          <w:p w14:paraId="1FCE22C5"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42189D28"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0" w:type="auto"/>
            <w:tcBorders>
              <w:top w:val="nil"/>
              <w:left w:val="nil"/>
              <w:bottom w:val="single" w:sz="4" w:space="0" w:color="auto"/>
              <w:right w:val="nil"/>
            </w:tcBorders>
            <w:shd w:val="clear" w:color="000000" w:fill="FFFFFF"/>
            <w:noWrap/>
            <w:vAlign w:val="bottom"/>
            <w:hideMark/>
          </w:tcPr>
          <w:p w14:paraId="4551ED35"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7305F6BF"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0" w:type="auto"/>
            <w:tcBorders>
              <w:top w:val="nil"/>
              <w:left w:val="nil"/>
              <w:bottom w:val="single" w:sz="4" w:space="0" w:color="auto"/>
              <w:right w:val="nil"/>
            </w:tcBorders>
            <w:shd w:val="clear" w:color="000000" w:fill="FFFFFF"/>
            <w:noWrap/>
            <w:vAlign w:val="bottom"/>
            <w:hideMark/>
          </w:tcPr>
          <w:p w14:paraId="46D7FE30"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673F5A9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0" w:type="auto"/>
            <w:tcBorders>
              <w:top w:val="nil"/>
              <w:left w:val="nil"/>
              <w:bottom w:val="single" w:sz="4" w:space="0" w:color="auto"/>
              <w:right w:val="nil"/>
            </w:tcBorders>
            <w:shd w:val="clear" w:color="000000" w:fill="FFFFFF"/>
            <w:noWrap/>
            <w:vAlign w:val="bottom"/>
            <w:hideMark/>
          </w:tcPr>
          <w:p w14:paraId="0482526F"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16A1131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0" w:type="auto"/>
            <w:tcBorders>
              <w:top w:val="nil"/>
              <w:left w:val="nil"/>
              <w:bottom w:val="single" w:sz="4" w:space="0" w:color="auto"/>
              <w:right w:val="nil"/>
            </w:tcBorders>
            <w:shd w:val="clear" w:color="000000" w:fill="FFFFFF"/>
            <w:noWrap/>
            <w:vAlign w:val="bottom"/>
            <w:hideMark/>
          </w:tcPr>
          <w:p w14:paraId="3C65232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0F018C6C"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nil"/>
            </w:tcBorders>
            <w:shd w:val="clear" w:color="000000" w:fill="FFFFFF"/>
            <w:noWrap/>
            <w:vAlign w:val="bottom"/>
            <w:hideMark/>
          </w:tcPr>
          <w:p w14:paraId="4974C022"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1EFBBB56"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r>
      <w:tr w:rsidR="00052986" w:rsidRPr="00672068" w14:paraId="375B995B"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711F1901"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nil"/>
              <w:right w:val="nil"/>
            </w:tcBorders>
            <w:shd w:val="clear" w:color="000000" w:fill="FFFFFF"/>
            <w:noWrap/>
            <w:vAlign w:val="bottom"/>
            <w:hideMark/>
          </w:tcPr>
          <w:p w14:paraId="510F374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gridSpan w:val="2"/>
            <w:tcBorders>
              <w:top w:val="single" w:sz="4" w:space="0" w:color="auto"/>
              <w:left w:val="single" w:sz="4" w:space="0" w:color="auto"/>
              <w:bottom w:val="single" w:sz="4" w:space="0" w:color="auto"/>
              <w:right w:val="nil"/>
            </w:tcBorders>
            <w:shd w:val="clear" w:color="000000" w:fill="FFFFFF"/>
            <w:noWrap/>
            <w:vAlign w:val="bottom"/>
            <w:hideMark/>
          </w:tcPr>
          <w:p w14:paraId="4FC922DE"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Pro</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724B8AB1"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Ser</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5714A5A8"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Thr</w:t>
            </w:r>
            <w:proofErr w:type="spellEnd"/>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4E23F386"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Tyr</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bottom"/>
            <w:hideMark/>
          </w:tcPr>
          <w:p w14:paraId="54423F2F"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Val</w:t>
            </w:r>
          </w:p>
        </w:tc>
        <w:tc>
          <w:tcPr>
            <w:tcW w:w="0" w:type="auto"/>
            <w:tcBorders>
              <w:top w:val="nil"/>
              <w:left w:val="nil"/>
              <w:bottom w:val="nil"/>
              <w:right w:val="nil"/>
            </w:tcBorders>
            <w:shd w:val="clear" w:color="000000" w:fill="FFFFFF"/>
            <w:noWrap/>
            <w:vAlign w:val="bottom"/>
            <w:hideMark/>
          </w:tcPr>
          <w:p w14:paraId="0C7ED04F"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nil"/>
              <w:bottom w:val="nil"/>
              <w:right w:val="nil"/>
            </w:tcBorders>
            <w:shd w:val="clear" w:color="000000" w:fill="FFFFFF"/>
            <w:noWrap/>
            <w:vAlign w:val="bottom"/>
            <w:hideMark/>
          </w:tcPr>
          <w:p w14:paraId="780A1F3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r>
      <w:tr w:rsidR="00052986" w:rsidRPr="00672068" w14:paraId="70292249"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501709F4"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nil"/>
              <w:right w:val="nil"/>
            </w:tcBorders>
            <w:shd w:val="clear" w:color="000000" w:fill="FFFFFF"/>
            <w:noWrap/>
            <w:vAlign w:val="bottom"/>
            <w:hideMark/>
          </w:tcPr>
          <w:p w14:paraId="1EE5C3F0"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single" w:sz="4" w:space="0" w:color="auto"/>
              <w:bottom w:val="nil"/>
              <w:right w:val="nil"/>
            </w:tcBorders>
            <w:shd w:val="clear" w:color="000000" w:fill="FFFFFF"/>
            <w:noWrap/>
            <w:vAlign w:val="bottom"/>
            <w:hideMark/>
          </w:tcPr>
          <w:p w14:paraId="6F9A900C"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17950F9A"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single" w:sz="4" w:space="0" w:color="auto"/>
              <w:bottom w:val="nil"/>
              <w:right w:val="nil"/>
            </w:tcBorders>
            <w:shd w:val="clear" w:color="000000" w:fill="FFFFFF"/>
            <w:noWrap/>
            <w:vAlign w:val="bottom"/>
            <w:hideMark/>
          </w:tcPr>
          <w:p w14:paraId="4C844882"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09DE7A99"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single" w:sz="4" w:space="0" w:color="auto"/>
              <w:bottom w:val="nil"/>
              <w:right w:val="nil"/>
            </w:tcBorders>
            <w:shd w:val="clear" w:color="000000" w:fill="FFFFFF"/>
            <w:noWrap/>
            <w:vAlign w:val="bottom"/>
            <w:hideMark/>
          </w:tcPr>
          <w:p w14:paraId="3711EB1E"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4575A5D4"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single" w:sz="4" w:space="0" w:color="auto"/>
              <w:bottom w:val="nil"/>
              <w:right w:val="nil"/>
            </w:tcBorders>
            <w:shd w:val="clear" w:color="000000" w:fill="FFFFFF"/>
            <w:noWrap/>
            <w:vAlign w:val="bottom"/>
            <w:hideMark/>
          </w:tcPr>
          <w:p w14:paraId="4D679E3E"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1B2E7D67"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single" w:sz="4" w:space="0" w:color="auto"/>
              <w:bottom w:val="nil"/>
              <w:right w:val="nil"/>
            </w:tcBorders>
            <w:shd w:val="clear" w:color="000000" w:fill="FFFFFF"/>
            <w:noWrap/>
            <w:vAlign w:val="bottom"/>
            <w:hideMark/>
          </w:tcPr>
          <w:p w14:paraId="618D99D4"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This study</w:t>
            </w:r>
          </w:p>
        </w:tc>
        <w:tc>
          <w:tcPr>
            <w:tcW w:w="0" w:type="auto"/>
            <w:tcBorders>
              <w:top w:val="nil"/>
              <w:left w:val="nil"/>
              <w:bottom w:val="nil"/>
              <w:right w:val="single" w:sz="4" w:space="0" w:color="auto"/>
            </w:tcBorders>
            <w:shd w:val="clear" w:color="000000" w:fill="FFFFFF"/>
            <w:noWrap/>
            <w:vAlign w:val="bottom"/>
            <w:hideMark/>
          </w:tcPr>
          <w:p w14:paraId="105349D0"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proofErr w:type="spellStart"/>
            <w:r w:rsidRPr="00672068">
              <w:rPr>
                <w:rFonts w:asciiTheme="majorBidi" w:eastAsia="Times New Roman" w:hAnsiTheme="majorBidi" w:cstheme="majorBidi"/>
                <w:b/>
                <w:bCs/>
                <w:sz w:val="20"/>
                <w:szCs w:val="20"/>
                <w:lang w:eastAsia="en-US"/>
              </w:rPr>
              <w:t>Jaouen</w:t>
            </w:r>
            <w:proofErr w:type="spellEnd"/>
            <w:r w:rsidRPr="00672068">
              <w:rPr>
                <w:rFonts w:asciiTheme="majorBidi" w:eastAsia="Times New Roman" w:hAnsiTheme="majorBidi" w:cstheme="majorBidi"/>
                <w:b/>
                <w:bCs/>
                <w:sz w:val="20"/>
                <w:szCs w:val="20"/>
                <w:lang w:eastAsia="en-US"/>
              </w:rPr>
              <w:t xml:space="preserve"> et al.2019</w:t>
            </w:r>
          </w:p>
        </w:tc>
        <w:tc>
          <w:tcPr>
            <w:tcW w:w="0" w:type="auto"/>
            <w:tcBorders>
              <w:top w:val="nil"/>
              <w:left w:val="nil"/>
              <w:bottom w:val="nil"/>
              <w:right w:val="nil"/>
            </w:tcBorders>
            <w:shd w:val="clear" w:color="000000" w:fill="FFFFFF"/>
            <w:noWrap/>
            <w:vAlign w:val="bottom"/>
            <w:hideMark/>
          </w:tcPr>
          <w:p w14:paraId="66436456"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nil"/>
              <w:bottom w:val="nil"/>
              <w:right w:val="nil"/>
            </w:tcBorders>
            <w:shd w:val="clear" w:color="000000" w:fill="FFFFFF"/>
            <w:noWrap/>
            <w:vAlign w:val="bottom"/>
            <w:hideMark/>
          </w:tcPr>
          <w:p w14:paraId="426D24CA"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r>
      <w:tr w:rsidR="00052986" w:rsidRPr="00672068" w14:paraId="0C00A8FE"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7515409B"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nil"/>
              <w:right w:val="nil"/>
            </w:tcBorders>
            <w:shd w:val="clear" w:color="000000" w:fill="FFFFFF"/>
            <w:noWrap/>
            <w:vAlign w:val="bottom"/>
            <w:hideMark/>
          </w:tcPr>
          <w:p w14:paraId="4B5C5E56"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Mean value</w:t>
            </w:r>
          </w:p>
        </w:tc>
        <w:tc>
          <w:tcPr>
            <w:tcW w:w="0" w:type="auto"/>
            <w:tcBorders>
              <w:top w:val="nil"/>
              <w:left w:val="single" w:sz="4" w:space="0" w:color="auto"/>
              <w:bottom w:val="nil"/>
              <w:right w:val="nil"/>
            </w:tcBorders>
            <w:shd w:val="clear" w:color="000000" w:fill="FFFFFF"/>
            <w:noWrap/>
            <w:vAlign w:val="bottom"/>
            <w:hideMark/>
          </w:tcPr>
          <w:p w14:paraId="319BF5F7"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14.91</w:t>
            </w:r>
          </w:p>
        </w:tc>
        <w:tc>
          <w:tcPr>
            <w:tcW w:w="0" w:type="auto"/>
            <w:tcBorders>
              <w:top w:val="nil"/>
              <w:left w:val="nil"/>
              <w:bottom w:val="nil"/>
              <w:right w:val="single" w:sz="4" w:space="0" w:color="auto"/>
            </w:tcBorders>
            <w:shd w:val="clear" w:color="000000" w:fill="FFFFFF"/>
            <w:noWrap/>
            <w:vAlign w:val="bottom"/>
            <w:hideMark/>
          </w:tcPr>
          <w:p w14:paraId="4737CDB6"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13.70</w:t>
            </w:r>
          </w:p>
        </w:tc>
        <w:tc>
          <w:tcPr>
            <w:tcW w:w="0" w:type="auto"/>
            <w:tcBorders>
              <w:top w:val="nil"/>
              <w:left w:val="single" w:sz="4" w:space="0" w:color="auto"/>
              <w:bottom w:val="nil"/>
              <w:right w:val="nil"/>
            </w:tcBorders>
            <w:shd w:val="clear" w:color="000000" w:fill="FFFFFF"/>
            <w:noWrap/>
            <w:vAlign w:val="bottom"/>
            <w:hideMark/>
          </w:tcPr>
          <w:p w14:paraId="42DB95CF"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10.85</w:t>
            </w:r>
          </w:p>
        </w:tc>
        <w:tc>
          <w:tcPr>
            <w:tcW w:w="0" w:type="auto"/>
            <w:tcBorders>
              <w:top w:val="nil"/>
              <w:left w:val="nil"/>
              <w:bottom w:val="nil"/>
              <w:right w:val="single" w:sz="4" w:space="0" w:color="auto"/>
            </w:tcBorders>
            <w:shd w:val="clear" w:color="000000" w:fill="FFFFFF"/>
            <w:noWrap/>
            <w:vAlign w:val="bottom"/>
            <w:hideMark/>
          </w:tcPr>
          <w:p w14:paraId="7D0F061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9.37</w:t>
            </w:r>
          </w:p>
        </w:tc>
        <w:tc>
          <w:tcPr>
            <w:tcW w:w="0" w:type="auto"/>
            <w:tcBorders>
              <w:top w:val="nil"/>
              <w:left w:val="single" w:sz="4" w:space="0" w:color="auto"/>
              <w:bottom w:val="nil"/>
              <w:right w:val="nil"/>
            </w:tcBorders>
            <w:shd w:val="clear" w:color="000000" w:fill="FFFFFF"/>
            <w:noWrap/>
            <w:vAlign w:val="bottom"/>
            <w:hideMark/>
          </w:tcPr>
          <w:p w14:paraId="446A26D4"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-6.74</w:t>
            </w:r>
          </w:p>
        </w:tc>
        <w:tc>
          <w:tcPr>
            <w:tcW w:w="0" w:type="auto"/>
            <w:tcBorders>
              <w:top w:val="nil"/>
              <w:left w:val="nil"/>
              <w:bottom w:val="nil"/>
              <w:right w:val="single" w:sz="4" w:space="0" w:color="auto"/>
            </w:tcBorders>
            <w:shd w:val="clear" w:color="000000" w:fill="FFFFFF"/>
            <w:noWrap/>
            <w:vAlign w:val="bottom"/>
            <w:hideMark/>
          </w:tcPr>
          <w:p w14:paraId="376077F2"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-5.77</w:t>
            </w:r>
          </w:p>
        </w:tc>
        <w:tc>
          <w:tcPr>
            <w:tcW w:w="0" w:type="auto"/>
            <w:tcBorders>
              <w:top w:val="nil"/>
              <w:left w:val="single" w:sz="4" w:space="0" w:color="auto"/>
              <w:bottom w:val="nil"/>
              <w:right w:val="nil"/>
            </w:tcBorders>
            <w:shd w:val="clear" w:color="000000" w:fill="FFFFFF"/>
            <w:noWrap/>
            <w:vAlign w:val="bottom"/>
            <w:hideMark/>
          </w:tcPr>
          <w:p w14:paraId="0AE64C18"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4.76</w:t>
            </w:r>
          </w:p>
        </w:tc>
        <w:tc>
          <w:tcPr>
            <w:tcW w:w="0" w:type="auto"/>
            <w:tcBorders>
              <w:top w:val="nil"/>
              <w:left w:val="nil"/>
              <w:bottom w:val="nil"/>
              <w:right w:val="single" w:sz="4" w:space="0" w:color="auto"/>
            </w:tcBorders>
            <w:shd w:val="clear" w:color="000000" w:fill="FFFFFF"/>
            <w:noWrap/>
            <w:vAlign w:val="bottom"/>
            <w:hideMark/>
          </w:tcPr>
          <w:p w14:paraId="4001EBA4"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single" w:sz="4" w:space="0" w:color="auto"/>
              <w:bottom w:val="nil"/>
              <w:right w:val="nil"/>
            </w:tcBorders>
            <w:shd w:val="clear" w:color="000000" w:fill="FFFFFF"/>
            <w:noWrap/>
            <w:vAlign w:val="bottom"/>
            <w:hideMark/>
          </w:tcPr>
          <w:p w14:paraId="24B9D1E4"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10.48</w:t>
            </w:r>
          </w:p>
        </w:tc>
        <w:tc>
          <w:tcPr>
            <w:tcW w:w="0" w:type="auto"/>
            <w:tcBorders>
              <w:top w:val="nil"/>
              <w:left w:val="nil"/>
              <w:bottom w:val="nil"/>
              <w:right w:val="single" w:sz="4" w:space="0" w:color="auto"/>
            </w:tcBorders>
            <w:shd w:val="clear" w:color="000000" w:fill="FFFFFF"/>
            <w:noWrap/>
            <w:vAlign w:val="bottom"/>
            <w:hideMark/>
          </w:tcPr>
          <w:p w14:paraId="07B5CD1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10.77</w:t>
            </w:r>
          </w:p>
        </w:tc>
        <w:tc>
          <w:tcPr>
            <w:tcW w:w="0" w:type="auto"/>
            <w:tcBorders>
              <w:top w:val="nil"/>
              <w:left w:val="nil"/>
              <w:bottom w:val="nil"/>
              <w:right w:val="nil"/>
            </w:tcBorders>
            <w:shd w:val="clear" w:color="000000" w:fill="FFFFFF"/>
            <w:noWrap/>
            <w:vAlign w:val="bottom"/>
            <w:hideMark/>
          </w:tcPr>
          <w:p w14:paraId="648A3DE7"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nil"/>
              <w:bottom w:val="nil"/>
              <w:right w:val="nil"/>
            </w:tcBorders>
            <w:shd w:val="clear" w:color="000000" w:fill="FFFFFF"/>
            <w:noWrap/>
            <w:vAlign w:val="bottom"/>
            <w:hideMark/>
          </w:tcPr>
          <w:p w14:paraId="2675B07E"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r>
      <w:tr w:rsidR="00052986" w:rsidRPr="00672068" w14:paraId="6D3B66AD"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105FDC3D"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nil"/>
              <w:right w:val="nil"/>
            </w:tcBorders>
            <w:shd w:val="clear" w:color="000000" w:fill="FFFFFF"/>
            <w:noWrap/>
            <w:vAlign w:val="bottom"/>
            <w:hideMark/>
          </w:tcPr>
          <w:p w14:paraId="4890B9F8"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SD</w:t>
            </w:r>
          </w:p>
        </w:tc>
        <w:tc>
          <w:tcPr>
            <w:tcW w:w="0" w:type="auto"/>
            <w:tcBorders>
              <w:top w:val="nil"/>
              <w:left w:val="single" w:sz="4" w:space="0" w:color="auto"/>
              <w:bottom w:val="nil"/>
              <w:right w:val="nil"/>
            </w:tcBorders>
            <w:shd w:val="clear" w:color="000000" w:fill="FFFFFF"/>
            <w:noWrap/>
            <w:vAlign w:val="bottom"/>
            <w:hideMark/>
          </w:tcPr>
          <w:p w14:paraId="733B469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0.02</w:t>
            </w:r>
          </w:p>
        </w:tc>
        <w:tc>
          <w:tcPr>
            <w:tcW w:w="0" w:type="auto"/>
            <w:tcBorders>
              <w:top w:val="nil"/>
              <w:left w:val="nil"/>
              <w:bottom w:val="nil"/>
              <w:right w:val="single" w:sz="4" w:space="0" w:color="auto"/>
            </w:tcBorders>
            <w:shd w:val="clear" w:color="000000" w:fill="FFFFFF"/>
            <w:noWrap/>
            <w:vAlign w:val="bottom"/>
            <w:hideMark/>
          </w:tcPr>
          <w:p w14:paraId="440F22F5"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0.57</w:t>
            </w:r>
          </w:p>
        </w:tc>
        <w:tc>
          <w:tcPr>
            <w:tcW w:w="0" w:type="auto"/>
            <w:tcBorders>
              <w:top w:val="nil"/>
              <w:left w:val="single" w:sz="4" w:space="0" w:color="auto"/>
              <w:bottom w:val="nil"/>
              <w:right w:val="nil"/>
            </w:tcBorders>
            <w:shd w:val="clear" w:color="000000" w:fill="FFFFFF"/>
            <w:noWrap/>
            <w:vAlign w:val="bottom"/>
            <w:hideMark/>
          </w:tcPr>
          <w:p w14:paraId="13BCFBA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0.78</w:t>
            </w:r>
          </w:p>
        </w:tc>
        <w:tc>
          <w:tcPr>
            <w:tcW w:w="0" w:type="auto"/>
            <w:tcBorders>
              <w:top w:val="nil"/>
              <w:left w:val="nil"/>
              <w:bottom w:val="nil"/>
              <w:right w:val="single" w:sz="4" w:space="0" w:color="auto"/>
            </w:tcBorders>
            <w:shd w:val="clear" w:color="000000" w:fill="FFFFFF"/>
            <w:noWrap/>
            <w:vAlign w:val="bottom"/>
            <w:hideMark/>
          </w:tcPr>
          <w:p w14:paraId="540E152C"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single" w:sz="4" w:space="0" w:color="auto"/>
              <w:bottom w:val="nil"/>
              <w:right w:val="nil"/>
            </w:tcBorders>
            <w:shd w:val="clear" w:color="000000" w:fill="FFFFFF"/>
            <w:noWrap/>
            <w:vAlign w:val="bottom"/>
            <w:hideMark/>
          </w:tcPr>
          <w:p w14:paraId="3B4F0FFA"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1.2</w:t>
            </w:r>
          </w:p>
        </w:tc>
        <w:tc>
          <w:tcPr>
            <w:tcW w:w="0" w:type="auto"/>
            <w:tcBorders>
              <w:top w:val="nil"/>
              <w:left w:val="nil"/>
              <w:bottom w:val="nil"/>
              <w:right w:val="single" w:sz="4" w:space="0" w:color="auto"/>
            </w:tcBorders>
            <w:shd w:val="clear" w:color="000000" w:fill="FFFFFF"/>
            <w:noWrap/>
            <w:vAlign w:val="bottom"/>
            <w:hideMark/>
          </w:tcPr>
          <w:p w14:paraId="6324BF3D"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0.88</w:t>
            </w:r>
          </w:p>
        </w:tc>
        <w:tc>
          <w:tcPr>
            <w:tcW w:w="0" w:type="auto"/>
            <w:tcBorders>
              <w:top w:val="nil"/>
              <w:left w:val="single" w:sz="4" w:space="0" w:color="auto"/>
              <w:bottom w:val="nil"/>
              <w:right w:val="nil"/>
            </w:tcBorders>
            <w:shd w:val="clear" w:color="000000" w:fill="FFFFFF"/>
            <w:noWrap/>
            <w:vAlign w:val="bottom"/>
            <w:hideMark/>
          </w:tcPr>
          <w:p w14:paraId="13C963B3"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0.81</w:t>
            </w:r>
          </w:p>
        </w:tc>
        <w:tc>
          <w:tcPr>
            <w:tcW w:w="0" w:type="auto"/>
            <w:tcBorders>
              <w:top w:val="nil"/>
              <w:left w:val="nil"/>
              <w:bottom w:val="nil"/>
              <w:right w:val="single" w:sz="4" w:space="0" w:color="auto"/>
            </w:tcBorders>
            <w:shd w:val="clear" w:color="000000" w:fill="FFFFFF"/>
            <w:noWrap/>
            <w:vAlign w:val="bottom"/>
            <w:hideMark/>
          </w:tcPr>
          <w:p w14:paraId="30028A04"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single" w:sz="4" w:space="0" w:color="auto"/>
              <w:bottom w:val="nil"/>
              <w:right w:val="nil"/>
            </w:tcBorders>
            <w:shd w:val="clear" w:color="000000" w:fill="FFFFFF"/>
            <w:noWrap/>
            <w:vAlign w:val="bottom"/>
            <w:hideMark/>
          </w:tcPr>
          <w:p w14:paraId="6C7599EF"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0.73</w:t>
            </w:r>
          </w:p>
        </w:tc>
        <w:tc>
          <w:tcPr>
            <w:tcW w:w="0" w:type="auto"/>
            <w:tcBorders>
              <w:top w:val="nil"/>
              <w:left w:val="nil"/>
              <w:bottom w:val="nil"/>
              <w:right w:val="single" w:sz="4" w:space="0" w:color="auto"/>
            </w:tcBorders>
            <w:shd w:val="clear" w:color="000000" w:fill="FFFFFF"/>
            <w:noWrap/>
            <w:vAlign w:val="bottom"/>
            <w:hideMark/>
          </w:tcPr>
          <w:p w14:paraId="769F67E6"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0.63</w:t>
            </w:r>
          </w:p>
        </w:tc>
        <w:tc>
          <w:tcPr>
            <w:tcW w:w="0" w:type="auto"/>
            <w:tcBorders>
              <w:top w:val="nil"/>
              <w:left w:val="nil"/>
              <w:bottom w:val="nil"/>
              <w:right w:val="nil"/>
            </w:tcBorders>
            <w:shd w:val="clear" w:color="000000" w:fill="FFFFFF"/>
            <w:noWrap/>
            <w:vAlign w:val="bottom"/>
            <w:hideMark/>
          </w:tcPr>
          <w:p w14:paraId="5C61C8FB"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nil"/>
              <w:bottom w:val="nil"/>
              <w:right w:val="nil"/>
            </w:tcBorders>
            <w:shd w:val="clear" w:color="000000" w:fill="FFFFFF"/>
            <w:noWrap/>
            <w:vAlign w:val="bottom"/>
            <w:hideMark/>
          </w:tcPr>
          <w:p w14:paraId="2E682AB6"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r>
      <w:tr w:rsidR="00052986" w:rsidRPr="00672068" w14:paraId="033D1D08" w14:textId="77777777" w:rsidTr="00052986">
        <w:trPr>
          <w:trHeight w:val="315"/>
        </w:trPr>
        <w:tc>
          <w:tcPr>
            <w:tcW w:w="0" w:type="auto"/>
            <w:vMerge/>
            <w:tcBorders>
              <w:top w:val="nil"/>
              <w:left w:val="single" w:sz="4" w:space="0" w:color="auto"/>
              <w:bottom w:val="single" w:sz="4" w:space="0" w:color="000000"/>
              <w:right w:val="nil"/>
            </w:tcBorders>
            <w:vAlign w:val="center"/>
            <w:hideMark/>
          </w:tcPr>
          <w:p w14:paraId="1ADEDD88" w14:textId="77777777" w:rsidR="00052986" w:rsidRPr="00672068" w:rsidRDefault="00052986" w:rsidP="00052986">
            <w:pPr>
              <w:spacing w:after="0" w:line="240" w:lineRule="auto"/>
              <w:rPr>
                <w:rFonts w:asciiTheme="majorBidi" w:eastAsia="Times New Roman" w:hAnsiTheme="majorBidi" w:cstheme="majorBidi"/>
                <w:b/>
                <w:bCs/>
                <w:sz w:val="20"/>
                <w:szCs w:val="20"/>
                <w:lang w:eastAsia="en-US"/>
              </w:rPr>
            </w:pPr>
          </w:p>
        </w:tc>
        <w:tc>
          <w:tcPr>
            <w:tcW w:w="0" w:type="auto"/>
            <w:tcBorders>
              <w:top w:val="nil"/>
              <w:left w:val="nil"/>
              <w:bottom w:val="single" w:sz="4" w:space="0" w:color="auto"/>
              <w:right w:val="nil"/>
            </w:tcBorders>
            <w:shd w:val="clear" w:color="000000" w:fill="FFFFFF"/>
            <w:noWrap/>
            <w:vAlign w:val="bottom"/>
            <w:hideMark/>
          </w:tcPr>
          <w:p w14:paraId="72E5666C" w14:textId="77777777" w:rsidR="00052986" w:rsidRPr="00672068" w:rsidRDefault="00052986" w:rsidP="00052986">
            <w:pPr>
              <w:spacing w:after="0" w:line="240" w:lineRule="auto"/>
              <w:jc w:val="center"/>
              <w:rPr>
                <w:rFonts w:asciiTheme="majorBidi" w:eastAsia="Times New Roman" w:hAnsiTheme="majorBidi" w:cstheme="majorBidi"/>
                <w:b/>
                <w:bCs/>
                <w:sz w:val="20"/>
                <w:szCs w:val="20"/>
                <w:lang w:eastAsia="en-US"/>
              </w:rPr>
            </w:pPr>
            <w:r w:rsidRPr="00672068">
              <w:rPr>
                <w:rFonts w:asciiTheme="majorBidi" w:eastAsia="Times New Roman" w:hAnsiTheme="majorBidi" w:cstheme="majorBidi"/>
                <w:b/>
                <w:bCs/>
                <w:sz w:val="20"/>
                <w:szCs w:val="20"/>
                <w:lang w:eastAsia="en-US"/>
              </w:rPr>
              <w:t>n</w:t>
            </w:r>
          </w:p>
        </w:tc>
        <w:tc>
          <w:tcPr>
            <w:tcW w:w="0" w:type="auto"/>
            <w:tcBorders>
              <w:top w:val="nil"/>
              <w:left w:val="single" w:sz="4" w:space="0" w:color="auto"/>
              <w:bottom w:val="single" w:sz="4" w:space="0" w:color="auto"/>
              <w:right w:val="nil"/>
            </w:tcBorders>
            <w:shd w:val="clear" w:color="000000" w:fill="FFFFFF"/>
            <w:noWrap/>
            <w:vAlign w:val="bottom"/>
            <w:hideMark/>
          </w:tcPr>
          <w:p w14:paraId="65972A07"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733444DA"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0" w:type="auto"/>
            <w:tcBorders>
              <w:top w:val="nil"/>
              <w:left w:val="nil"/>
              <w:bottom w:val="single" w:sz="4" w:space="0" w:color="auto"/>
              <w:right w:val="nil"/>
            </w:tcBorders>
            <w:shd w:val="clear" w:color="000000" w:fill="FFFFFF"/>
            <w:noWrap/>
            <w:vAlign w:val="bottom"/>
            <w:hideMark/>
          </w:tcPr>
          <w:p w14:paraId="37425821"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073BCA6D"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1</w:t>
            </w:r>
          </w:p>
        </w:tc>
        <w:tc>
          <w:tcPr>
            <w:tcW w:w="0" w:type="auto"/>
            <w:tcBorders>
              <w:top w:val="nil"/>
              <w:left w:val="nil"/>
              <w:bottom w:val="single" w:sz="4" w:space="0" w:color="auto"/>
              <w:right w:val="nil"/>
            </w:tcBorders>
            <w:shd w:val="clear" w:color="000000" w:fill="FFFFFF"/>
            <w:noWrap/>
            <w:vAlign w:val="bottom"/>
            <w:hideMark/>
          </w:tcPr>
          <w:p w14:paraId="1BD1624F"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4AB538B4"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0" w:type="auto"/>
            <w:tcBorders>
              <w:top w:val="nil"/>
              <w:left w:val="nil"/>
              <w:bottom w:val="single" w:sz="4" w:space="0" w:color="auto"/>
              <w:right w:val="nil"/>
            </w:tcBorders>
            <w:shd w:val="clear" w:color="000000" w:fill="FFFFFF"/>
            <w:noWrap/>
            <w:vAlign w:val="bottom"/>
            <w:hideMark/>
          </w:tcPr>
          <w:p w14:paraId="254D4096"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1FB38340"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nil"/>
              <w:bottom w:val="single" w:sz="4" w:space="0" w:color="auto"/>
              <w:right w:val="nil"/>
            </w:tcBorders>
            <w:shd w:val="clear" w:color="000000" w:fill="FFFFFF"/>
            <w:noWrap/>
            <w:vAlign w:val="bottom"/>
            <w:hideMark/>
          </w:tcPr>
          <w:p w14:paraId="44BEF009"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2</w:t>
            </w:r>
          </w:p>
        </w:tc>
        <w:tc>
          <w:tcPr>
            <w:tcW w:w="0" w:type="auto"/>
            <w:tcBorders>
              <w:top w:val="nil"/>
              <w:left w:val="nil"/>
              <w:bottom w:val="single" w:sz="4" w:space="0" w:color="auto"/>
              <w:right w:val="single" w:sz="4" w:space="0" w:color="auto"/>
            </w:tcBorders>
            <w:shd w:val="clear" w:color="000000" w:fill="FFFFFF"/>
            <w:noWrap/>
            <w:vAlign w:val="bottom"/>
            <w:hideMark/>
          </w:tcPr>
          <w:p w14:paraId="6C0B758A"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3</w:t>
            </w:r>
          </w:p>
        </w:tc>
        <w:tc>
          <w:tcPr>
            <w:tcW w:w="0" w:type="auto"/>
            <w:tcBorders>
              <w:top w:val="nil"/>
              <w:left w:val="nil"/>
              <w:bottom w:val="nil"/>
              <w:right w:val="nil"/>
            </w:tcBorders>
            <w:shd w:val="clear" w:color="000000" w:fill="FFFFFF"/>
            <w:noWrap/>
            <w:vAlign w:val="bottom"/>
            <w:hideMark/>
          </w:tcPr>
          <w:p w14:paraId="0EA91B08"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c>
          <w:tcPr>
            <w:tcW w:w="0" w:type="auto"/>
            <w:tcBorders>
              <w:top w:val="nil"/>
              <w:left w:val="nil"/>
              <w:bottom w:val="nil"/>
              <w:right w:val="nil"/>
            </w:tcBorders>
            <w:shd w:val="clear" w:color="000000" w:fill="FFFFFF"/>
            <w:noWrap/>
            <w:vAlign w:val="bottom"/>
            <w:hideMark/>
          </w:tcPr>
          <w:p w14:paraId="087ECAF7" w14:textId="77777777" w:rsidR="00052986" w:rsidRPr="00672068" w:rsidRDefault="00052986" w:rsidP="00052986">
            <w:pPr>
              <w:spacing w:after="0" w:line="240" w:lineRule="auto"/>
              <w:jc w:val="center"/>
              <w:rPr>
                <w:rFonts w:asciiTheme="majorBidi" w:eastAsia="Times New Roman" w:hAnsiTheme="majorBidi" w:cstheme="majorBidi"/>
                <w:sz w:val="20"/>
                <w:szCs w:val="20"/>
                <w:lang w:eastAsia="en-US"/>
              </w:rPr>
            </w:pPr>
            <w:r w:rsidRPr="00672068">
              <w:rPr>
                <w:rFonts w:asciiTheme="majorBidi" w:eastAsia="Times New Roman" w:hAnsiTheme="majorBidi" w:cstheme="majorBidi"/>
                <w:sz w:val="20"/>
                <w:szCs w:val="20"/>
                <w:lang w:eastAsia="en-US"/>
              </w:rPr>
              <w:t> </w:t>
            </w:r>
          </w:p>
        </w:tc>
      </w:tr>
    </w:tbl>
    <w:p w14:paraId="222B11D7" w14:textId="77777777" w:rsidR="00493174" w:rsidRDefault="00493174" w:rsidP="004D0B64">
      <w:pPr>
        <w:spacing w:after="240" w:line="360" w:lineRule="auto"/>
        <w:rPr>
          <w:rFonts w:ascii="Times New Roman" w:eastAsia="Times New Roman" w:hAnsi="Times New Roman" w:cs="Times New Roman"/>
          <w:szCs w:val="24"/>
        </w:rPr>
        <w:sectPr w:rsidR="00493174" w:rsidSect="00493174">
          <w:pgSz w:w="15840" w:h="12240" w:orient="landscape"/>
          <w:pgMar w:top="1440" w:right="1440" w:bottom="1440" w:left="1440" w:header="720" w:footer="720" w:gutter="0"/>
          <w:lnNumType w:countBy="1" w:restart="continuous"/>
          <w:pgNumType w:start="1"/>
          <w:cols w:space="720"/>
          <w:docGrid w:linePitch="299"/>
        </w:sectPr>
      </w:pPr>
    </w:p>
    <w:p w14:paraId="75266DEB" w14:textId="173C6C21" w:rsidR="004D0B64" w:rsidRDefault="004D0B64" w:rsidP="004D0B64">
      <w:pPr>
        <w:spacing w:after="240" w:line="360" w:lineRule="auto"/>
        <w:rPr>
          <w:rFonts w:ascii="Times New Roman" w:eastAsia="Times New Roman" w:hAnsi="Times New Roman" w:cs="Times New Roman"/>
          <w:szCs w:val="24"/>
        </w:rPr>
      </w:pPr>
    </w:p>
    <w:p w14:paraId="4DC947EE" w14:textId="7F28DF82" w:rsidR="004D0B64" w:rsidRPr="00A05E4F" w:rsidRDefault="004D0B64" w:rsidP="0064579A">
      <w:pPr>
        <w:pStyle w:val="Paragraphedeliste"/>
        <w:numPr>
          <w:ilvl w:val="0"/>
          <w:numId w:val="7"/>
        </w:numPr>
        <w:spacing w:after="240" w:line="360" w:lineRule="auto"/>
        <w:rPr>
          <w:rFonts w:ascii="Times New Roman" w:eastAsia="Times New Roman" w:hAnsi="Times New Roman" w:cs="Times New Roman"/>
          <w:sz w:val="24"/>
          <w:szCs w:val="28"/>
        </w:rPr>
      </w:pPr>
      <w:r w:rsidRPr="00A05E4F">
        <w:rPr>
          <w:rFonts w:ascii="Times New Roman" w:eastAsia="Times New Roman" w:hAnsi="Times New Roman" w:cs="Times New Roman"/>
          <w:sz w:val="24"/>
          <w:szCs w:val="28"/>
        </w:rPr>
        <w:t xml:space="preserve">Following the recommendations of </w:t>
      </w:r>
      <w:r w:rsidRPr="00A05E4F">
        <w:rPr>
          <w:rFonts w:ascii="Tahoma" w:eastAsia="Times New Roman" w:hAnsi="Tahoma" w:cs="Tahoma"/>
          <w:sz w:val="24"/>
          <w:szCs w:val="28"/>
        </w:rPr>
        <w:t>﻿</w:t>
      </w:r>
      <w:r w:rsidRPr="00A05E4F">
        <w:rPr>
          <w:rFonts w:ascii="Times New Roman" w:eastAsia="Times New Roman" w:hAnsi="Times New Roman" w:cs="Times New Roman"/>
          <w:sz w:val="24"/>
          <w:szCs w:val="28"/>
        </w:rPr>
        <w:t>O'Connell and Collins (2017), we verified the existence of a correlation between isotope ratios measured in hydroxyproline and proline</w:t>
      </w:r>
      <w:r w:rsidR="00BF2AFC" w:rsidRPr="00A05E4F">
        <w:rPr>
          <w:rFonts w:ascii="Times New Roman" w:eastAsia="Times New Roman" w:hAnsi="Times New Roman" w:cs="Times New Roman"/>
          <w:sz w:val="24"/>
          <w:szCs w:val="28"/>
        </w:rPr>
        <w:t xml:space="preserve"> (Figure S4.1</w:t>
      </w:r>
      <w:r w:rsidR="00F22A73" w:rsidRPr="00A05E4F">
        <w:rPr>
          <w:rFonts w:ascii="Times New Roman" w:eastAsia="Times New Roman" w:hAnsi="Times New Roman" w:cs="Times New Roman"/>
          <w:sz w:val="24"/>
          <w:szCs w:val="28"/>
        </w:rPr>
        <w:t xml:space="preserve"> and S4.2</w:t>
      </w:r>
      <w:r w:rsidR="00BF2AFC" w:rsidRPr="00A05E4F">
        <w:rPr>
          <w:rFonts w:ascii="Times New Roman" w:eastAsia="Times New Roman" w:hAnsi="Times New Roman" w:cs="Times New Roman"/>
          <w:sz w:val="24"/>
          <w:szCs w:val="28"/>
        </w:rPr>
        <w:t>)</w:t>
      </w:r>
      <w:r w:rsidRPr="00A05E4F">
        <w:rPr>
          <w:rFonts w:ascii="Times New Roman" w:eastAsia="Times New Roman" w:hAnsi="Times New Roman" w:cs="Times New Roman"/>
          <w:sz w:val="24"/>
          <w:szCs w:val="28"/>
        </w:rPr>
        <w:t xml:space="preserve">. </w:t>
      </w:r>
    </w:p>
    <w:p w14:paraId="3DD9452F" w14:textId="4CD31332" w:rsidR="004D0B64" w:rsidRDefault="004D0B64" w:rsidP="004D0B64">
      <w:pPr>
        <w:spacing w:before="240" w:after="24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According to a previous study, the correlation between the </w:t>
      </w:r>
      <w:r w:rsidRPr="00D70D43">
        <w:rPr>
          <w:rFonts w:ascii="Times New Roman" w:hAnsi="Times New Roman" w:cs="Times New Roman"/>
          <w:sz w:val="24"/>
          <w:szCs w:val="24"/>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 values of the proline (Pro) and hydroxyproline (</w:t>
      </w:r>
      <w:proofErr w:type="spellStart"/>
      <w:r w:rsidRPr="00D70D43">
        <w:rPr>
          <w:rFonts w:ascii="Times New Roman" w:eastAsia="Times New Roman" w:hAnsi="Times New Roman" w:cs="Times New Roman"/>
          <w:sz w:val="24"/>
          <w:szCs w:val="24"/>
        </w:rPr>
        <w:t>Hyp</w:t>
      </w:r>
      <w:proofErr w:type="spellEnd"/>
      <w:r w:rsidRPr="00D70D43">
        <w:rPr>
          <w:rFonts w:ascii="Times New Roman" w:eastAsia="Times New Roman" w:hAnsi="Times New Roman" w:cs="Times New Roman"/>
          <w:sz w:val="24"/>
          <w:szCs w:val="24"/>
        </w:rPr>
        <w:t>) is essential to assess the data quality (O’Connell and Collins, 201</w:t>
      </w:r>
      <w:r w:rsidR="00AC0B37">
        <w:rPr>
          <w:rFonts w:ascii="Times New Roman" w:eastAsia="Times New Roman" w:hAnsi="Times New Roman" w:cs="Times New Roman"/>
          <w:sz w:val="24"/>
          <w:szCs w:val="24"/>
        </w:rPr>
        <w:t>8</w:t>
      </w:r>
      <w:r w:rsidRPr="00D70D43">
        <w:rPr>
          <w:rFonts w:ascii="Times New Roman" w:eastAsia="Times New Roman" w:hAnsi="Times New Roman" w:cs="Times New Roman"/>
          <w:sz w:val="24"/>
          <w:szCs w:val="24"/>
        </w:rPr>
        <w:t>)</w:t>
      </w:r>
      <w:r w:rsidR="00AC0B37">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{"citationID":"Co3GMZq9","properties":{"formattedCitation":"\\super 67\\nosupersub{}","plainCitation":"67","noteIndex":0},"citationItems":[{"id":616,"uris":["http://zotero.org/users/7125028/items/AH97CFIP"],"itemData":{"id":616,"type":"article-journal","abstract":"The Northwest Coast of Canada was likely an important location for glacial refugia in the Late Pleistocene. Recently, a caribou (Rangifer tarandus) antler fragment was reported from Graham Island dating prior to the Fraser Glaciation (MIS 3; 48,200–45,200 cal yr BP). The high carbon and nitrogen stable isotope values found in the bulk collagen samples of this caribou prompted further investigation into its diet and palaeoecological context. Today, caribou in British Columbia face rapid population and range decline, and have been placed on threatened and endangered species lists by both the U.S. and Canadian governments. Further insights into this species and its responses to changing environmental conditions can both improve our understanding of the Late Pleistocene ecosystems of the Northwest Coast and add relevant data to modern conservation issues. We employed compound-specific carbon and nitrogen stable isotope analysis to the individual amino acids of antler collagen to better understand the isotopic signal of this specimen. Our results suggest a significant marine plant contribution to the caribou's spring–summer diet, potentially reflecting an intensive foraging behavior observed in some modern-day Rangifer tarandus populations under conditions of terrestrial resource restriction.\nThis chapter details the process and applications of amino acid (AA) analysis in animal tracking as well as addresses the assumptions and inherent limitations that must also be considered when dealing with AA isotope data. The authors provide a brief primer on amino acid biochemistry and isotope discrimination with regard to nitrogen, carbon and hydrogen metabolisms and also touch upon consumer physiology. This is followed by a close examination of several case studies involving the compound-specific isotope analysis-amino acid (CSIA-AA) methodology and how this approach can be successfully applied to radically enhance the fields of migration studies and foraging ecology.\nThis chapter details the process and applications of amino acid (AA) analysis in animal tracking as well as addresses the assumptions and inherent limitations that must also be considered when dealing with AA isotope data. The authors provide a brief primer on amino acid biochemistry and isotope discrimination with regard to nitrogen, carbon and hydrogen metabolisms and also touch upon consumer physiology. This is followed by a close examination of several case studies involving the compound-specific isotope analysis-amino acid (CSIA-AA) methodology and how this approach can be successfully applied to radically enhance the fields of migration studies and foraging ecology.","container-title":"Journal of Human Evolution","DOI":"10.1016/j.jhevol.2017.05.006","ISSN":"0047-2484","journalAbbreviation":"Journal of Human Evolution","language":"en","page":"53-55","source":"ScienceDirect","title":"Comment on “Ecological niche of Neanderthals from Spy Cave revealed by nitrogen isotopes of individual amino acids in collagen” [J. Hum. Evol. 93 (2016) 82–90]","volume":"117","author":[{"family":"O'Connell","given":"Tamsin C."},{"family":"Collins","given":"Matthew J."}],"issued":{"date-parts":[["2018",4,1]]}}}],"schema":"https://github.com/citation-style-language/schema/raw/master/csl-citation.json"} </w:instrText>
      </w:r>
      <w:r w:rsidR="00AC0B37">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67</w:t>
      </w:r>
      <w:r w:rsidR="00AC0B37">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Since the nitrogen in </w:t>
      </w:r>
      <w:proofErr w:type="spellStart"/>
      <w:r w:rsidRPr="00D70D43">
        <w:rPr>
          <w:rFonts w:ascii="Times New Roman" w:eastAsia="Times New Roman" w:hAnsi="Times New Roman" w:cs="Times New Roman"/>
          <w:sz w:val="24"/>
          <w:szCs w:val="24"/>
        </w:rPr>
        <w:t>Hyp</w:t>
      </w:r>
      <w:proofErr w:type="spellEnd"/>
      <w:r w:rsidRPr="00D70D43">
        <w:rPr>
          <w:rFonts w:ascii="Times New Roman" w:eastAsia="Times New Roman" w:hAnsi="Times New Roman" w:cs="Times New Roman"/>
          <w:sz w:val="24"/>
          <w:szCs w:val="24"/>
        </w:rPr>
        <w:t xml:space="preserve"> is synthesized from Pro </w:t>
      </w:r>
      <w:r w:rsidR="00F939AD">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{"citationID":"bFnoovBq","properties":{"formattedCitation":"\\super 68\\nosupersub{}","plainCitation":"68","noteIndex":0},"citationItems":[{"id":737,"uris":["http://zotero.org/users/7125028/items/AU4Y5EEH"],"itemData":{"id":737,"type":"article-journal","abstract":"Type I collagen is the major bone protein. Little is known quantitatively about human bone collagen synthesis in vivo, despite its importance for the understanding of bone formation and turnover. Our aim was to develop a method that could be used for the physiological and pathophysiological investigation of human bone collagen synthesis. We have carried out preliminary studies in patients undergoing hip replacement and in pigs to validate the use of the flooding dose method using 13C- or 15N-labelled proline and we have now refined our techniques to allow them to be used in a normal clinical or physiological setting. The results show that the application of a flooding dose causes bone free-proline labelling to equilibrate with that of blood in pigs and human beings, so that only 150 mg of bone will provide enough sample to prepare and measure the labelling of three fractions of bone collagen (dissolved in NaCl, acetic acid and pepsin/acetic acid) which have the same relative labelling (1.0:0.43:0.1) as measured by GC-combustion-isotope ratio MS. The rates of incorporation were substantially faster than in skeletal muscle samples taken at the same time. The results suggest that different fractions of human bone collagen turnover at markedly higher rates than had been previously considered. This approach should allow us to discover how growth and development, food, activity and drugs affect bone collagen turnover and to measure the effects on it of ageing and bone disease.","container-title":"Biochemical Society Transactions","DOI":"10.1042/bst0300061","ISSN":"0300-5127","issue":"2","journalAbbreviation":"Biochemical Society Transactions","page":"61-65","source":"Silverchair","title":"Sequential extracts of human bone show differing collagen synthetic rates","volume":"30","author":[{"family":"Babraj","given":"J."},{"family":"Cuthbertson","given":"D.J."},{"family":"Rickhuss","given":"P."},{"family":"Meier-Augenstein","given":"W."},{"family":"Smith","given":"K."},{"family":"Bohé","given":"J."},{"family":"Wolfe","given":"R. R."},{"family":"Gibson","given":"J. N. A."},{"family":"Adams","given":"C."},{"family":"Rennie","given":"M. J."}],"issued":{"date-parts":[["2002",4,1]]}}}],"schema":"https://github.com/citation-style-language/schema/raw/master/csl-citation.json"} </w:instrText>
      </w:r>
      <w:r w:rsidR="00F939AD">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68</w:t>
      </w:r>
      <w:r w:rsidR="00F939AD">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their </w:t>
      </w:r>
      <w:r w:rsidRPr="00D70D43">
        <w:rPr>
          <w:rFonts w:ascii="Times New Roman" w:hAnsi="Times New Roman" w:cs="Times New Roman"/>
          <w:sz w:val="24"/>
          <w:szCs w:val="24"/>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 values are expected to be relatively equal and the plot of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H</w:t>
      </w:r>
      <w:r w:rsidRPr="00D70D43">
        <w:rPr>
          <w:rFonts w:ascii="Times New Roman" w:eastAsia="Times New Roman" w:hAnsi="Times New Roman" w:cs="Times New Roman"/>
          <w:sz w:val="24"/>
          <w:szCs w:val="24"/>
          <w:vertAlign w:val="subscript"/>
        </w:rPr>
        <w:t xml:space="preserve">Hyp </w:t>
      </w:r>
      <w:r w:rsidRPr="00D70D43">
        <w:rPr>
          <w:rFonts w:ascii="Times New Roman" w:eastAsia="Times New Roman" w:hAnsi="Times New Roman" w:cs="Times New Roman"/>
          <w:sz w:val="24"/>
          <w:szCs w:val="24"/>
        </w:rPr>
        <w:t>vs.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w:t>
      </w:r>
      <w:r w:rsidRPr="00D70D43">
        <w:rPr>
          <w:rFonts w:ascii="Times New Roman" w:eastAsia="Times New Roman" w:hAnsi="Times New Roman" w:cs="Times New Roman"/>
          <w:sz w:val="24"/>
          <w:szCs w:val="24"/>
          <w:vertAlign w:val="subscript"/>
        </w:rPr>
        <w:t>Pro</w:t>
      </w:r>
      <w:r w:rsidRPr="00D70D43">
        <w:rPr>
          <w:rFonts w:ascii="Times New Roman" w:eastAsia="Times New Roman" w:hAnsi="Times New Roman" w:cs="Times New Roman"/>
          <w:sz w:val="24"/>
          <w:szCs w:val="24"/>
        </w:rPr>
        <w:t xml:space="preserve"> should give a slope close to 1. We verified this on our samples and it shows that there is a strong correlation between the </w:t>
      </w:r>
      <w:r w:rsidRPr="00D70D43">
        <w:rPr>
          <w:rFonts w:ascii="Times New Roman" w:hAnsi="Times New Roman" w:cs="Times New Roman"/>
          <w:sz w:val="24"/>
          <w:szCs w:val="24"/>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 values of these amino acids (y= 0.962x+ 0.373; R</w:t>
      </w:r>
      <w:r w:rsidRPr="00D70D43">
        <w:rPr>
          <w:rFonts w:ascii="Times New Roman" w:eastAsia="Times New Roman" w:hAnsi="Times New Roman" w:cs="Times New Roman"/>
          <w:sz w:val="24"/>
          <w:szCs w:val="24"/>
          <w:vertAlign w:val="superscript"/>
        </w:rPr>
        <w:t>2</w:t>
      </w:r>
      <w:r w:rsidRPr="00D70D43">
        <w:rPr>
          <w:rFonts w:ascii="Times New Roman" w:eastAsia="Times New Roman" w:hAnsi="Times New Roman" w:cs="Times New Roman"/>
          <w:sz w:val="24"/>
          <w:szCs w:val="24"/>
        </w:rPr>
        <w:t xml:space="preserve"> = 0.9907)</w:t>
      </w:r>
      <w:r w:rsidR="000B262C">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 xml:space="preserve">(figure </w:t>
      </w:r>
      <w:r>
        <w:rPr>
          <w:rFonts w:ascii="Times New Roman" w:eastAsia="Times New Roman" w:hAnsi="Times New Roman" w:cs="Times New Roman"/>
          <w:sz w:val="24"/>
          <w:szCs w:val="24"/>
        </w:rPr>
        <w:t>S4.1</w:t>
      </w:r>
      <w:r w:rsidRPr="00D70D4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5340001A" w14:textId="026EA6DB" w:rsidR="004D0B64" w:rsidRPr="009341E0" w:rsidRDefault="004D0B64" w:rsidP="004D0B64">
      <w:pPr>
        <w:spacing w:before="240" w:after="240" w:line="360" w:lineRule="auto"/>
        <w:jc w:val="both"/>
        <w:rPr>
          <w:rFonts w:ascii="Times New Roman" w:hAnsi="Times New Roman" w:cs="Times New Roman"/>
          <w:sz w:val="24"/>
          <w:szCs w:val="24"/>
        </w:rPr>
      </w:pPr>
      <w:r w:rsidRPr="00D70D43">
        <w:rPr>
          <w:rFonts w:ascii="Times New Roman" w:eastAsia="Times New Roman" w:hAnsi="Times New Roman" w:cs="Times New Roman"/>
          <w:sz w:val="24"/>
          <w:szCs w:val="24"/>
        </w:rPr>
        <w:t>For Carbon, the δ</w:t>
      </w:r>
      <w:r w:rsidRPr="00D70D43">
        <w:rPr>
          <w:rFonts w:ascii="Times New Roman" w:eastAsia="Times New Roman" w:hAnsi="Times New Roman" w:cs="Times New Roman"/>
          <w:sz w:val="24"/>
          <w:szCs w:val="24"/>
          <w:vertAlign w:val="superscript"/>
        </w:rPr>
        <w:t>13</w:t>
      </w:r>
      <w:r w:rsidRPr="00D70D43">
        <w:rPr>
          <w:rFonts w:ascii="Times New Roman" w:eastAsia="Times New Roman" w:hAnsi="Times New Roman" w:cs="Times New Roman"/>
          <w:sz w:val="24"/>
          <w:szCs w:val="24"/>
        </w:rPr>
        <w:t>C</w:t>
      </w:r>
      <w:r w:rsidRPr="00D70D43">
        <w:rPr>
          <w:rFonts w:ascii="Times New Roman" w:eastAsia="Times New Roman" w:hAnsi="Times New Roman" w:cs="Times New Roman"/>
          <w:sz w:val="24"/>
          <w:szCs w:val="24"/>
          <w:vertAlign w:val="subscript"/>
        </w:rPr>
        <w:t xml:space="preserve">Hyp </w:t>
      </w:r>
      <w:r w:rsidRPr="00D70D43">
        <w:rPr>
          <w:rFonts w:ascii="Times New Roman" w:eastAsia="Times New Roman" w:hAnsi="Times New Roman" w:cs="Times New Roman"/>
          <w:sz w:val="24"/>
          <w:szCs w:val="24"/>
        </w:rPr>
        <w:t>was plotted against δ</w:t>
      </w:r>
      <w:r w:rsidRPr="00D70D43">
        <w:rPr>
          <w:rFonts w:ascii="Times New Roman" w:eastAsia="Times New Roman" w:hAnsi="Times New Roman" w:cs="Times New Roman"/>
          <w:sz w:val="24"/>
          <w:szCs w:val="24"/>
          <w:vertAlign w:val="superscript"/>
        </w:rPr>
        <w:t>13</w:t>
      </w:r>
      <w:r w:rsidRPr="00D70D43">
        <w:rPr>
          <w:rFonts w:ascii="Times New Roman" w:eastAsia="Times New Roman" w:hAnsi="Times New Roman" w:cs="Times New Roman"/>
          <w:sz w:val="24"/>
          <w:szCs w:val="24"/>
        </w:rPr>
        <w:t>C</w:t>
      </w:r>
      <w:r w:rsidRPr="00D70D43">
        <w:rPr>
          <w:rFonts w:ascii="Times New Roman" w:eastAsia="Times New Roman" w:hAnsi="Times New Roman" w:cs="Times New Roman"/>
          <w:sz w:val="24"/>
          <w:szCs w:val="24"/>
          <w:vertAlign w:val="subscript"/>
        </w:rPr>
        <w:t>Pro</w:t>
      </w:r>
      <w:r w:rsidRPr="00D70D43">
        <w:rPr>
          <w:rFonts w:ascii="Times New Roman" w:eastAsia="Times New Roman" w:hAnsi="Times New Roman" w:cs="Times New Roman"/>
          <w:sz w:val="24"/>
          <w:szCs w:val="24"/>
        </w:rPr>
        <w:t> but the slope was (y = 0.8652x - 3.276</w:t>
      </w:r>
      <w:r w:rsidRPr="00D70D43">
        <w:rPr>
          <w:rFonts w:ascii="Times New Roman" w:eastAsia="Times New Roman" w:hAnsi="Times New Roman" w:cs="Times New Roman"/>
          <w:sz w:val="24"/>
          <w:szCs w:val="24"/>
        </w:rPr>
        <w:br/>
        <w:t xml:space="preserve">R² = 0.5741), which is </w:t>
      </w:r>
      <w:r>
        <w:rPr>
          <w:rFonts w:ascii="Times New Roman" w:eastAsia="Times New Roman" w:hAnsi="Times New Roman" w:cs="Times New Roman"/>
          <w:sz w:val="24"/>
          <w:szCs w:val="24"/>
        </w:rPr>
        <w:t>inconsistent</w:t>
      </w:r>
      <w:r w:rsidRPr="00D70D4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with the slope of</w:t>
      </w:r>
      <w:r w:rsidRPr="00D70D43">
        <w:rPr>
          <w:rFonts w:ascii="Times New Roman" w:eastAsia="Times New Roman" w:hAnsi="Times New Roman" w:cs="Times New Roman"/>
          <w:sz w:val="24"/>
          <w:szCs w:val="24"/>
        </w:rPr>
        <w:t xml:space="preserve"> 1 expected (Figure </w:t>
      </w:r>
      <w:r>
        <w:rPr>
          <w:rFonts w:ascii="Times New Roman" w:eastAsia="Times New Roman" w:hAnsi="Times New Roman" w:cs="Times New Roman"/>
          <w:sz w:val="24"/>
          <w:szCs w:val="24"/>
        </w:rPr>
        <w:t>S4.2</w:t>
      </w:r>
      <w:r w:rsidRPr="00D70D4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Hydroxyproline data are systematically enriched compared to proline data. For this reason, we </w:t>
      </w:r>
      <w:r w:rsidR="00B736C1">
        <w:rPr>
          <w:rFonts w:ascii="Times New Roman" w:eastAsia="Times New Roman" w:hAnsi="Times New Roman" w:cs="Times New Roman"/>
          <w:sz w:val="24"/>
          <w:szCs w:val="24"/>
        </w:rPr>
        <w:t>plotted in grey color (Figure S4.2)</w:t>
      </w:r>
      <w:r>
        <w:rPr>
          <w:rFonts w:ascii="Times New Roman" w:eastAsia="Times New Roman" w:hAnsi="Times New Roman" w:cs="Times New Roman"/>
          <w:sz w:val="24"/>
          <w:szCs w:val="24"/>
        </w:rPr>
        <w:t xml:space="preserve"> </w:t>
      </w:r>
      <w:r w:rsidR="00B736C1">
        <w:rPr>
          <w:rFonts w:ascii="Times New Roman" w:eastAsia="Times New Roman" w:hAnsi="Times New Roman" w:cs="Times New Roman"/>
          <w:sz w:val="24"/>
          <w:szCs w:val="24"/>
        </w:rPr>
        <w:t>the s</w:t>
      </w:r>
      <w:r>
        <w:rPr>
          <w:rFonts w:ascii="Times New Roman" w:eastAsia="Times New Roman" w:hAnsi="Times New Roman" w:cs="Times New Roman"/>
          <w:sz w:val="24"/>
          <w:szCs w:val="24"/>
        </w:rPr>
        <w:t xml:space="preserve">amples that showed an offset superior to 1‰ between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13</w:t>
      </w:r>
      <w:r w:rsidRPr="00D70D43">
        <w:rPr>
          <w:rFonts w:ascii="Times New Roman" w:eastAsia="Times New Roman" w:hAnsi="Times New Roman" w:cs="Times New Roman"/>
          <w:sz w:val="24"/>
          <w:szCs w:val="24"/>
        </w:rPr>
        <w:t>C</w:t>
      </w:r>
      <w:r w:rsidRPr="00D70D43">
        <w:rPr>
          <w:rFonts w:ascii="Times New Roman" w:eastAsia="Times New Roman" w:hAnsi="Times New Roman" w:cs="Times New Roman"/>
          <w:sz w:val="24"/>
          <w:szCs w:val="24"/>
          <w:vertAlign w:val="subscript"/>
        </w:rPr>
        <w:t>Hyp</w:t>
      </w:r>
      <w:r>
        <w:rPr>
          <w:rFonts w:ascii="Times New Roman" w:eastAsia="Times New Roman" w:hAnsi="Times New Roman" w:cs="Times New Roman"/>
          <w:sz w:val="24"/>
          <w:szCs w:val="24"/>
          <w:vertAlign w:val="subscript"/>
        </w:rPr>
        <w:t xml:space="preserve"> </w:t>
      </w:r>
      <w:r w:rsidRPr="009341E0">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13</w:t>
      </w:r>
      <w:r w:rsidRPr="00D70D43">
        <w:rPr>
          <w:rFonts w:ascii="Times New Roman" w:eastAsia="Times New Roman" w:hAnsi="Times New Roman" w:cs="Times New Roman"/>
          <w:sz w:val="24"/>
          <w:szCs w:val="24"/>
        </w:rPr>
        <w:t>C</w:t>
      </w:r>
      <w:r w:rsidRPr="00D70D43">
        <w:rPr>
          <w:rFonts w:ascii="Times New Roman" w:eastAsia="Times New Roman" w:hAnsi="Times New Roman" w:cs="Times New Roman"/>
          <w:sz w:val="24"/>
          <w:szCs w:val="24"/>
          <w:vertAlign w:val="subscript"/>
        </w:rPr>
        <w:t>Pro</w:t>
      </w:r>
      <w:r w:rsidR="009350FB">
        <w:rPr>
          <w:rFonts w:ascii="Times New Roman" w:eastAsia="Times New Roman" w:hAnsi="Times New Roman" w:cs="Times New Roman"/>
          <w:sz w:val="24"/>
          <w:szCs w:val="24"/>
          <w:vertAlign w:val="subscript"/>
        </w:rPr>
        <w:t xml:space="preserve"> </w:t>
      </w:r>
      <w:r w:rsidR="009350FB" w:rsidRPr="0064579A">
        <w:rPr>
          <w:rFonts w:ascii="Times New Roman" w:eastAsia="Times New Roman" w:hAnsi="Times New Roman" w:cs="Times New Roman"/>
          <w:sz w:val="24"/>
          <w:szCs w:val="24"/>
        </w:rPr>
        <w:t>(Figure S4.2)</w:t>
      </w:r>
      <w:r w:rsidRPr="0056199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It corresponds to </w:t>
      </w:r>
      <w:r w:rsidR="00141C5C">
        <w:rPr>
          <w:rFonts w:ascii="Times New Roman" w:eastAsia="Times New Roman" w:hAnsi="Times New Roman" w:cs="Times New Roman"/>
          <w:sz w:val="24"/>
          <w:szCs w:val="24"/>
        </w:rPr>
        <w:t>9</w:t>
      </w:r>
      <w:r w:rsidR="001678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samples out of 29 samples. </w:t>
      </w:r>
    </w:p>
    <w:p w14:paraId="5950D217" w14:textId="77777777" w:rsidR="004D0B64" w:rsidRPr="00D70D43" w:rsidRDefault="004D0B64" w:rsidP="004D0B64">
      <w:pPr>
        <w:jc w:val="center"/>
        <w:rPr>
          <w:rFonts w:ascii="Times New Roman" w:hAnsi="Times New Roman" w:cs="Times New Roman"/>
          <w:i/>
          <w:sz w:val="24"/>
          <w:szCs w:val="24"/>
        </w:rPr>
      </w:pPr>
      <w:r w:rsidRPr="00D70D43">
        <w:rPr>
          <w:rFonts w:ascii="Times New Roman" w:eastAsia="Times New Roman" w:hAnsi="Times New Roman" w:cs="Times New Roman"/>
          <w:noProof/>
          <w:sz w:val="24"/>
          <w:szCs w:val="24"/>
        </w:rPr>
        <w:lastRenderedPageBreak/>
        <w:drawing>
          <wp:inline distT="114300" distB="114300" distL="114300" distR="114300" wp14:anchorId="3A6C2CF6" wp14:editId="6305A4BE">
            <wp:extent cx="4659464" cy="3912042"/>
            <wp:effectExtent l="0" t="0" r="8255"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3"/>
                    <a:srcRect l="17467" r="20993"/>
                    <a:stretch>
                      <a:fillRect/>
                    </a:stretch>
                  </pic:blipFill>
                  <pic:spPr>
                    <a:xfrm>
                      <a:off x="0" y="0"/>
                      <a:ext cx="4707888" cy="3952699"/>
                    </a:xfrm>
                    <a:prstGeom prst="rect">
                      <a:avLst/>
                    </a:prstGeom>
                    <a:ln/>
                  </pic:spPr>
                </pic:pic>
              </a:graphicData>
            </a:graphic>
          </wp:inline>
        </w:drawing>
      </w:r>
    </w:p>
    <w:p w14:paraId="0C98A4BC" w14:textId="09018D9C" w:rsidR="004D0B64" w:rsidRPr="00D70D43" w:rsidRDefault="004D0B64" w:rsidP="00236875">
      <w:pPr>
        <w:spacing w:before="240" w:after="240" w:line="360" w:lineRule="auto"/>
        <w:rPr>
          <w:rFonts w:ascii="Times New Roman" w:eastAsia="Times New Roman" w:hAnsi="Times New Roman" w:cs="Times New Roman"/>
          <w:sz w:val="24"/>
          <w:szCs w:val="24"/>
        </w:rPr>
      </w:pPr>
      <w:bookmarkStart w:id="31" w:name="_Hlk137040081"/>
      <w:r w:rsidRPr="00D70D43">
        <w:rPr>
          <w:rFonts w:ascii="Times New Roman" w:eastAsia="Times New Roman" w:hAnsi="Times New Roman" w:cs="Times New Roman"/>
          <w:b/>
          <w:sz w:val="24"/>
          <w:szCs w:val="24"/>
        </w:rPr>
        <w:t>Figure</w:t>
      </w:r>
      <w:r>
        <w:rPr>
          <w:rFonts w:ascii="Times New Roman" w:eastAsia="Times New Roman" w:hAnsi="Times New Roman" w:cs="Times New Roman"/>
          <w:b/>
          <w:sz w:val="24"/>
          <w:szCs w:val="24"/>
        </w:rPr>
        <w:t xml:space="preserve"> S4.1</w:t>
      </w:r>
      <w:r w:rsidRPr="00D70D43">
        <w:rPr>
          <w:rFonts w:ascii="Times New Roman" w:eastAsia="Times New Roman" w:hAnsi="Times New Roman" w:cs="Times New Roman"/>
          <w:sz w:val="24"/>
          <w:szCs w:val="24"/>
        </w:rPr>
        <w:t xml:space="preserve">: Comparison of collagen proline and hydroxyproline </w:t>
      </w:r>
      <w:r w:rsidRPr="00D70D43">
        <w:rPr>
          <w:rFonts w:ascii="Times New Roman" w:hAnsi="Times New Roman" w:cs="Times New Roman"/>
          <w:sz w:val="24"/>
          <w:szCs w:val="24"/>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 xml:space="preserve">N </w:t>
      </w:r>
      <w:r w:rsidR="00616F41">
        <w:rPr>
          <w:rFonts w:ascii="Times New Roman" w:eastAsia="Times New Roman" w:hAnsi="Times New Roman" w:cs="Times New Roman"/>
          <w:sz w:val="24"/>
          <w:szCs w:val="24"/>
        </w:rPr>
        <w:t>values of the animals and humans from Taforalt</w:t>
      </w:r>
    </w:p>
    <w:bookmarkEnd w:id="31"/>
    <w:p w14:paraId="56F474BF" w14:textId="33EBC0CC" w:rsidR="004D0B64" w:rsidRPr="00D70D43" w:rsidRDefault="00141C5C" w:rsidP="004D0B64">
      <w:pPr>
        <w:spacing w:before="240" w:after="24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226FCDA6" wp14:editId="72AFCD71">
            <wp:extent cx="6028006" cy="4788715"/>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31125" cy="4791193"/>
                    </a:xfrm>
                    <a:prstGeom prst="rect">
                      <a:avLst/>
                    </a:prstGeom>
                    <a:noFill/>
                  </pic:spPr>
                </pic:pic>
              </a:graphicData>
            </a:graphic>
          </wp:inline>
        </w:drawing>
      </w:r>
    </w:p>
    <w:p w14:paraId="7B2FA2EB" w14:textId="40D083B0" w:rsidR="004D0B64" w:rsidRPr="0056199B" w:rsidRDefault="004D0B64" w:rsidP="004D0B64">
      <w:pPr>
        <w:spacing w:before="240" w:after="240" w:line="360" w:lineRule="auto"/>
        <w:rPr>
          <w:rFonts w:ascii="Times New Roman" w:eastAsia="Times New Roman" w:hAnsi="Times New Roman" w:cs="Times New Roman"/>
          <w:sz w:val="24"/>
          <w:szCs w:val="24"/>
        </w:rPr>
      </w:pPr>
      <w:bookmarkStart w:id="32" w:name="_Hlk137040088"/>
      <w:r w:rsidRPr="00D70D43">
        <w:rPr>
          <w:rFonts w:ascii="Times New Roman" w:eastAsia="Times New Roman" w:hAnsi="Times New Roman" w:cs="Times New Roman"/>
          <w:b/>
          <w:sz w:val="24"/>
          <w:szCs w:val="24"/>
        </w:rPr>
        <w:t>Figure</w:t>
      </w:r>
      <w:r>
        <w:rPr>
          <w:rFonts w:ascii="Times New Roman" w:eastAsia="Times New Roman" w:hAnsi="Times New Roman" w:cs="Times New Roman"/>
          <w:b/>
          <w:sz w:val="24"/>
          <w:szCs w:val="24"/>
        </w:rPr>
        <w:t xml:space="preserve"> S4.2</w:t>
      </w:r>
      <w:r w:rsidRPr="00D70D43">
        <w:rPr>
          <w:rFonts w:ascii="Times New Roman" w:eastAsia="Times New Roman" w:hAnsi="Times New Roman" w:cs="Times New Roman"/>
          <w:sz w:val="24"/>
          <w:szCs w:val="24"/>
        </w:rPr>
        <w:t>: Comparison of collagen proline and hydroxyproline δ</w:t>
      </w:r>
      <w:r w:rsidRPr="00D70D43">
        <w:rPr>
          <w:rFonts w:ascii="Times New Roman" w:eastAsia="Times New Roman" w:hAnsi="Times New Roman" w:cs="Times New Roman"/>
          <w:sz w:val="24"/>
          <w:szCs w:val="24"/>
          <w:vertAlign w:val="superscript"/>
        </w:rPr>
        <w:t>13</w:t>
      </w:r>
      <w:r w:rsidRPr="00D70D43">
        <w:rPr>
          <w:rFonts w:ascii="Times New Roman" w:eastAsia="Times New Roman" w:hAnsi="Times New Roman" w:cs="Times New Roman"/>
          <w:sz w:val="24"/>
          <w:szCs w:val="24"/>
        </w:rPr>
        <w:t>C</w:t>
      </w:r>
      <w:r w:rsidRPr="00D70D43">
        <w:rPr>
          <w:rFonts w:ascii="Times New Roman" w:eastAsia="Times New Roman" w:hAnsi="Times New Roman" w:cs="Times New Roman"/>
          <w:sz w:val="24"/>
          <w:szCs w:val="24"/>
          <w:vertAlign w:val="subscript"/>
        </w:rPr>
        <w:t xml:space="preserve"> values </w:t>
      </w:r>
      <w:r w:rsidRPr="00D70D43">
        <w:rPr>
          <w:rFonts w:ascii="Times New Roman" w:eastAsia="Times New Roman" w:hAnsi="Times New Roman" w:cs="Times New Roman"/>
          <w:sz w:val="24"/>
          <w:szCs w:val="24"/>
        </w:rPr>
        <w:t>from our study</w:t>
      </w:r>
      <w:r>
        <w:rPr>
          <w:rFonts w:ascii="Times New Roman" w:eastAsia="Times New Roman" w:hAnsi="Times New Roman" w:cs="Times New Roman"/>
          <w:sz w:val="24"/>
          <w:szCs w:val="24"/>
        </w:rPr>
        <w:t>. The blue line shows the expected slope x=y for the δ</w:t>
      </w:r>
      <w:r>
        <w:rPr>
          <w:rFonts w:ascii="Times New Roman" w:eastAsia="Times New Roman" w:hAnsi="Times New Roman" w:cs="Times New Roman"/>
          <w:sz w:val="24"/>
          <w:szCs w:val="24"/>
          <w:vertAlign w:val="superscript"/>
        </w:rPr>
        <w:t>13</w:t>
      </w:r>
      <w:r>
        <w:rPr>
          <w:rFonts w:ascii="Times New Roman" w:eastAsia="Times New Roman" w:hAnsi="Times New Roman" w:cs="Times New Roman"/>
          <w:sz w:val="24"/>
          <w:szCs w:val="24"/>
        </w:rPr>
        <w:t>C</w:t>
      </w:r>
      <w:r>
        <w:rPr>
          <w:rFonts w:ascii="Times New Roman" w:eastAsia="Times New Roman" w:hAnsi="Times New Roman" w:cs="Times New Roman"/>
          <w:sz w:val="24"/>
          <w:szCs w:val="24"/>
          <w:vertAlign w:val="subscript"/>
        </w:rPr>
        <w:t xml:space="preserve">Hyp </w:t>
      </w:r>
      <w:r>
        <w:rPr>
          <w:rFonts w:ascii="Times New Roman" w:eastAsia="Times New Roman" w:hAnsi="Times New Roman" w:cs="Times New Roman"/>
          <w:sz w:val="24"/>
          <w:szCs w:val="24"/>
        </w:rPr>
        <w:t>against δ</w:t>
      </w:r>
      <w:r>
        <w:rPr>
          <w:rFonts w:ascii="Times New Roman" w:eastAsia="Times New Roman" w:hAnsi="Times New Roman" w:cs="Times New Roman"/>
          <w:sz w:val="24"/>
          <w:szCs w:val="24"/>
          <w:vertAlign w:val="superscript"/>
        </w:rPr>
        <w:t>13</w:t>
      </w:r>
      <w:r>
        <w:rPr>
          <w:rFonts w:ascii="Times New Roman" w:eastAsia="Times New Roman" w:hAnsi="Times New Roman" w:cs="Times New Roman"/>
          <w:sz w:val="24"/>
          <w:szCs w:val="24"/>
        </w:rPr>
        <w:t>C</w:t>
      </w:r>
      <w:r>
        <w:rPr>
          <w:rFonts w:ascii="Times New Roman" w:eastAsia="Times New Roman" w:hAnsi="Times New Roman" w:cs="Times New Roman"/>
          <w:sz w:val="24"/>
          <w:szCs w:val="24"/>
          <w:vertAlign w:val="subscript"/>
        </w:rPr>
        <w:t>Pro</w:t>
      </w:r>
      <w:r>
        <w:rPr>
          <w:rFonts w:ascii="Times New Roman" w:eastAsia="Times New Roman" w:hAnsi="Times New Roman" w:cs="Times New Roman"/>
          <w:sz w:val="24"/>
          <w:szCs w:val="24"/>
        </w:rPr>
        <w:t xml:space="preserve">. </w:t>
      </w:r>
      <w:r w:rsidR="00081168">
        <w:rPr>
          <w:rFonts w:ascii="Times New Roman" w:eastAsia="Times New Roman" w:hAnsi="Times New Roman" w:cs="Times New Roman"/>
          <w:sz w:val="24"/>
          <w:szCs w:val="24"/>
        </w:rPr>
        <w:t xml:space="preserve">The black point are the samples </w:t>
      </w:r>
      <w:r w:rsidR="004F59B4">
        <w:rPr>
          <w:rFonts w:ascii="Times New Roman" w:eastAsia="Times New Roman" w:hAnsi="Times New Roman" w:cs="Times New Roman"/>
          <w:sz w:val="24"/>
          <w:szCs w:val="24"/>
        </w:rPr>
        <w:t>which</w:t>
      </w:r>
      <w:r w:rsidR="00081168">
        <w:rPr>
          <w:rFonts w:ascii="Times New Roman" w:eastAsia="Times New Roman" w:hAnsi="Times New Roman" w:cs="Times New Roman"/>
          <w:sz w:val="24"/>
          <w:szCs w:val="24"/>
        </w:rPr>
        <w:t xml:space="preserve"> </w:t>
      </w:r>
      <w:r w:rsidR="004F59B4">
        <w:rPr>
          <w:rFonts w:ascii="Times New Roman" w:eastAsia="Times New Roman" w:hAnsi="Times New Roman" w:cs="Times New Roman"/>
          <w:sz w:val="24"/>
          <w:szCs w:val="24"/>
        </w:rPr>
        <w:t xml:space="preserve">showed an offset inferior to 1‰ between </w:t>
      </w:r>
      <w:r w:rsidR="004F59B4" w:rsidRPr="00D70D43">
        <w:rPr>
          <w:rFonts w:ascii="Times New Roman" w:eastAsia="Times New Roman" w:hAnsi="Times New Roman" w:cs="Times New Roman"/>
          <w:sz w:val="24"/>
          <w:szCs w:val="24"/>
        </w:rPr>
        <w:t>δ</w:t>
      </w:r>
      <w:r w:rsidR="004F59B4" w:rsidRPr="00D70D43">
        <w:rPr>
          <w:rFonts w:ascii="Times New Roman" w:eastAsia="Times New Roman" w:hAnsi="Times New Roman" w:cs="Times New Roman"/>
          <w:sz w:val="24"/>
          <w:szCs w:val="24"/>
          <w:vertAlign w:val="superscript"/>
        </w:rPr>
        <w:t>13</w:t>
      </w:r>
      <w:r w:rsidR="004F59B4" w:rsidRPr="00D70D43">
        <w:rPr>
          <w:rFonts w:ascii="Times New Roman" w:eastAsia="Times New Roman" w:hAnsi="Times New Roman" w:cs="Times New Roman"/>
          <w:sz w:val="24"/>
          <w:szCs w:val="24"/>
        </w:rPr>
        <w:t>C</w:t>
      </w:r>
      <w:r w:rsidR="004F59B4" w:rsidRPr="00D70D43">
        <w:rPr>
          <w:rFonts w:ascii="Times New Roman" w:eastAsia="Times New Roman" w:hAnsi="Times New Roman" w:cs="Times New Roman"/>
          <w:sz w:val="24"/>
          <w:szCs w:val="24"/>
          <w:vertAlign w:val="subscript"/>
        </w:rPr>
        <w:t>Hyp</w:t>
      </w:r>
      <w:r w:rsidR="004F59B4">
        <w:rPr>
          <w:rFonts w:ascii="Times New Roman" w:eastAsia="Times New Roman" w:hAnsi="Times New Roman" w:cs="Times New Roman"/>
          <w:sz w:val="24"/>
          <w:szCs w:val="24"/>
          <w:vertAlign w:val="subscript"/>
        </w:rPr>
        <w:t xml:space="preserve"> </w:t>
      </w:r>
      <w:r w:rsidR="004F59B4" w:rsidRPr="009341E0">
        <w:rPr>
          <w:rFonts w:ascii="Times New Roman" w:eastAsia="Times New Roman" w:hAnsi="Times New Roman" w:cs="Times New Roman"/>
          <w:sz w:val="24"/>
          <w:szCs w:val="24"/>
        </w:rPr>
        <w:t>and</w:t>
      </w:r>
      <w:r w:rsidR="004F59B4">
        <w:rPr>
          <w:rFonts w:ascii="Times New Roman" w:eastAsia="Times New Roman" w:hAnsi="Times New Roman" w:cs="Times New Roman"/>
          <w:sz w:val="24"/>
          <w:szCs w:val="24"/>
        </w:rPr>
        <w:t xml:space="preserve"> </w:t>
      </w:r>
      <w:r w:rsidR="004F59B4" w:rsidRPr="00D70D43">
        <w:rPr>
          <w:rFonts w:ascii="Times New Roman" w:eastAsia="Times New Roman" w:hAnsi="Times New Roman" w:cs="Times New Roman"/>
          <w:sz w:val="24"/>
          <w:szCs w:val="24"/>
        </w:rPr>
        <w:t>δ</w:t>
      </w:r>
      <w:r w:rsidR="004F59B4" w:rsidRPr="00D70D43">
        <w:rPr>
          <w:rFonts w:ascii="Times New Roman" w:eastAsia="Times New Roman" w:hAnsi="Times New Roman" w:cs="Times New Roman"/>
          <w:sz w:val="24"/>
          <w:szCs w:val="24"/>
          <w:vertAlign w:val="superscript"/>
        </w:rPr>
        <w:t>13</w:t>
      </w:r>
      <w:r w:rsidR="004F59B4" w:rsidRPr="00D70D43">
        <w:rPr>
          <w:rFonts w:ascii="Times New Roman" w:eastAsia="Times New Roman" w:hAnsi="Times New Roman" w:cs="Times New Roman"/>
          <w:sz w:val="24"/>
          <w:szCs w:val="24"/>
        </w:rPr>
        <w:t>C</w:t>
      </w:r>
      <w:r w:rsidR="004F59B4" w:rsidRPr="00D70D43">
        <w:rPr>
          <w:rFonts w:ascii="Times New Roman" w:eastAsia="Times New Roman" w:hAnsi="Times New Roman" w:cs="Times New Roman"/>
          <w:sz w:val="24"/>
          <w:szCs w:val="24"/>
          <w:vertAlign w:val="subscript"/>
        </w:rPr>
        <w:t>Pr</w:t>
      </w:r>
      <w:r w:rsidR="00081168">
        <w:rPr>
          <w:rFonts w:ascii="Times New Roman" w:eastAsia="Times New Roman" w:hAnsi="Times New Roman" w:cs="Times New Roman"/>
          <w:sz w:val="24"/>
          <w:szCs w:val="24"/>
        </w:rPr>
        <w:t xml:space="preserve">; the grey point </w:t>
      </w:r>
      <w:r w:rsidR="004F59B4">
        <w:rPr>
          <w:rFonts w:ascii="Times New Roman" w:eastAsia="Times New Roman" w:hAnsi="Times New Roman" w:cs="Times New Roman"/>
          <w:sz w:val="24"/>
          <w:szCs w:val="24"/>
        </w:rPr>
        <w:t xml:space="preserve">showed an offset superior to 1‰ between </w:t>
      </w:r>
      <w:r w:rsidR="004F59B4" w:rsidRPr="00D70D43">
        <w:rPr>
          <w:rFonts w:ascii="Times New Roman" w:eastAsia="Times New Roman" w:hAnsi="Times New Roman" w:cs="Times New Roman"/>
          <w:sz w:val="24"/>
          <w:szCs w:val="24"/>
        </w:rPr>
        <w:t>δ</w:t>
      </w:r>
      <w:r w:rsidR="004F59B4" w:rsidRPr="00D70D43">
        <w:rPr>
          <w:rFonts w:ascii="Times New Roman" w:eastAsia="Times New Roman" w:hAnsi="Times New Roman" w:cs="Times New Roman"/>
          <w:sz w:val="24"/>
          <w:szCs w:val="24"/>
          <w:vertAlign w:val="superscript"/>
        </w:rPr>
        <w:t>13</w:t>
      </w:r>
      <w:r w:rsidR="004F59B4" w:rsidRPr="00D70D43">
        <w:rPr>
          <w:rFonts w:ascii="Times New Roman" w:eastAsia="Times New Roman" w:hAnsi="Times New Roman" w:cs="Times New Roman"/>
          <w:sz w:val="24"/>
          <w:szCs w:val="24"/>
        </w:rPr>
        <w:t>C</w:t>
      </w:r>
      <w:r w:rsidR="004F59B4" w:rsidRPr="00D70D43">
        <w:rPr>
          <w:rFonts w:ascii="Times New Roman" w:eastAsia="Times New Roman" w:hAnsi="Times New Roman" w:cs="Times New Roman"/>
          <w:sz w:val="24"/>
          <w:szCs w:val="24"/>
          <w:vertAlign w:val="subscript"/>
        </w:rPr>
        <w:t>Hyp</w:t>
      </w:r>
      <w:r w:rsidR="004F59B4">
        <w:rPr>
          <w:rFonts w:ascii="Times New Roman" w:eastAsia="Times New Roman" w:hAnsi="Times New Roman" w:cs="Times New Roman"/>
          <w:sz w:val="24"/>
          <w:szCs w:val="24"/>
          <w:vertAlign w:val="subscript"/>
        </w:rPr>
        <w:t xml:space="preserve"> </w:t>
      </w:r>
      <w:r w:rsidR="004F59B4" w:rsidRPr="009341E0">
        <w:rPr>
          <w:rFonts w:ascii="Times New Roman" w:eastAsia="Times New Roman" w:hAnsi="Times New Roman" w:cs="Times New Roman"/>
          <w:sz w:val="24"/>
          <w:szCs w:val="24"/>
        </w:rPr>
        <w:t>and</w:t>
      </w:r>
      <w:r w:rsidR="004F59B4">
        <w:rPr>
          <w:rFonts w:ascii="Times New Roman" w:eastAsia="Times New Roman" w:hAnsi="Times New Roman" w:cs="Times New Roman"/>
          <w:sz w:val="24"/>
          <w:szCs w:val="24"/>
        </w:rPr>
        <w:t xml:space="preserve"> </w:t>
      </w:r>
      <w:r w:rsidR="004F59B4" w:rsidRPr="00D70D43">
        <w:rPr>
          <w:rFonts w:ascii="Times New Roman" w:eastAsia="Times New Roman" w:hAnsi="Times New Roman" w:cs="Times New Roman"/>
          <w:sz w:val="24"/>
          <w:szCs w:val="24"/>
        </w:rPr>
        <w:t>δ</w:t>
      </w:r>
      <w:r w:rsidR="004F59B4" w:rsidRPr="00D70D43">
        <w:rPr>
          <w:rFonts w:ascii="Times New Roman" w:eastAsia="Times New Roman" w:hAnsi="Times New Roman" w:cs="Times New Roman"/>
          <w:sz w:val="24"/>
          <w:szCs w:val="24"/>
          <w:vertAlign w:val="superscript"/>
        </w:rPr>
        <w:t>13</w:t>
      </w:r>
      <w:r w:rsidR="004F59B4" w:rsidRPr="00D70D43">
        <w:rPr>
          <w:rFonts w:ascii="Times New Roman" w:eastAsia="Times New Roman" w:hAnsi="Times New Roman" w:cs="Times New Roman"/>
          <w:sz w:val="24"/>
          <w:szCs w:val="24"/>
        </w:rPr>
        <w:t>C</w:t>
      </w:r>
      <w:r w:rsidR="004F59B4" w:rsidRPr="00D70D43">
        <w:rPr>
          <w:rFonts w:ascii="Times New Roman" w:eastAsia="Times New Roman" w:hAnsi="Times New Roman" w:cs="Times New Roman"/>
          <w:sz w:val="24"/>
          <w:szCs w:val="24"/>
          <w:vertAlign w:val="subscript"/>
        </w:rPr>
        <w:t>Pro</w:t>
      </w:r>
    </w:p>
    <w:bookmarkEnd w:id="32"/>
    <w:p w14:paraId="0ED0E558" w14:textId="77777777" w:rsidR="004D0B64" w:rsidRPr="00F51267" w:rsidRDefault="004D0B64" w:rsidP="004D0B64">
      <w:pPr>
        <w:spacing w:before="240" w:after="240" w:line="360" w:lineRule="auto"/>
        <w:rPr>
          <w:rFonts w:ascii="Times New Roman" w:eastAsia="Times New Roman" w:hAnsi="Times New Roman" w:cs="Times New Roman"/>
          <w:b/>
          <w:sz w:val="24"/>
          <w:szCs w:val="24"/>
        </w:rPr>
      </w:pPr>
    </w:p>
    <w:p w14:paraId="4578F93F" w14:textId="77777777" w:rsidR="004D0B64" w:rsidRPr="00D70D43" w:rsidRDefault="004D0B64" w:rsidP="001A7BFF">
      <w:pPr>
        <w:rPr>
          <w:rFonts w:ascii="Times New Roman" w:hAnsi="Times New Roman" w:cs="Times New Roman"/>
          <w:sz w:val="24"/>
          <w:szCs w:val="24"/>
        </w:rPr>
      </w:pPr>
    </w:p>
    <w:p w14:paraId="56413D34" w14:textId="6E59814E" w:rsidR="001A7BFF" w:rsidRPr="0064579A" w:rsidRDefault="001A7BFF" w:rsidP="009341E0">
      <w:pPr>
        <w:spacing w:after="0" w:line="360" w:lineRule="auto"/>
        <w:jc w:val="both"/>
        <w:rPr>
          <w:rFonts w:ascii="Times New Roman" w:hAnsi="Times New Roman" w:cs="Times New Roman"/>
          <w:b/>
          <w:i/>
          <w:sz w:val="24"/>
          <w:szCs w:val="24"/>
        </w:rPr>
      </w:pPr>
      <w:bookmarkStart w:id="33" w:name="_Hlk137040120"/>
      <w:r w:rsidRPr="0064579A">
        <w:rPr>
          <w:rFonts w:ascii="Times New Roman" w:hAnsi="Times New Roman" w:cs="Times New Roman"/>
          <w:b/>
          <w:i/>
          <w:sz w:val="24"/>
          <w:szCs w:val="24"/>
        </w:rPr>
        <w:t>4.</w:t>
      </w:r>
      <w:r w:rsidR="004D0B64" w:rsidRPr="0064579A">
        <w:rPr>
          <w:rFonts w:ascii="Times New Roman" w:hAnsi="Times New Roman" w:cs="Times New Roman"/>
          <w:b/>
          <w:i/>
          <w:sz w:val="24"/>
          <w:szCs w:val="24"/>
        </w:rPr>
        <w:t>2</w:t>
      </w:r>
      <w:r w:rsidRPr="0064579A">
        <w:rPr>
          <w:rFonts w:ascii="Times New Roman" w:hAnsi="Times New Roman" w:cs="Times New Roman"/>
          <w:b/>
          <w:i/>
          <w:sz w:val="24"/>
          <w:szCs w:val="24"/>
        </w:rPr>
        <w:t xml:space="preserve"> Sample preservation</w:t>
      </w:r>
    </w:p>
    <w:bookmarkEnd w:id="24"/>
    <w:bookmarkEnd w:id="33"/>
    <w:p w14:paraId="1FD5E8EE" w14:textId="77777777" w:rsidR="001A7BFF" w:rsidRPr="00D70D43" w:rsidRDefault="001A7BFF" w:rsidP="009341E0">
      <w:pPr>
        <w:spacing w:after="0" w:line="360" w:lineRule="auto"/>
        <w:jc w:val="both"/>
        <w:rPr>
          <w:rFonts w:ascii="Times New Roman" w:hAnsi="Times New Roman" w:cs="Times New Roman"/>
          <w:sz w:val="24"/>
          <w:szCs w:val="24"/>
        </w:rPr>
      </w:pPr>
    </w:p>
    <w:p w14:paraId="6C55C1A8" w14:textId="6E3E742F" w:rsidR="001A7BFF" w:rsidRPr="00D70D43" w:rsidRDefault="001A7BFF" w:rsidP="009341E0">
      <w:pPr>
        <w:spacing w:after="0" w:line="360" w:lineRule="auto"/>
        <w:jc w:val="both"/>
        <w:rPr>
          <w:rFonts w:ascii="Times New Roman" w:hAnsi="Times New Roman" w:cs="Times New Roman"/>
          <w:sz w:val="24"/>
          <w:szCs w:val="24"/>
        </w:rPr>
      </w:pPr>
      <w:r w:rsidRPr="00D70D43">
        <w:rPr>
          <w:rFonts w:ascii="Times New Roman" w:hAnsi="Times New Roman" w:cs="Times New Roman"/>
          <w:sz w:val="24"/>
          <w:szCs w:val="24"/>
        </w:rPr>
        <w:t>Zinc and strontium were extracted from</w:t>
      </w:r>
      <w:r w:rsidR="00772792">
        <w:rPr>
          <w:rFonts w:ascii="Times New Roman" w:hAnsi="Times New Roman" w:cs="Times New Roman"/>
          <w:sz w:val="24"/>
          <w:szCs w:val="24"/>
        </w:rPr>
        <w:t xml:space="preserve"> the tooth enamel of human and animal remains </w:t>
      </w:r>
      <w:r w:rsidRPr="00D70D43">
        <w:rPr>
          <w:rFonts w:ascii="Times New Roman" w:hAnsi="Times New Roman" w:cs="Times New Roman"/>
          <w:sz w:val="24"/>
          <w:szCs w:val="24"/>
        </w:rPr>
        <w:t>which is generally more resistant to diagenetic alteration</w:t>
      </w:r>
      <w:r w:rsidR="003610F8">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{"citationID":"As1MM02Y","properties":{"formattedCitation":"\\super 69,70\\nosupersub{}","plainCitation":"69,70","noteIndex":0},"citationItems":[{"id":607,"uris":["http://zotero.org/users/7125028/items/Y4HCMKFR"],"itemData":{"id":607,"type":"article-journal","abstract":"Dentine and enamel from mammal teeth of modern fresh samples, regurgitated pellets, carnivore faeces and fossil samples have been studied from a variety of locations in terms of their microstructure and chemical composition. Enamel is more durable than dentine during fossilisation, and consequently is less altered in terms of its composition. Statistical analyses of the data show that contents of several elements differ between enamel and dentine; that fossil teeth are generally depleted in Mg and Na, and enriched in Fe and Sr relative to modern samples, and that the different fossil sites can be discriminated. To cite this article: Y. Dauphin, C.T. Williams, C. R. Palevol 3 (2004).\nRésumé\nLa structure et la composition chimique de la dentine et de l'émail de dents actuelles et fossiles de mammifères d'origines et d'âges variés ont été examinées. Les dents actuelles sont fraîches, ou extraites de pelotes de régurgitation et de fèces de carnivores. L'émail est souvent moins altéré que la dentine, mais n'est pas dépourvu de modifications diagénétiques. Une analyse statistique montre que les dents fossiles sont généralement appauvries en Mg et Na, mais enrichies en Fe et Sr. Les caractéristiques et les amplitudes des altérations dépendent des sites fossiles. Pour citer cet article : Y. Dauphin, C.T. Williams, C. R. Palevol 3 (2004).","collection-title":"BIOMINERALISATION : DIVERSITE ET UNITE","container-title":"Comptes Rendus Palevol","DOI":"10.1016/j.crpv.2004.07.007","ISSN":"1631-0683","issue":"6","journalAbbreviation":"Comptes Rendus Palevol","language":"en","page":"583-590","source":"ScienceDirect","title":"Diagenetic trends of dental tissues","volume":"3","author":[{"family":"Dauphin","given":"Yannicke"},{"family":"Williams","given":"C. Terry"}],"issued":{"date-parts":[["2004",10,1]]}}},{"id":610,"uris":["http://zotero.org/users/7125028/items/CH7TILVV"],"itemData":{"id":610,"type":"article-journal","abstract":"Investigation of modern and fossil teeth from northern and central Kenya, using the ion microprobe, electron microprobe, and transmission electron microscope, confirms that fossil tooth chemistry is controlled not only by the diagenetic precipitation of secondary minerals but also by the chemical alteration of the biogenic apatite. Increases in the concentrations of Fe, Mn, Si, Al, Ba, and possibly Cu in fossil vs. modern teeth reflect mixtures of apatite and secondary minerals. These secondary minerals occur in concentrations ranging from </w:instrText>
      </w:r>
      <w:r w:rsidR="000E7E53">
        <w:rPr>
          <w:rFonts w:ascii="Cambria Math" w:hAnsi="Cambria Math" w:cs="Cambria Math"/>
          <w:sz w:val="24"/>
          <w:szCs w:val="24"/>
        </w:rPr>
        <w:instrText>∼</w:instrText>
      </w:r>
      <w:r w:rsidR="000E7E53">
        <w:rPr>
          <w:rFonts w:ascii="Times New Roman" w:hAnsi="Times New Roman" w:cs="Times New Roman"/>
          <w:sz w:val="24"/>
          <w:szCs w:val="24"/>
        </w:rPr>
        <w:instrText xml:space="preserve">0.3% in enamel to </w:instrText>
      </w:r>
      <w:r w:rsidR="000E7E53">
        <w:rPr>
          <w:rFonts w:ascii="Cambria Math" w:hAnsi="Cambria Math" w:cs="Cambria Math"/>
          <w:sz w:val="24"/>
          <w:szCs w:val="24"/>
        </w:rPr>
        <w:instrText>∼</w:instrText>
      </w:r>
      <w:r w:rsidR="000E7E53">
        <w:rPr>
          <w:rFonts w:ascii="Times New Roman" w:hAnsi="Times New Roman" w:cs="Times New Roman"/>
          <w:sz w:val="24"/>
          <w:szCs w:val="24"/>
        </w:rPr>
        <w:instrText xml:space="preserve">5% in dentine and include sub-μm, interstitial Fe-bearing manganite [(Fe3+, Mn3+)O(OH)], and smectite. The pervasive distribution and fine grain size of the secondary minerals indicate that mixed analyses of primary and secondary material are unavoidable in in situ methods, even in ion microprobe spots only 10 μm in diameter, and that bulk chemical analyses are severely biased. Increases in other elements, including the rare earth elements, U, F, and possibly Sr apparently reflect additional alteration of apatite in both dentine and enamel. Extreme care will be required to separate secondary minerals from original biogenic apatite for paleobiological or paleoclimate studies, and nonetheless bulk analyses of purified apatite may be suspect. Although the PO4 component of teeth seems resistant to chemical alteration, the OH component is extensively altered. This OH alteration implies that bulk analyses of fossil tooth enamel for oxygen isotope composition may be systematically biased by ±1‰, and seasonal records of oxygen isotope composition may be spuriously shifted, enhanced, or diminished.","container-title":"Geochimica et Cosmochimica Acta","DOI":"10.1016/S0016-7037(99)00208-2","ISSN":"0016-7037","issue":"18","journalAbbreviation":"Geochimica et Cosmochimica Acta","language":"en","page":"2737-2747","source":"ScienceDirect","title":"Altered states: effects of diagenesis on fossil tooth chemistry","title-short":"Altered states","volume":"63","author":[{"family":"Kohn","given":"Matthew J."},{"family":"Schoeninger","given":"Margaret J."},{"family":"Barker","given":"William W."}],"issued":{"date-parts":[["1999",9,1]]}}}],"schema":"https://github.com/citation-style-language/schema/raw/master/csl-citation.json"} </w:instrText>
      </w:r>
      <w:r w:rsidR="003610F8">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69,70</w:t>
      </w:r>
      <w:r w:rsidR="003610F8">
        <w:rPr>
          <w:rFonts w:ascii="Times New Roman" w:hAnsi="Times New Roman" w:cs="Times New Roman"/>
          <w:sz w:val="24"/>
          <w:szCs w:val="24"/>
        </w:rPr>
        <w:fldChar w:fldCharType="end"/>
      </w:r>
      <w:r w:rsidR="003610F8">
        <w:rPr>
          <w:rFonts w:ascii="Times New Roman" w:hAnsi="Times New Roman" w:cs="Times New Roman"/>
          <w:sz w:val="24"/>
          <w:szCs w:val="24"/>
        </w:rPr>
        <w:t>.</w:t>
      </w:r>
    </w:p>
    <w:p w14:paraId="385E9B9D" w14:textId="42D982F9" w:rsidR="00A81D33" w:rsidRPr="0064579A" w:rsidRDefault="001A7BFF" w:rsidP="009341E0">
      <w:pPr>
        <w:spacing w:after="0" w:line="360" w:lineRule="auto"/>
        <w:jc w:val="both"/>
        <w:rPr>
          <w:rFonts w:ascii="Times New Roman" w:hAnsi="Times New Roman" w:cs="Times New Roman"/>
          <w:sz w:val="24"/>
          <w:szCs w:val="24"/>
        </w:rPr>
      </w:pPr>
      <w:r w:rsidRPr="00D70D43">
        <w:rPr>
          <w:rFonts w:ascii="Times New Roman" w:eastAsia="Times New Roman" w:hAnsi="Times New Roman" w:cs="Times New Roman"/>
          <w:sz w:val="24"/>
          <w:szCs w:val="24"/>
          <w:highlight w:val="white"/>
        </w:rPr>
        <w:lastRenderedPageBreak/>
        <w:t xml:space="preserve">Zinc isotope ratios </w:t>
      </w:r>
      <w:r w:rsidR="00FB17DB">
        <w:rPr>
          <w:rFonts w:ascii="Times New Roman" w:eastAsia="Times New Roman" w:hAnsi="Times New Roman" w:cs="Times New Roman"/>
          <w:sz w:val="24"/>
          <w:szCs w:val="24"/>
          <w:highlight w:val="white"/>
        </w:rPr>
        <w:t>correlation between</w:t>
      </w:r>
      <w:r w:rsidR="00FB17DB" w:rsidRPr="00D70D43">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concentrations in tooth enamel show (Figure SI</w:t>
      </w:r>
      <w:r w:rsidR="002C509D">
        <w:rPr>
          <w:rFonts w:ascii="Times New Roman" w:eastAsia="Times New Roman" w:hAnsi="Times New Roman" w:cs="Times New Roman"/>
          <w:sz w:val="24"/>
          <w:szCs w:val="24"/>
          <w:highlight w:val="white"/>
        </w:rPr>
        <w:t xml:space="preserve"> 4.3</w:t>
      </w:r>
      <w:r w:rsidRPr="00D70D43">
        <w:rPr>
          <w:rFonts w:ascii="Times New Roman" w:eastAsia="Times New Roman" w:hAnsi="Times New Roman" w:cs="Times New Roman"/>
          <w:sz w:val="24"/>
          <w:szCs w:val="24"/>
          <w:highlight w:val="white"/>
        </w:rPr>
        <w:t>),</w:t>
      </w:r>
      <w:r w:rsidR="00A81D33">
        <w:rPr>
          <w:rFonts w:ascii="Times New Roman" w:eastAsia="Times New Roman" w:hAnsi="Times New Roman" w:cs="Times New Roman"/>
          <w:sz w:val="24"/>
          <w:szCs w:val="24"/>
          <w:highlight w:val="white"/>
        </w:rPr>
        <w:t xml:space="preserve"> is used to test the</w:t>
      </w:r>
      <w:r w:rsidRPr="00D70D43">
        <w:rPr>
          <w:rFonts w:ascii="Times New Roman" w:eastAsia="Times New Roman" w:hAnsi="Times New Roman" w:cs="Times New Roman"/>
          <w:sz w:val="24"/>
          <w:szCs w:val="24"/>
          <w:highlight w:val="white"/>
        </w:rPr>
        <w:t xml:space="preserve"> good preservation of dietary biogenic </w:t>
      </w:r>
      <w:r w:rsidRPr="00D70D43">
        <w:rPr>
          <w:rFonts w:ascii="Times New Roman" w:hAnsi="Times New Roman" w:cs="Times New Roman"/>
          <w:sz w:val="24"/>
          <w:szCs w:val="24"/>
        </w:rPr>
        <w:t>signatures δ</w:t>
      </w:r>
      <w:r w:rsidRPr="00D70D43">
        <w:rPr>
          <w:rFonts w:ascii="Times New Roman" w:hAnsi="Times New Roman" w:cs="Times New Roman"/>
          <w:sz w:val="24"/>
          <w:szCs w:val="24"/>
          <w:vertAlign w:val="superscript"/>
        </w:rPr>
        <w:t>66</w:t>
      </w:r>
      <w:r w:rsidRPr="00D70D43">
        <w:rPr>
          <w:rFonts w:ascii="Times New Roman" w:hAnsi="Times New Roman" w:cs="Times New Roman"/>
          <w:sz w:val="24"/>
          <w:szCs w:val="24"/>
        </w:rPr>
        <w:t>Zn signatures</w:t>
      </w:r>
      <w:r w:rsidR="000E4EE2">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{"citationID":"gYEdwD0b","properties":{"formattedCitation":"\\super 71\\nosupersub{}","plainCitation":"71","noteIndex":0},"citationItems":[{"id":127,"uris":["http://zotero.org/users/7125028/items/H8FBTI4N"],"itemData":{"id":127,"type":"article-journal","abstract":"Fossil biogenic apatites display trace element (TE) compositions that can record environmental and biological signals, give insights into past water compositions, or be used for dating paleontological and archeological bones and teeth. Processes of TE incorporation into apatites of skeletal phosphatic tissues are described, ranging from those active in living organisms to those active during diagenesis. Abiotic incorporation mechanisms have been modeled theoretically and experimentally and include crystallographic controls on TE partitioning coefficients, inorganic surface adsorption and adsorption mediated through chelation and diffusion–adsorption processes, each leading to specific fractionation patterns. Predictions from models and experiments have been tested against TE concentration and isotopic composition data on remains of contemporary wild or raised animals and on fossils of various ages and environments. In living organisms, TEs incorporated in apatite are separated in two categories, non-essential elements whose concentration is compared to that of an essential element with similar behavior (e.g. Sr/Ca) to reconstruct trophic chains, and essential elements whose isotopic ratios are used to trace metabolic activity, diet, etc. In fossils, elements are incorporated during diagenesis, such as rare earth elements (REEs), and trace diagenetic processes ranging from very early quantitative adsorption likely mediated by chelators, protracted diagenesis through inorganic adsorption and fractionation through diffusion–adsorption, to low-grade metamorphism associated with intense redistribution under crystal-chemical control. These different steps are also identified as steps of radionuclide incorporation. Only samples where the earliest steps can be deciphered are useful for determining stratigraphic and archeological ages. Other samples will date late diagenetic events that have obliterated the paleoenvironmental signals, but may be of geological significance, e.g. tectonic events.","collection-title":"Bone and enamel diagenesis: From the crystal to the environment - A tribute to Jean-François Saliège","container-title":"Palaeogeography, Palaeoclimatology, Palaeoecology","DOI":"10.1016/j.palaeo.2014.07.038","ISSN":"0031-0182","journalAbbreviation":"Palaeogeography, Palaeoclimatology, Palaeoecology","language":"en","page":"4-16","source":"ScienceDirect","title":"Trace elements and their isotopes in bones and teeth: Diet, environments, diagenesis, and dating of archeological and paleontological samples","title-short":"Trace elements and their isotopes in bones and teeth","volume":"416","author":[{"family":"Reynard","given":"Bruno"},{"family":"Balter","given":"Vincent"}],"issued":{"date-parts":[["2014",12,15]]}}}],"schema":"https://github.com/citation-style-language/schema/raw/master/csl-citation.json"} </w:instrText>
      </w:r>
      <w:r w:rsidR="000E4EE2">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71</w:t>
      </w:r>
      <w:r w:rsidR="000E4EE2">
        <w:rPr>
          <w:rFonts w:ascii="Times New Roman" w:hAnsi="Times New Roman" w:cs="Times New Roman"/>
          <w:sz w:val="24"/>
          <w:szCs w:val="24"/>
        </w:rPr>
        <w:fldChar w:fldCharType="end"/>
      </w:r>
      <w:r w:rsidRPr="00D70D43">
        <w:rPr>
          <w:rFonts w:ascii="Times New Roman" w:eastAsia="Times New Roman" w:hAnsi="Times New Roman" w:cs="Times New Roman"/>
          <w:sz w:val="24"/>
          <w:szCs w:val="24"/>
          <w:highlight w:val="white"/>
        </w:rPr>
        <w:t xml:space="preserve">. </w:t>
      </w:r>
      <w:r w:rsidR="00A81D33">
        <w:rPr>
          <w:rFonts w:ascii="Times New Roman" w:eastAsia="Times New Roman" w:hAnsi="Times New Roman" w:cs="Times New Roman"/>
          <w:sz w:val="24"/>
          <w:szCs w:val="24"/>
          <w:highlight w:val="white"/>
        </w:rPr>
        <w:t xml:space="preserve">There is a slight correlation between the Zn isotopic ratios and the concentrations (1/conc) in our samples (p-value= </w:t>
      </w:r>
      <w:r w:rsidR="00A81D33" w:rsidRPr="00A81D33">
        <w:rPr>
          <w:rFonts w:ascii="Times New Roman" w:eastAsia="Times New Roman" w:hAnsi="Times New Roman" w:cs="Times New Roman"/>
          <w:sz w:val="24"/>
          <w:szCs w:val="24"/>
        </w:rPr>
        <w:t>0.000008329</w:t>
      </w:r>
      <w:r w:rsidR="00A81D33">
        <w:rPr>
          <w:rFonts w:ascii="Times New Roman" w:eastAsia="Times New Roman" w:hAnsi="Times New Roman" w:cs="Times New Roman"/>
          <w:sz w:val="24"/>
          <w:szCs w:val="24"/>
        </w:rPr>
        <w:t>)</w:t>
      </w:r>
      <w:r w:rsidR="009F0B15">
        <w:rPr>
          <w:rFonts w:ascii="Times New Roman" w:eastAsia="Times New Roman" w:hAnsi="Times New Roman" w:cs="Times New Roman"/>
          <w:sz w:val="24"/>
          <w:szCs w:val="24"/>
        </w:rPr>
        <w:t xml:space="preserve"> (Figure S4.3)</w:t>
      </w:r>
      <w:r w:rsidR="00A81D33">
        <w:rPr>
          <w:rFonts w:ascii="Times New Roman" w:eastAsia="Times New Roman" w:hAnsi="Times New Roman" w:cs="Times New Roman"/>
          <w:sz w:val="24"/>
          <w:szCs w:val="24"/>
        </w:rPr>
        <w:t xml:space="preserve">, however, this correlation is likely of diet origin: The human </w:t>
      </w:r>
      <w:r w:rsidR="00550F59">
        <w:rPr>
          <w:rFonts w:ascii="Times New Roman" w:eastAsia="Times New Roman" w:hAnsi="Times New Roman" w:cs="Times New Roman"/>
          <w:sz w:val="24"/>
          <w:szCs w:val="24"/>
        </w:rPr>
        <w:t xml:space="preserve">enamel </w:t>
      </w:r>
      <w:r w:rsidR="00DC1E61">
        <w:rPr>
          <w:rFonts w:ascii="Times New Roman" w:eastAsia="Times New Roman" w:hAnsi="Times New Roman" w:cs="Times New Roman"/>
          <w:sz w:val="24"/>
          <w:szCs w:val="24"/>
        </w:rPr>
        <w:t>systematically</w:t>
      </w:r>
      <w:r w:rsidR="00A81D33">
        <w:rPr>
          <w:rFonts w:ascii="Times New Roman" w:eastAsia="Times New Roman" w:hAnsi="Times New Roman" w:cs="Times New Roman"/>
          <w:sz w:val="24"/>
          <w:szCs w:val="24"/>
        </w:rPr>
        <w:t xml:space="preserve"> </w:t>
      </w:r>
      <w:r w:rsidR="009B6AAF">
        <w:rPr>
          <w:rFonts w:ascii="Times New Roman" w:eastAsia="Times New Roman" w:hAnsi="Times New Roman" w:cs="Times New Roman"/>
          <w:sz w:val="24"/>
          <w:szCs w:val="24"/>
        </w:rPr>
        <w:t>has</w:t>
      </w:r>
      <w:r w:rsidR="00A81D33">
        <w:rPr>
          <w:rFonts w:ascii="Times New Roman" w:eastAsia="Times New Roman" w:hAnsi="Times New Roman" w:cs="Times New Roman"/>
          <w:sz w:val="24"/>
          <w:szCs w:val="24"/>
        </w:rPr>
        <w:t xml:space="preserve"> higher Zn concentration than the other animals, and since most of our samples consist of herbivore </w:t>
      </w:r>
      <w:r w:rsidR="00550F59">
        <w:rPr>
          <w:rFonts w:ascii="Times New Roman" w:eastAsia="Times New Roman" w:hAnsi="Times New Roman" w:cs="Times New Roman"/>
          <w:sz w:val="24"/>
          <w:szCs w:val="24"/>
        </w:rPr>
        <w:t>which</w:t>
      </w:r>
      <w:r w:rsidR="00A81D33">
        <w:rPr>
          <w:rFonts w:ascii="Times New Roman" w:eastAsia="Times New Roman" w:hAnsi="Times New Roman" w:cs="Times New Roman"/>
          <w:sz w:val="24"/>
          <w:szCs w:val="24"/>
        </w:rPr>
        <w:t xml:space="preserve"> have </w:t>
      </w:r>
      <w:r w:rsidR="00550F59">
        <w:rPr>
          <w:rFonts w:ascii="Times New Roman" w:eastAsia="Times New Roman" w:hAnsi="Times New Roman" w:cs="Times New Roman"/>
          <w:sz w:val="24"/>
          <w:szCs w:val="24"/>
        </w:rPr>
        <w:t>usually lower</w:t>
      </w:r>
      <w:r w:rsidR="00A81D33">
        <w:rPr>
          <w:rFonts w:ascii="Times New Roman" w:eastAsia="Times New Roman" w:hAnsi="Times New Roman" w:cs="Times New Roman"/>
          <w:sz w:val="24"/>
          <w:szCs w:val="24"/>
        </w:rPr>
        <w:t xml:space="preserve"> Zn concentration</w:t>
      </w:r>
      <w:r w:rsidR="00550F59">
        <w:rPr>
          <w:rFonts w:ascii="Times New Roman" w:eastAsia="Times New Roman" w:hAnsi="Times New Roman" w:cs="Times New Roman"/>
          <w:sz w:val="24"/>
          <w:szCs w:val="24"/>
        </w:rPr>
        <w:t xml:space="preserve"> they create a correlation between </w:t>
      </w:r>
      <w:r w:rsidR="00550F59" w:rsidRPr="00D70D43">
        <w:rPr>
          <w:rFonts w:ascii="Times New Roman" w:hAnsi="Times New Roman" w:cs="Times New Roman"/>
          <w:sz w:val="24"/>
          <w:szCs w:val="24"/>
        </w:rPr>
        <w:t>δ</w:t>
      </w:r>
      <w:r w:rsidR="00550F59" w:rsidRPr="00D70D43">
        <w:rPr>
          <w:rFonts w:ascii="Times New Roman" w:hAnsi="Times New Roman" w:cs="Times New Roman"/>
          <w:sz w:val="24"/>
          <w:szCs w:val="24"/>
          <w:vertAlign w:val="superscript"/>
        </w:rPr>
        <w:t>66</w:t>
      </w:r>
      <w:r w:rsidR="00550F59" w:rsidRPr="00D70D43">
        <w:rPr>
          <w:rFonts w:ascii="Times New Roman" w:hAnsi="Times New Roman" w:cs="Times New Roman"/>
          <w:sz w:val="24"/>
          <w:szCs w:val="24"/>
        </w:rPr>
        <w:t>Zn</w:t>
      </w:r>
      <w:r w:rsidR="00550F59">
        <w:rPr>
          <w:rFonts w:ascii="Times New Roman" w:hAnsi="Times New Roman" w:cs="Times New Roman"/>
          <w:sz w:val="24"/>
          <w:szCs w:val="24"/>
        </w:rPr>
        <w:t xml:space="preserve"> and the concentration</w:t>
      </w:r>
      <w:r w:rsidR="00DC1E61">
        <w:rPr>
          <w:rFonts w:ascii="Times New Roman" w:hAnsi="Times New Roman" w:cs="Times New Roman"/>
          <w:sz w:val="24"/>
          <w:szCs w:val="24"/>
        </w:rPr>
        <w:t xml:space="preserve"> (Figure 4.3)</w:t>
      </w:r>
      <w:r w:rsidR="00550F59">
        <w:rPr>
          <w:rFonts w:ascii="Times New Roman" w:hAnsi="Times New Roman" w:cs="Times New Roman"/>
          <w:sz w:val="24"/>
          <w:szCs w:val="24"/>
        </w:rPr>
        <w:t>.</w:t>
      </w:r>
      <w:r w:rsidR="009F0B15">
        <w:rPr>
          <w:rFonts w:ascii="Times New Roman" w:hAnsi="Times New Roman" w:cs="Times New Roman"/>
          <w:sz w:val="24"/>
          <w:szCs w:val="24"/>
        </w:rPr>
        <w:t xml:space="preserve"> However, there is no correlation between the concentration and the zinc isotope ratio if we consider human and animals separately </w:t>
      </w:r>
    </w:p>
    <w:p w14:paraId="204B6D35" w14:textId="71C5C8B8" w:rsidR="00AA21F6" w:rsidRDefault="001A7BFF" w:rsidP="009341E0">
      <w:pPr>
        <w:spacing w:after="0" w:line="360" w:lineRule="auto"/>
        <w:jc w:val="both"/>
        <w:rPr>
          <w:rFonts w:ascii="Times New Roman" w:eastAsia="Times New Roman" w:hAnsi="Times New Roman" w:cs="Times New Roman"/>
          <w:sz w:val="24"/>
          <w:szCs w:val="24"/>
          <w:highlight w:val="white"/>
        </w:rPr>
      </w:pPr>
      <w:r w:rsidRPr="00D70D43">
        <w:rPr>
          <w:rFonts w:ascii="Times New Roman" w:eastAsia="Times New Roman" w:hAnsi="Times New Roman" w:cs="Times New Roman"/>
          <w:sz w:val="24"/>
          <w:szCs w:val="24"/>
          <w:highlight w:val="white"/>
        </w:rPr>
        <w:t xml:space="preserve">The </w:t>
      </w:r>
      <w:r w:rsidRPr="00D70D43">
        <w:rPr>
          <w:rFonts w:ascii="Times New Roman" w:eastAsia="Times New Roman" w:hAnsi="Times New Roman" w:cs="Times New Roman"/>
          <w:sz w:val="24"/>
          <w:szCs w:val="24"/>
          <w:highlight w:val="white"/>
          <w:vertAlign w:val="superscript"/>
        </w:rPr>
        <w:t>87</w:t>
      </w:r>
      <w:r w:rsidRPr="00D70D43">
        <w:rPr>
          <w:rFonts w:ascii="Times New Roman" w:eastAsia="Times New Roman" w:hAnsi="Times New Roman" w:cs="Times New Roman"/>
          <w:sz w:val="24"/>
          <w:szCs w:val="24"/>
          <w:highlight w:val="white"/>
        </w:rPr>
        <w:t>Sr/</w:t>
      </w:r>
      <w:r w:rsidRPr="00D70D43">
        <w:rPr>
          <w:rFonts w:ascii="Times New Roman" w:eastAsia="Times New Roman" w:hAnsi="Times New Roman" w:cs="Times New Roman"/>
          <w:sz w:val="24"/>
          <w:szCs w:val="24"/>
          <w:highlight w:val="white"/>
          <w:vertAlign w:val="superscript"/>
        </w:rPr>
        <w:t>86</w:t>
      </w:r>
      <w:r w:rsidRPr="00D70D43">
        <w:rPr>
          <w:rFonts w:ascii="Times New Roman" w:eastAsia="Times New Roman" w:hAnsi="Times New Roman" w:cs="Times New Roman"/>
          <w:sz w:val="24"/>
          <w:szCs w:val="24"/>
          <w:highlight w:val="white"/>
        </w:rPr>
        <w:t>Sr and Sr concentration</w:t>
      </w:r>
      <w:r w:rsidR="0002769F">
        <w:rPr>
          <w:rFonts w:ascii="Times New Roman" w:eastAsia="Times New Roman" w:hAnsi="Times New Roman" w:cs="Times New Roman"/>
          <w:sz w:val="24"/>
          <w:szCs w:val="24"/>
          <w:highlight w:val="white"/>
        </w:rPr>
        <w:t xml:space="preserve"> of</w:t>
      </w:r>
      <w:r w:rsidR="00550F59">
        <w:rPr>
          <w:rFonts w:ascii="Times New Roman" w:eastAsia="Times New Roman" w:hAnsi="Times New Roman" w:cs="Times New Roman"/>
          <w:sz w:val="24"/>
          <w:szCs w:val="24"/>
          <w:highlight w:val="white"/>
        </w:rPr>
        <w:t xml:space="preserve"> our samples show no correlation indicating the </w:t>
      </w:r>
      <w:r w:rsidR="00D357AD">
        <w:rPr>
          <w:rFonts w:ascii="Times New Roman" w:eastAsia="Times New Roman" w:hAnsi="Times New Roman" w:cs="Times New Roman"/>
          <w:sz w:val="24"/>
          <w:szCs w:val="24"/>
          <w:highlight w:val="white"/>
        </w:rPr>
        <w:t>preservation</w:t>
      </w:r>
      <w:r w:rsidR="00550F59">
        <w:rPr>
          <w:rFonts w:ascii="Times New Roman" w:eastAsia="Times New Roman" w:hAnsi="Times New Roman" w:cs="Times New Roman"/>
          <w:sz w:val="24"/>
          <w:szCs w:val="24"/>
          <w:highlight w:val="white"/>
        </w:rPr>
        <w:t xml:space="preserve"> of biogenic strontium</w:t>
      </w:r>
      <w:r w:rsidRPr="00D70D43">
        <w:rPr>
          <w:rFonts w:ascii="Times New Roman" w:eastAsia="Times New Roman" w:hAnsi="Times New Roman" w:cs="Times New Roman"/>
          <w:sz w:val="24"/>
          <w:szCs w:val="24"/>
          <w:highlight w:val="white"/>
        </w:rPr>
        <w:t xml:space="preserve"> (Figure SI</w:t>
      </w:r>
      <w:r w:rsidR="000E4EE2">
        <w:rPr>
          <w:rFonts w:ascii="Times New Roman" w:eastAsia="Times New Roman" w:hAnsi="Times New Roman" w:cs="Times New Roman"/>
          <w:sz w:val="24"/>
          <w:szCs w:val="24"/>
          <w:highlight w:val="white"/>
        </w:rPr>
        <w:t xml:space="preserve"> 4.4</w:t>
      </w:r>
      <w:r w:rsidRPr="00D70D43">
        <w:rPr>
          <w:rFonts w:ascii="Times New Roman" w:eastAsia="Times New Roman" w:hAnsi="Times New Roman" w:cs="Times New Roman"/>
          <w:sz w:val="24"/>
          <w:szCs w:val="24"/>
          <w:highlight w:val="white"/>
        </w:rPr>
        <w:t xml:space="preserve">). </w:t>
      </w:r>
    </w:p>
    <w:p w14:paraId="006B11DC" w14:textId="36FDDD8B" w:rsidR="001A7BFF" w:rsidRPr="00D70D43" w:rsidRDefault="00D14FE4" w:rsidP="001A7BFF">
      <w:pPr>
        <w:spacing w:after="0"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90C39E9" wp14:editId="580A707F">
            <wp:extent cx="6434687" cy="5360670"/>
            <wp:effectExtent l="0" t="0" r="444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34687" cy="5360670"/>
                    </a:xfrm>
                    <a:prstGeom prst="rect">
                      <a:avLst/>
                    </a:prstGeom>
                    <a:noFill/>
                  </pic:spPr>
                </pic:pic>
              </a:graphicData>
            </a:graphic>
          </wp:inline>
        </w:drawing>
      </w:r>
    </w:p>
    <w:p w14:paraId="2698E450" w14:textId="0AD75F4F" w:rsidR="001A7BFF" w:rsidRPr="00D70D43" w:rsidRDefault="001A7BFF" w:rsidP="003C7995">
      <w:pPr>
        <w:spacing w:after="0" w:line="360" w:lineRule="auto"/>
        <w:jc w:val="center"/>
        <w:rPr>
          <w:rFonts w:ascii="Times New Roman" w:hAnsi="Times New Roman" w:cs="Times New Roman"/>
          <w:sz w:val="24"/>
          <w:szCs w:val="24"/>
        </w:rPr>
      </w:pPr>
    </w:p>
    <w:p w14:paraId="527B9E2A" w14:textId="7E25136A" w:rsidR="001A7BFF" w:rsidRDefault="001A7BFF" w:rsidP="001A7BFF">
      <w:pPr>
        <w:spacing w:after="0" w:line="240" w:lineRule="auto"/>
        <w:rPr>
          <w:rFonts w:ascii="Times New Roman" w:eastAsia="Arial" w:hAnsi="Times New Roman" w:cs="Times New Roman"/>
          <w:sz w:val="24"/>
          <w:szCs w:val="24"/>
        </w:rPr>
      </w:pPr>
      <w:bookmarkStart w:id="34" w:name="_Hlk137040096"/>
      <w:r w:rsidRPr="0064579A">
        <w:rPr>
          <w:rFonts w:ascii="Times New Roman" w:eastAsia="Arial" w:hAnsi="Times New Roman" w:cs="Times New Roman"/>
          <w:b/>
          <w:sz w:val="24"/>
          <w:szCs w:val="24"/>
        </w:rPr>
        <w:t xml:space="preserve">Figure </w:t>
      </w:r>
      <w:r w:rsidR="00A63545" w:rsidRPr="0064579A">
        <w:rPr>
          <w:rFonts w:ascii="Times New Roman" w:eastAsia="Arial" w:hAnsi="Times New Roman" w:cs="Times New Roman"/>
          <w:b/>
          <w:sz w:val="24"/>
          <w:szCs w:val="24"/>
        </w:rPr>
        <w:t>S</w:t>
      </w:r>
      <w:r w:rsidRPr="0064579A">
        <w:rPr>
          <w:rFonts w:ascii="Times New Roman" w:eastAsia="Arial" w:hAnsi="Times New Roman" w:cs="Times New Roman"/>
          <w:b/>
          <w:sz w:val="24"/>
          <w:szCs w:val="24"/>
        </w:rPr>
        <w:t>4</w:t>
      </w:r>
      <w:r w:rsidR="00312D4F" w:rsidRPr="0064579A">
        <w:rPr>
          <w:rFonts w:ascii="Times New Roman" w:eastAsia="Arial" w:hAnsi="Times New Roman" w:cs="Times New Roman"/>
          <w:b/>
          <w:sz w:val="24"/>
          <w:szCs w:val="24"/>
        </w:rPr>
        <w:t>.3</w:t>
      </w:r>
      <w:r w:rsidRPr="0064579A">
        <w:rPr>
          <w:rFonts w:ascii="Times New Roman" w:eastAsia="Arial" w:hAnsi="Times New Roman" w:cs="Times New Roman"/>
          <w:b/>
          <w:sz w:val="24"/>
          <w:szCs w:val="24"/>
        </w:rPr>
        <w:t>:</w:t>
      </w:r>
      <w:r w:rsidR="008B4920" w:rsidRPr="0064579A">
        <w:rPr>
          <w:rFonts w:ascii="Times New Roman" w:eastAsia="Arial" w:hAnsi="Times New Roman" w:cs="Times New Roman"/>
          <w:b/>
          <w:sz w:val="24"/>
          <w:szCs w:val="24"/>
        </w:rPr>
        <w:t xml:space="preserve"> </w:t>
      </w:r>
      <w:r w:rsidRPr="0056199B">
        <w:rPr>
          <w:rFonts w:ascii="Times New Roman" w:eastAsia="Arial" w:hAnsi="Times New Roman" w:cs="Times New Roman"/>
          <w:sz w:val="24"/>
          <w:szCs w:val="24"/>
        </w:rPr>
        <w:t>Relationship between the Zn isotope ratio and Zn concentration in enamel of fossil teeth from Tafora</w:t>
      </w:r>
      <w:r w:rsidRPr="00A63545">
        <w:rPr>
          <w:rFonts w:ascii="Times New Roman" w:eastAsia="Arial" w:hAnsi="Times New Roman" w:cs="Times New Roman"/>
          <w:sz w:val="24"/>
          <w:szCs w:val="24"/>
        </w:rPr>
        <w:t>lt, Morocco.</w:t>
      </w:r>
    </w:p>
    <w:bookmarkEnd w:id="34"/>
    <w:p w14:paraId="6F66C30A" w14:textId="77777777" w:rsidR="00C307D1" w:rsidRPr="0064579A" w:rsidRDefault="00C307D1" w:rsidP="001A7BFF">
      <w:pPr>
        <w:spacing w:after="0" w:line="240" w:lineRule="auto"/>
        <w:rPr>
          <w:rFonts w:ascii="Times New Roman" w:eastAsia="Arial" w:hAnsi="Times New Roman" w:cs="Times New Roman"/>
          <w:b/>
          <w:sz w:val="24"/>
          <w:szCs w:val="24"/>
        </w:rPr>
      </w:pPr>
    </w:p>
    <w:p w14:paraId="6B6F9313" w14:textId="4437C090" w:rsidR="001A7BFF" w:rsidRPr="00D70D43" w:rsidRDefault="00D14FE4" w:rsidP="003C7995">
      <w:pPr>
        <w:spacing w:after="0" w:line="240" w:lineRule="auto"/>
        <w:jc w:val="center"/>
        <w:rPr>
          <w:rFonts w:ascii="Times New Roman" w:eastAsia="Arial" w:hAnsi="Times New Roman" w:cs="Times New Roman"/>
          <w:i/>
          <w:sz w:val="24"/>
          <w:szCs w:val="24"/>
        </w:rPr>
      </w:pPr>
      <w:r>
        <w:rPr>
          <w:rFonts w:ascii="Times New Roman" w:eastAsia="Arial" w:hAnsi="Times New Roman" w:cs="Times New Roman"/>
          <w:i/>
          <w:noProof/>
          <w:sz w:val="24"/>
          <w:szCs w:val="24"/>
        </w:rPr>
        <w:drawing>
          <wp:inline distT="0" distB="0" distL="0" distR="0" wp14:anchorId="0979FD15" wp14:editId="7D8F0AF7">
            <wp:extent cx="6240780" cy="5143992"/>
            <wp:effectExtent l="0" t="0" r="762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245622" cy="5147983"/>
                    </a:xfrm>
                    <a:prstGeom prst="rect">
                      <a:avLst/>
                    </a:prstGeom>
                    <a:noFill/>
                  </pic:spPr>
                </pic:pic>
              </a:graphicData>
            </a:graphic>
          </wp:inline>
        </w:drawing>
      </w:r>
    </w:p>
    <w:p w14:paraId="326A31F2" w14:textId="74DD0AC0" w:rsidR="001A7BFF" w:rsidRPr="009341E0" w:rsidRDefault="001A7BFF" w:rsidP="001A7BFF">
      <w:pPr>
        <w:spacing w:after="0" w:line="240" w:lineRule="auto"/>
        <w:rPr>
          <w:rFonts w:ascii="Times New Roman" w:eastAsia="Arial" w:hAnsi="Times New Roman" w:cs="Times New Roman"/>
          <w:sz w:val="24"/>
          <w:szCs w:val="24"/>
        </w:rPr>
      </w:pPr>
      <w:bookmarkStart w:id="35" w:name="_Hlk137040104"/>
      <w:r w:rsidRPr="0064579A">
        <w:rPr>
          <w:rFonts w:ascii="Times New Roman" w:eastAsia="Arial" w:hAnsi="Times New Roman" w:cs="Times New Roman"/>
          <w:b/>
          <w:sz w:val="24"/>
          <w:szCs w:val="24"/>
        </w:rPr>
        <w:t>Figure</w:t>
      </w:r>
      <w:r w:rsidR="000E4EE2">
        <w:rPr>
          <w:rFonts w:ascii="Times New Roman" w:eastAsia="Arial" w:hAnsi="Times New Roman" w:cs="Times New Roman"/>
          <w:b/>
          <w:sz w:val="24"/>
          <w:szCs w:val="24"/>
        </w:rPr>
        <w:t xml:space="preserve"> S</w:t>
      </w:r>
      <w:r w:rsidR="008B4920" w:rsidRPr="0064579A">
        <w:rPr>
          <w:rFonts w:ascii="Times New Roman" w:eastAsia="Arial" w:hAnsi="Times New Roman" w:cs="Times New Roman"/>
          <w:b/>
          <w:sz w:val="24"/>
          <w:szCs w:val="24"/>
        </w:rPr>
        <w:t xml:space="preserve"> </w:t>
      </w:r>
      <w:r w:rsidR="00312D4F" w:rsidRPr="0064579A">
        <w:rPr>
          <w:rFonts w:ascii="Times New Roman" w:eastAsia="Arial" w:hAnsi="Times New Roman" w:cs="Times New Roman"/>
          <w:b/>
          <w:sz w:val="24"/>
          <w:szCs w:val="24"/>
        </w:rPr>
        <w:t>4.4</w:t>
      </w:r>
      <w:r w:rsidRPr="0064579A">
        <w:rPr>
          <w:rFonts w:ascii="Times New Roman" w:eastAsia="Arial" w:hAnsi="Times New Roman" w:cs="Times New Roman"/>
          <w:b/>
          <w:sz w:val="24"/>
          <w:szCs w:val="24"/>
        </w:rPr>
        <w:t>:</w:t>
      </w:r>
      <w:r w:rsidR="008B4920" w:rsidRPr="009341E0">
        <w:rPr>
          <w:rFonts w:ascii="Times New Roman" w:eastAsia="Arial" w:hAnsi="Times New Roman" w:cs="Times New Roman"/>
          <w:sz w:val="24"/>
          <w:szCs w:val="24"/>
        </w:rPr>
        <w:t xml:space="preserve"> </w:t>
      </w:r>
      <w:r w:rsidRPr="009341E0">
        <w:rPr>
          <w:rFonts w:ascii="Times New Roman" w:eastAsia="Arial" w:hAnsi="Times New Roman" w:cs="Times New Roman"/>
          <w:sz w:val="24"/>
          <w:szCs w:val="24"/>
        </w:rPr>
        <w:t>Relationship between the Sr isotope ratio and Sr concentration in enamel of</w:t>
      </w:r>
      <w:r w:rsidR="007C4811" w:rsidRPr="009341E0">
        <w:rPr>
          <w:rFonts w:ascii="Times New Roman" w:eastAsia="Arial" w:hAnsi="Times New Roman" w:cs="Times New Roman"/>
          <w:sz w:val="24"/>
          <w:szCs w:val="24"/>
        </w:rPr>
        <w:t xml:space="preserve"> human and animal</w:t>
      </w:r>
      <w:r w:rsidRPr="009341E0">
        <w:rPr>
          <w:rFonts w:ascii="Times New Roman" w:eastAsia="Arial" w:hAnsi="Times New Roman" w:cs="Times New Roman"/>
          <w:sz w:val="24"/>
          <w:szCs w:val="24"/>
        </w:rPr>
        <w:t xml:space="preserve"> teeth from Taforalt, Morocco. </w:t>
      </w:r>
    </w:p>
    <w:bookmarkEnd w:id="35"/>
    <w:p w14:paraId="2F0AD613" w14:textId="77777777" w:rsidR="001A7BFF" w:rsidRPr="00D70D43" w:rsidRDefault="001A7BFF" w:rsidP="001A7BFF">
      <w:pPr>
        <w:spacing w:after="0" w:line="240" w:lineRule="auto"/>
        <w:rPr>
          <w:rFonts w:ascii="Times New Roman" w:eastAsia="Arial" w:hAnsi="Times New Roman" w:cs="Times New Roman"/>
          <w:i/>
          <w:sz w:val="24"/>
          <w:szCs w:val="24"/>
        </w:rPr>
      </w:pPr>
    </w:p>
    <w:p w14:paraId="4DC3637B" w14:textId="77777777" w:rsidR="001A7BFF" w:rsidRPr="00D70D43" w:rsidRDefault="001A7BFF" w:rsidP="001A7BFF">
      <w:pPr>
        <w:spacing w:after="0" w:line="360" w:lineRule="auto"/>
        <w:rPr>
          <w:rFonts w:ascii="Times New Roman" w:hAnsi="Times New Roman" w:cs="Times New Roman"/>
          <w:sz w:val="24"/>
          <w:szCs w:val="24"/>
        </w:rPr>
      </w:pPr>
    </w:p>
    <w:p w14:paraId="5BCC3196" w14:textId="6F372EEE" w:rsidR="001A7BFF" w:rsidRPr="00D70D43" w:rsidRDefault="001A7BFF" w:rsidP="001A7BFF">
      <w:pPr>
        <w:rPr>
          <w:rFonts w:ascii="Times New Roman" w:hAnsi="Times New Roman" w:cs="Times New Roman"/>
          <w:b/>
          <w:sz w:val="24"/>
          <w:szCs w:val="24"/>
        </w:rPr>
      </w:pPr>
      <w:bookmarkStart w:id="36" w:name="_Hlk121127756"/>
      <w:r w:rsidRPr="00D70D43">
        <w:rPr>
          <w:rFonts w:ascii="Times New Roman" w:hAnsi="Times New Roman" w:cs="Times New Roman"/>
          <w:b/>
          <w:sz w:val="24"/>
          <w:szCs w:val="24"/>
        </w:rPr>
        <w:t>4.</w:t>
      </w:r>
      <w:r w:rsidR="006A3D2A">
        <w:rPr>
          <w:rFonts w:ascii="Times New Roman" w:hAnsi="Times New Roman" w:cs="Times New Roman"/>
          <w:b/>
          <w:sz w:val="24"/>
          <w:szCs w:val="24"/>
        </w:rPr>
        <w:t>3</w:t>
      </w:r>
      <w:r w:rsidRPr="00D70D43">
        <w:rPr>
          <w:rFonts w:ascii="Times New Roman" w:hAnsi="Times New Roman" w:cs="Times New Roman"/>
          <w:b/>
          <w:sz w:val="24"/>
          <w:szCs w:val="24"/>
        </w:rPr>
        <w:t xml:space="preserve"> Zinc isotopic data</w:t>
      </w:r>
    </w:p>
    <w:bookmarkEnd w:id="36"/>
    <w:p w14:paraId="43972168" w14:textId="5CBB2151" w:rsidR="001A7BFF" w:rsidRDefault="001A7BFF" w:rsidP="00312D4F">
      <w:pPr>
        <w:spacing w:after="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The </w:t>
      </w:r>
      <w:r w:rsidRPr="00D70D43">
        <w:rPr>
          <w:rFonts w:ascii="Times New Roman" w:hAnsi="Times New Roman" w:cs="Times New Roman"/>
          <w:sz w:val="24"/>
          <w:szCs w:val="24"/>
        </w:rPr>
        <w:t>δ</w:t>
      </w:r>
      <w:r w:rsidRPr="00D70D43">
        <w:rPr>
          <w:rFonts w:ascii="Times New Roman" w:hAnsi="Times New Roman" w:cs="Times New Roman"/>
          <w:sz w:val="24"/>
          <w:szCs w:val="24"/>
          <w:vertAlign w:val="superscript"/>
        </w:rPr>
        <w:t>66</w:t>
      </w:r>
      <w:r w:rsidRPr="00D70D43">
        <w:rPr>
          <w:rFonts w:ascii="Times New Roman" w:hAnsi="Times New Roman" w:cs="Times New Roman"/>
          <w:sz w:val="24"/>
          <w:szCs w:val="24"/>
        </w:rPr>
        <w:t xml:space="preserve">Zn </w:t>
      </w:r>
      <w:r w:rsidRPr="00D70D43">
        <w:rPr>
          <w:rFonts w:ascii="Times New Roman" w:eastAsia="Times New Roman" w:hAnsi="Times New Roman" w:cs="Times New Roman"/>
          <w:sz w:val="24"/>
          <w:szCs w:val="24"/>
        </w:rPr>
        <w:t>values of the animals from Taforalt ranges from 1.45 to 0.42 ‰</w:t>
      </w:r>
      <w:r w:rsidR="008B4920">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 xml:space="preserve">which is comparable with the range observed in the modern food web of </w:t>
      </w:r>
      <w:proofErr w:type="spellStart"/>
      <w:r w:rsidRPr="00D70D43">
        <w:rPr>
          <w:rFonts w:ascii="Times New Roman" w:eastAsia="Times New Roman" w:hAnsi="Times New Roman" w:cs="Times New Roman"/>
          <w:sz w:val="24"/>
          <w:szCs w:val="24"/>
        </w:rPr>
        <w:t>Koobi</w:t>
      </w:r>
      <w:proofErr w:type="spellEnd"/>
      <w:r w:rsidRPr="00D70D43">
        <w:rPr>
          <w:rFonts w:ascii="Times New Roman" w:eastAsia="Times New Roman" w:hAnsi="Times New Roman" w:cs="Times New Roman"/>
          <w:sz w:val="24"/>
          <w:szCs w:val="24"/>
        </w:rPr>
        <w:t xml:space="preserve"> Fora (Kenya) and </w:t>
      </w:r>
      <w:proofErr w:type="spellStart"/>
      <w:r w:rsidRPr="00D70D43">
        <w:rPr>
          <w:rFonts w:ascii="Times New Roman" w:eastAsia="Times New Roman" w:hAnsi="Times New Roman" w:cs="Times New Roman"/>
          <w:sz w:val="24"/>
          <w:szCs w:val="24"/>
        </w:rPr>
        <w:t>Gabasa</w:t>
      </w:r>
      <w:proofErr w:type="spellEnd"/>
      <w:r w:rsidRPr="00D70D43">
        <w:rPr>
          <w:rFonts w:ascii="Times New Roman" w:eastAsia="Times New Roman" w:hAnsi="Times New Roman" w:cs="Times New Roman"/>
          <w:sz w:val="24"/>
          <w:szCs w:val="24"/>
        </w:rPr>
        <w:t xml:space="preserve"> (Spain) </w:t>
      </w:r>
      <w:r w:rsidR="007E63E5">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{"citationID":"HDrFZAov","properties":{"formattedCitation":"\\super 26,64\\nosupersub{}","plainCitation":"26,64","noteIndex":0},"citationItems":[{"id":1,"uris":["http://zotero.org/users/7125028/items/PSYJGYVH"],"itemData":{"id":1,"type":"article-journal","container-title":"Proceedings of the National Academy of Sciences","DOI":"10.1073/pnas.2109315119","issue":"43","note":"publisher: Proceedings of the National Academy of Sciences","page":"e2109315119","source":"pnas.org (Atypon)","title":"A Neandertal dietary conundrum: Insights provided by tooth enamel Zn isotopes from Gabasa, Spain","title-short":"A Neandertal dietary conundrum","volume":"119","author":[{"family":"Jaouen","given":"Klervia"},{"family":"Villalba-Mouco","given":"Vanessa"},{"family":"Smith","given":"Geoff M."},{"family":"Trost","given":"Manuel"},{"family":"Leichliter","given":"Jennifer"},{"family":"Lüdecke","given":"Tina"},{"family":"Méjean","given":"Pauline"},{"family":"Mandrou","given":"Stéphanie"},{"family":"Chmeleff","given":"Jérôme"},{"family":"Guiserix","given":"Danaé"},{"family":"Bourgon","given":"Nicolas"},{"family":"Blasco","given":"Fernanda"},{"family":"Mendes Cardoso","given":"Jéssica"},{"family":"Duquenoy","given":"Camille"},{"family":"Moubtahij","given":"Zineb"},{"family":"Salazar Garcia","given":"Domingo C."},{"family":"Richards","given":"Michael"},{"family":"Tütken","given":"Thomas"},{"family":"Hublin","given":"Jean-Jacques"},{"family":"Utrilla","given":"Pilar"},{"family":"Montes","given":"Lourdes"}],"issued":{"date-parts":[["2022",10,25]]}}},{"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P."}],"issued":{"date-parts":[["2016",5,18]]}}}],"schema":"https://github.com/citation-style-language/schema/raw/master/csl-citation.json"} </w:instrText>
      </w:r>
      <w:r w:rsidR="007E63E5">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26,64</w:t>
      </w:r>
      <w:r w:rsidR="007E63E5">
        <w:rPr>
          <w:rFonts w:ascii="Times New Roman" w:eastAsia="Times New Roman" w:hAnsi="Times New Roman" w:cs="Times New Roman"/>
          <w:sz w:val="24"/>
          <w:szCs w:val="24"/>
        </w:rPr>
        <w:fldChar w:fldCharType="end"/>
      </w:r>
      <w:r w:rsidR="007E63E5">
        <w:rPr>
          <w:rFonts w:ascii="Times New Roman" w:eastAsia="Times New Roman" w:hAnsi="Times New Roman" w:cs="Times New Roman"/>
          <w:sz w:val="24"/>
          <w:szCs w:val="24"/>
        </w:rPr>
        <w:t>.</w:t>
      </w:r>
      <w:r w:rsidRPr="00D70D43">
        <w:rPr>
          <w:rFonts w:ascii="Times New Roman" w:eastAsia="Times New Roman" w:hAnsi="Times New Roman" w:cs="Times New Roman"/>
          <w:sz w:val="24"/>
          <w:szCs w:val="24"/>
        </w:rPr>
        <w:t xml:space="preserve"> The </w:t>
      </w:r>
      <w:r w:rsidRPr="00D70D43">
        <w:rPr>
          <w:rFonts w:ascii="Times New Roman" w:hAnsi="Times New Roman" w:cs="Times New Roman"/>
          <w:sz w:val="24"/>
          <w:szCs w:val="24"/>
        </w:rPr>
        <w:t>δ</w:t>
      </w:r>
      <w:r w:rsidRPr="00D70D43">
        <w:rPr>
          <w:rFonts w:ascii="Times New Roman" w:hAnsi="Times New Roman" w:cs="Times New Roman"/>
          <w:sz w:val="24"/>
          <w:szCs w:val="24"/>
          <w:vertAlign w:val="superscript"/>
        </w:rPr>
        <w:t>66</w:t>
      </w:r>
      <w:r w:rsidRPr="00D70D43">
        <w:rPr>
          <w:rFonts w:ascii="Times New Roman" w:hAnsi="Times New Roman" w:cs="Times New Roman"/>
          <w:sz w:val="24"/>
          <w:szCs w:val="24"/>
        </w:rPr>
        <w:t xml:space="preserve">Zn </w:t>
      </w:r>
      <w:r w:rsidRPr="00D70D43">
        <w:rPr>
          <w:rFonts w:ascii="Times New Roman" w:eastAsia="Times New Roman" w:hAnsi="Times New Roman" w:cs="Times New Roman"/>
          <w:sz w:val="24"/>
          <w:szCs w:val="24"/>
        </w:rPr>
        <w:t xml:space="preserve">enamel values are clearly different between dietary groups (herbivores and carnivores, Figure </w:t>
      </w:r>
      <w:r w:rsidR="00A530F0">
        <w:rPr>
          <w:rFonts w:ascii="Times New Roman" w:eastAsia="Times New Roman" w:hAnsi="Times New Roman" w:cs="Times New Roman"/>
          <w:sz w:val="24"/>
          <w:szCs w:val="24"/>
        </w:rPr>
        <w:t>S4.5</w:t>
      </w:r>
      <w:r w:rsidRPr="00D70D43">
        <w:rPr>
          <w:rFonts w:ascii="Times New Roman" w:eastAsia="Times New Roman" w:hAnsi="Times New Roman" w:cs="Times New Roman"/>
          <w:sz w:val="24"/>
          <w:szCs w:val="24"/>
        </w:rPr>
        <w:t xml:space="preserve">) (Kruskal Wallis chi-squared = 21.205, df = 2, p-value = 0.00002485). The herbivores </w:t>
      </w:r>
      <w:r w:rsidRPr="00D70D43">
        <w:rPr>
          <w:rFonts w:ascii="Times New Roman" w:eastAsia="Times New Roman" w:hAnsi="Times New Roman" w:cs="Times New Roman"/>
          <w:sz w:val="24"/>
          <w:szCs w:val="24"/>
        </w:rPr>
        <w:lastRenderedPageBreak/>
        <w:t>exhibit the highest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 values ranging from 1.45 to 0.67 ‰ (1.1</w:t>
      </w:r>
      <w:r w:rsidR="00877A0B">
        <w:rPr>
          <w:rFonts w:ascii="Times New Roman" w:eastAsia="Times New Roman" w:hAnsi="Times New Roman" w:cs="Times New Roman"/>
          <w:sz w:val="24"/>
          <w:szCs w:val="24"/>
        </w:rPr>
        <w:t>7</w:t>
      </w:r>
      <w:r w:rsidRPr="00D70D43">
        <w:rPr>
          <w:rFonts w:ascii="Times New Roman" w:eastAsia="Times New Roman" w:hAnsi="Times New Roman" w:cs="Times New Roman"/>
          <w:sz w:val="24"/>
          <w:szCs w:val="24"/>
        </w:rPr>
        <w:t xml:space="preserve">± 0.18‰, n= 14). If we exclude the deciduous teeth which are likely to exhibit higher Zn isotope ratios, from the effect of </w:t>
      </w:r>
      <w:proofErr w:type="spellStart"/>
      <w:r w:rsidRPr="00D70D43">
        <w:rPr>
          <w:rFonts w:ascii="Times New Roman" w:eastAsia="Times New Roman" w:hAnsi="Times New Roman" w:cs="Times New Roman"/>
          <w:sz w:val="24"/>
          <w:szCs w:val="24"/>
        </w:rPr>
        <w:t>breasfeeding</w:t>
      </w:r>
      <w:proofErr w:type="spellEnd"/>
      <w:r w:rsidRPr="00D70D43">
        <w:rPr>
          <w:rFonts w:ascii="Times New Roman" w:eastAsia="Times New Roman" w:hAnsi="Times New Roman" w:cs="Times New Roman"/>
          <w:sz w:val="24"/>
          <w:szCs w:val="24"/>
        </w:rPr>
        <w:t xml:space="preserve">, </w:t>
      </w:r>
      <w:r w:rsidR="00D94609">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{"citationID":"2Zi1CnWP","properties":{"formattedCitation":"\\super 27\\nosupersub{}","plainCitation":"27","noteIndex":0},"citationItems":[{"id":187,"uris":["http://zotero.org/users/7125028/items/5MKWU4L4"],"itemData":{"id":187,"type":"article-journal","abstract":"Zinc (Zn) isotope ratios of dental enamel are a promising tracer for dietary reconstruction in archeology, but its use is still in its infancy. A recent study demonstrated a high risk of Zn contamination from nitrile, and latex gloves used during chemical sample preparation. Here we assess the potential impact of the use of such gloves during enamel sampling on the Zn isotope composition of teeth from a population of early Holocene hunter gatherers from Lapa do Santo, Lagoa Santa, Minas Gerais, Brazil. We first examined the amount of Zn and its isotopic composition released from the gloves used in this study by soaking them in weak nitric acid and water. We compared Zn isotope ratios obtained from teeth that were sampled wearing nitrile, latex or no gloves. Finally, we performed a linear mixed model (LMM) to investigate post hoc the relationship between the gloves used for sampling and the Zn isotope variability in dental enamel. We found that the gloves used in this study released a similar amount of Zn compared to previous work, but only in acidic solution. Zn isotope ratios of teeth and the LMM identified no sign of significant Zn coming from the gloves when teeth were handled for enamel sampling. We hypothesize that Zn in gloves is mostly released by contact with acids. We found that the main source of Zn isotope variability in the Lapa do Santo population was related to the developmental stage of the tooth tissues sampled. We report identical results for two individuals coming from a different archeological context. Tooth enamel formed in utero and/or during the two first years of life showed higher Zn isotope ratios than enamel formed after weaning. More work is required to systematically investigate if Zn isotopes can be used as a breastfeeding tracer.","container-title":"PLOS ONE","DOI":"10.1371/journal.pone.0232379","ISSN":"1932-6203","issue":"5","journalAbbreviation":"PLOS ONE","language":"en","note":"publisher: Public Library of Science","page":"e0232379","source":"PLoS Journals","title":"Zinc isotope variations in archeological human teeth (Lapa do Santo, Brazil) reveal dietary transitions in childhood and no contamination from gloves","volume":"15","author":[{"family":"Jaouen","given":"Klervia"},{"family":"Trost","given":"Manuel"},{"family":"Bourgon","given":"Nicolas"},{"family":"Colleter","given":"Rozenn"},{"family":"Cabec","given":"Adeline Le"},{"family":"Tütken","given":"Thomas"},{"family":"Oliveira","given":"Rodrigo Elias"},{"family":"Pons","given":"Marie Laure"},{"family":"Méjean","given":"Pauline"},{"family":"Steinbrenner","given":"Sven"},{"family":"Chmeleff","given":"Jérôme"},{"family":"Strauss","given":"André"}],"issued":{"date-parts":[["2020",5,14]]}}}],"schema":"https://github.com/citation-style-language/schema/raw/master/csl-citation.json"} </w:instrText>
      </w:r>
      <w:r w:rsidR="00D94609">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27</w:t>
      </w:r>
      <w:r w:rsidR="00D94609">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the herbivore group have an average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 of (1.15 ± 0.18‰, n= 13). The carnivores (</w:t>
      </w:r>
      <w:r w:rsidR="007C2945">
        <w:rPr>
          <w:rFonts w:ascii="Times New Roman" w:eastAsia="Times New Roman" w:hAnsi="Times New Roman" w:cs="Times New Roman"/>
          <w:sz w:val="24"/>
          <w:szCs w:val="24"/>
        </w:rPr>
        <w:t>a fox and a canid</w:t>
      </w:r>
      <w:r w:rsidRPr="00D70D43">
        <w:rPr>
          <w:rFonts w:ascii="Times New Roman" w:eastAsia="Times New Roman" w:hAnsi="Times New Roman" w:cs="Times New Roman"/>
          <w:sz w:val="24"/>
          <w:szCs w:val="24"/>
        </w:rPr>
        <w:t xml:space="preserve">), on average, show lower values </w:t>
      </w:r>
      <w:r w:rsidR="00E413C5" w:rsidRPr="00D70D43">
        <w:rPr>
          <w:rFonts w:ascii="Times New Roman" w:eastAsia="Times New Roman" w:hAnsi="Times New Roman" w:cs="Times New Roman"/>
          <w:sz w:val="24"/>
          <w:szCs w:val="24"/>
        </w:rPr>
        <w:t>(0.52</w:t>
      </w:r>
      <w:r w:rsidR="00E413C5">
        <w:rPr>
          <w:rFonts w:ascii="Times New Roman" w:eastAsia="Times New Roman" w:hAnsi="Times New Roman" w:cs="Times New Roman"/>
          <w:sz w:val="24"/>
          <w:szCs w:val="24"/>
        </w:rPr>
        <w:t xml:space="preserve"> </w:t>
      </w:r>
      <w:r w:rsidR="00E413C5" w:rsidRPr="00D70D43">
        <w:rPr>
          <w:rFonts w:ascii="Times New Roman" w:eastAsia="Times New Roman" w:hAnsi="Times New Roman" w:cs="Times New Roman"/>
          <w:sz w:val="24"/>
          <w:szCs w:val="24"/>
        </w:rPr>
        <w:t xml:space="preserve">± 0.14‰, n=2) </w:t>
      </w:r>
      <w:r w:rsidRPr="00D70D43">
        <w:rPr>
          <w:rFonts w:ascii="Times New Roman" w:eastAsia="Times New Roman" w:hAnsi="Times New Roman" w:cs="Times New Roman"/>
          <w:sz w:val="24"/>
          <w:szCs w:val="24"/>
        </w:rPr>
        <w:t xml:space="preserve">(Figure 3). The trophic level spacing is therefore of 0.64 ‰, which fit with ranges observed in other food webs </w:t>
      </w:r>
      <w:r w:rsidR="00A847E5">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{"citationID":"bMQ9Jfqs","properties":{"formattedCitation":"\\super 23,26,72\\nosupersub{}","plainCitation":"23,26,72","noteIndex":0},"citationItems":[{"id":189,"uris":["http://zotero.org/users/7125028/items/2SID4BZP"],"itemData":{"id":189,"type":"article-journal","container-title":"Proceedings of the National Academy of Sciences","issue":"9","journalAbbreviation":"PNAS","page":"4675-4681","title":"Zinc isotopes in Late Pleistocene fossil teeth from a Southeast Asian cave setting preserve paleodietary information","volume":"117","author":[{"family":"Bourgon","given":"Nicolas"},{"family":"Jaouen","given":"Klervia"},{"family":"Bacon","given":"Anne-Marie"},{"family":"Jochum","given":"Klaus Peter"},{"family":"Dufour","given":"Elise"},{"family":"Duringer","given":"Philippe"},{"family":"Ponche","given":"Jean-Luc"},{"family":"Joannes-Boyau","given":"Renaud"},{"family":"Boesch","given":"Quentin"},{"family":"Antoine","given":"Pierre-Olivier"},{"family":"Hullot","given":"Manon"},{"family":"Weis","given":"Ulrike"},{"family":"Schulz-Kornas","given":"Ellen"},{"family":"Trost","given":"Manuel"},{"family":"Fiorillo","given":"Denis"},{"family":"Demeter","given":"Fabrice"},{"family":"Patole-Edoumba","given":"Elise"},{"family":"Shackelford","given":"Laura L."},{"family":"Dunn","given":"Tyler E."},{"family":"Zachwieja","given":"Alexandra"},{"family":"Duangthongchit","given":"Somoh"},{"family":"Sayavonkhamdy","given":"Thongsa"},{"family":"Sichanthongtip","given":"Phonephanh"},{"family":"Sihanam","given":"Daovee"},{"family":"Souksavatdy","given":"Viengkeo"},{"family":"Hublin","given":"Jean-Jacques"},{"family":"Tütken","given":"Thomas"}],"issued":{"date-parts":[["2020",3,3]]}}},{"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P."}],"issued":{"date-parts":[["2016",5,18]]}}},{"id":188,"uris":["http://zotero.org/users/7125028/items/I4LJIUED"],"itemData":{"id":188,"type":"article-journal","abstract":"In marine ecology, dietary interpretations of faunal assemblages often rely on nitrogen isotopes as the main or only applicable trophic level tracer. We investigate the geographic variability and trophic level isotopic discrimination factors of bone zinc 66Zn/64Zn ratios (δ66Zn value) and compared it to collagen nitrogen and carbon stable isotope (δ15N and δ13C) values. Focusing on ringed seals (Pusa hispida) and polar bears (Ursus maritimus) from multiple Arctic archaeological sites, we investigate trophic interactions between predator and prey over a broad geographic area. All proxies show variability among sites, influenced by the regional food web baselines. However, δ66Zn shows a significantly higher homogeneity among different sites. We observe a clear trophic spacing for δ15N and δ66Zn values in all locations, yet δ66Zn analysis allows a more direct dietary comparability between spatially and temporally distinct locations than what is possible by δ15N and δ13C analysis alone. When combining all three proxies, a more detailed and refined dietary analysis is possible.","container-title":"Communications Biology","DOI":"10.1038/s42003-021-02212-z","ISSN":"2399-3642","issue":"1","journalAbbreviation":"Commun Biol","language":"en","license":"2021 The Author(s)","note":"Bandiera_abtest: a\nCc_license_type: cc_by\nCg_type: Nature Research Journals\nnumber: 1\nPrimary_atype: Research\npublisher: Nature Publishing Group\nSubject_term: Biogeography;Element cycles;Marine mammals;Palaeoecology;Stable isotope analysis\nSubject_term_id: biogeography;element-cycles;marine-mammals;palaeoecology;stable-isotopes","page":"1-11","source":"www.nature.com","title":"Zinc isotopes from archaeological bones provide reliable trophic level information for marine mammals","volume":"4","author":[{"family":"McCormack","given":"Jeremy"},{"family":"Szpak","given":"Paul"},{"family":"Bourgon","given":"Nicolas"},{"family":"Richards","given":"Michael"},{"family":"Hyland","given":"Corrie"},{"family":"Méjean","given":"Pauline"},{"family":"Hublin","given":"Jean-Jacques"},{"family":"Jaouen","given":"Klervia"}],"issued":{"date-parts":[["2021",6,3]]}}}],"schema":"https://github.com/citation-style-language/schema/raw/master/csl-citation.json"} </w:instrText>
      </w:r>
      <w:r w:rsidR="00A847E5">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23,26,72</w:t>
      </w:r>
      <w:r w:rsidR="00A847E5">
        <w:rPr>
          <w:rFonts w:ascii="Times New Roman" w:eastAsia="Times New Roman" w:hAnsi="Times New Roman" w:cs="Times New Roman"/>
          <w:sz w:val="24"/>
          <w:szCs w:val="24"/>
        </w:rPr>
        <w:fldChar w:fldCharType="end"/>
      </w:r>
      <w:r w:rsidR="00A847E5">
        <w:rPr>
          <w:rFonts w:ascii="Times New Roman" w:eastAsia="Times New Roman" w:hAnsi="Times New Roman" w:cs="Times New Roman"/>
          <w:sz w:val="24"/>
          <w:szCs w:val="24"/>
        </w:rPr>
        <w:t>.</w:t>
      </w:r>
    </w:p>
    <w:p w14:paraId="6CC84050" w14:textId="77777777" w:rsidR="00312D4F" w:rsidRPr="00D70D43" w:rsidRDefault="00312D4F" w:rsidP="00312D4F">
      <w:pPr>
        <w:spacing w:after="0" w:line="360" w:lineRule="auto"/>
        <w:jc w:val="both"/>
        <w:rPr>
          <w:rFonts w:ascii="Times New Roman" w:eastAsia="Times New Roman" w:hAnsi="Times New Roman" w:cs="Times New Roman"/>
          <w:sz w:val="24"/>
          <w:szCs w:val="24"/>
        </w:rPr>
      </w:pPr>
    </w:p>
    <w:p w14:paraId="35EA9F2E" w14:textId="11FA189D" w:rsidR="001F46F3" w:rsidRDefault="001F46F3" w:rsidP="00312D4F">
      <w:pPr>
        <w:spacing w:after="0" w:line="360" w:lineRule="auto"/>
        <w:jc w:val="both"/>
        <w:rPr>
          <w:rFonts w:ascii="Times New Roman" w:hAnsi="Times New Roman" w:cs="Times New Roman"/>
          <w:b/>
          <w:szCs w:val="24"/>
        </w:rPr>
      </w:pPr>
      <w:bookmarkStart w:id="37" w:name="_Hlk137040138"/>
      <w:r w:rsidRPr="0064579A">
        <w:rPr>
          <w:rFonts w:ascii="Times New Roman" w:hAnsi="Times New Roman" w:cs="Times New Roman"/>
          <w:b/>
          <w:szCs w:val="24"/>
        </w:rPr>
        <w:t>4.</w:t>
      </w:r>
      <w:r w:rsidR="00D704CD">
        <w:rPr>
          <w:rFonts w:ascii="Times New Roman" w:hAnsi="Times New Roman" w:cs="Times New Roman"/>
          <w:b/>
          <w:szCs w:val="24"/>
        </w:rPr>
        <w:t>3</w:t>
      </w:r>
      <w:r w:rsidRPr="0064579A">
        <w:rPr>
          <w:rFonts w:ascii="Times New Roman" w:hAnsi="Times New Roman" w:cs="Times New Roman"/>
          <w:b/>
          <w:szCs w:val="24"/>
        </w:rPr>
        <w:t xml:space="preserve">.1. The zinc </w:t>
      </w:r>
      <w:r w:rsidR="00896926" w:rsidRPr="0064579A">
        <w:rPr>
          <w:rFonts w:ascii="Times New Roman" w:hAnsi="Times New Roman" w:cs="Times New Roman"/>
          <w:b/>
          <w:szCs w:val="24"/>
        </w:rPr>
        <w:t xml:space="preserve">variability among </w:t>
      </w:r>
      <w:r w:rsidRPr="0064579A">
        <w:rPr>
          <w:rFonts w:ascii="Times New Roman" w:hAnsi="Times New Roman" w:cs="Times New Roman"/>
          <w:b/>
          <w:szCs w:val="24"/>
        </w:rPr>
        <w:t xml:space="preserve">herbivores: </w:t>
      </w:r>
    </w:p>
    <w:bookmarkEnd w:id="37"/>
    <w:p w14:paraId="193A8550" w14:textId="77777777" w:rsidR="006A3D2A" w:rsidRPr="0064579A" w:rsidRDefault="006A3D2A" w:rsidP="00312D4F">
      <w:pPr>
        <w:spacing w:after="0" w:line="360" w:lineRule="auto"/>
        <w:jc w:val="both"/>
        <w:rPr>
          <w:rFonts w:ascii="Times New Roman" w:hAnsi="Times New Roman" w:cs="Times New Roman"/>
          <w:b/>
          <w:szCs w:val="24"/>
        </w:rPr>
      </w:pPr>
    </w:p>
    <w:p w14:paraId="70CAE380" w14:textId="507AB137" w:rsidR="001A7BFF" w:rsidRPr="0064579A" w:rsidRDefault="001A7BFF" w:rsidP="00312D4F">
      <w:pPr>
        <w:spacing w:after="0" w:line="360" w:lineRule="auto"/>
        <w:jc w:val="both"/>
        <w:rPr>
          <w:rFonts w:ascii="Times New Roman" w:eastAsia="Times New Roman" w:hAnsi="Times New Roman" w:cs="Times New Roman"/>
          <w:sz w:val="24"/>
          <w:szCs w:val="24"/>
          <w:lang w:val="fr-FR"/>
        </w:rPr>
      </w:pPr>
      <w:r w:rsidRPr="00D70D43">
        <w:rPr>
          <w:rFonts w:ascii="Times New Roman" w:eastAsia="Times New Roman" w:hAnsi="Times New Roman" w:cs="Times New Roman"/>
          <w:sz w:val="24"/>
          <w:szCs w:val="24"/>
        </w:rPr>
        <w:t>In Taforalt, we observe a clear pattern of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between herbivore species </w:t>
      </w:r>
      <w:r w:rsidR="00465614">
        <w:rPr>
          <w:rFonts w:ascii="Times New Roman" w:eastAsia="Times New Roman" w:hAnsi="Times New Roman" w:cs="Times New Roman"/>
          <w:sz w:val="24"/>
          <w:szCs w:val="24"/>
        </w:rPr>
        <w:t>(</w:t>
      </w:r>
      <w:r w:rsidR="00BD4345" w:rsidRPr="00BD4345">
        <w:rPr>
          <w:rFonts w:ascii="Times New Roman" w:eastAsia="Times New Roman" w:hAnsi="Times New Roman" w:cs="Times New Roman"/>
          <w:sz w:val="24"/>
          <w:szCs w:val="24"/>
        </w:rPr>
        <w:t>Kruskal-Wallis chi-squared = 19.287, df = 2, p-value = 0.00006484</w:t>
      </w:r>
      <w:r w:rsidR="00465614">
        <w:rPr>
          <w:rFonts w:ascii="Times New Roman" w:eastAsia="Times New Roman" w:hAnsi="Times New Roman" w:cs="Times New Roman"/>
          <w:sz w:val="24"/>
          <w:szCs w:val="24"/>
        </w:rPr>
        <w:t>)</w:t>
      </w:r>
      <w:r w:rsidR="00465614" w:rsidRPr="00D70D43">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 xml:space="preserve">(Figure </w:t>
      </w:r>
      <w:r w:rsidR="00C74096">
        <w:rPr>
          <w:rFonts w:ascii="Times New Roman" w:eastAsia="Times New Roman" w:hAnsi="Times New Roman" w:cs="Times New Roman"/>
          <w:sz w:val="24"/>
          <w:szCs w:val="24"/>
        </w:rPr>
        <w:t>4.5</w:t>
      </w:r>
      <w:r w:rsidRPr="00D70D43">
        <w:rPr>
          <w:rFonts w:ascii="Times New Roman" w:eastAsia="Times New Roman" w:hAnsi="Times New Roman" w:cs="Times New Roman"/>
          <w:sz w:val="24"/>
          <w:szCs w:val="24"/>
        </w:rPr>
        <w:t>). Grazers have the highest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 values (</w:t>
      </w:r>
      <w:r w:rsidR="00C50CA2" w:rsidRPr="00C50CA2">
        <w:rPr>
          <w:rFonts w:ascii="Times New Roman" w:eastAsia="Times New Roman" w:hAnsi="Times New Roman" w:cs="Times New Roman"/>
          <w:sz w:val="24"/>
          <w:szCs w:val="24"/>
        </w:rPr>
        <w:t>1.28</w:t>
      </w:r>
      <w:r w:rsidRPr="00D70D43">
        <w:rPr>
          <w:rFonts w:ascii="Times New Roman" w:eastAsia="Times New Roman" w:hAnsi="Times New Roman" w:cs="Times New Roman"/>
          <w:sz w:val="24"/>
          <w:szCs w:val="24"/>
        </w:rPr>
        <w:t xml:space="preserve">‰ ± </w:t>
      </w:r>
      <w:r w:rsidR="00C50CA2" w:rsidRPr="00C50CA2">
        <w:rPr>
          <w:rFonts w:ascii="Times New Roman" w:eastAsia="Times New Roman" w:hAnsi="Times New Roman" w:cs="Times New Roman"/>
          <w:sz w:val="24"/>
          <w:szCs w:val="24"/>
        </w:rPr>
        <w:t>0.15</w:t>
      </w:r>
      <w:r w:rsidRPr="00D70D43">
        <w:rPr>
          <w:rFonts w:ascii="Times New Roman" w:eastAsia="Times New Roman" w:hAnsi="Times New Roman" w:cs="Times New Roman"/>
          <w:sz w:val="24"/>
          <w:szCs w:val="24"/>
        </w:rPr>
        <w:t xml:space="preserve">, n= </w:t>
      </w:r>
      <w:r w:rsidR="00C50CA2">
        <w:rPr>
          <w:rFonts w:ascii="Times New Roman" w:eastAsia="Times New Roman" w:hAnsi="Times New Roman" w:cs="Times New Roman"/>
          <w:sz w:val="24"/>
          <w:szCs w:val="24"/>
        </w:rPr>
        <w:t>21</w:t>
      </w:r>
      <w:r w:rsidRPr="00D70D43">
        <w:rPr>
          <w:rFonts w:ascii="Times New Roman" w:eastAsia="Times New Roman" w:hAnsi="Times New Roman" w:cs="Times New Roman"/>
          <w:sz w:val="24"/>
          <w:szCs w:val="24"/>
        </w:rPr>
        <w:t>). The browsers (</w:t>
      </w:r>
      <w:proofErr w:type="spellStart"/>
      <w:r w:rsidRPr="00D70D43">
        <w:rPr>
          <w:rFonts w:ascii="Times New Roman" w:eastAsia="Times New Roman" w:hAnsi="Times New Roman" w:cs="Times New Roman"/>
          <w:sz w:val="24"/>
          <w:szCs w:val="24"/>
        </w:rPr>
        <w:t>e.i</w:t>
      </w:r>
      <w:proofErr w:type="spellEnd"/>
      <w:r w:rsidRPr="00D70D43">
        <w:rPr>
          <w:rFonts w:ascii="Times New Roman" w:eastAsia="Times New Roman" w:hAnsi="Times New Roman" w:cs="Times New Roman"/>
          <w:sz w:val="24"/>
          <w:szCs w:val="24"/>
        </w:rPr>
        <w:t xml:space="preserve"> Gazelle) and mixed feeders (</w:t>
      </w:r>
      <w:proofErr w:type="spellStart"/>
      <w:r w:rsidRPr="00D70D43">
        <w:rPr>
          <w:rFonts w:ascii="Times New Roman" w:eastAsia="Times New Roman" w:hAnsi="Times New Roman" w:cs="Times New Roman"/>
          <w:sz w:val="24"/>
          <w:szCs w:val="24"/>
        </w:rPr>
        <w:t>e.i</w:t>
      </w:r>
      <w:proofErr w:type="spellEnd"/>
      <w:r w:rsidRPr="00D70D43">
        <w:rPr>
          <w:rFonts w:ascii="Times New Roman" w:eastAsia="Times New Roman" w:hAnsi="Times New Roman" w:cs="Times New Roman"/>
          <w:sz w:val="24"/>
          <w:szCs w:val="24"/>
        </w:rPr>
        <w:t xml:space="preserve"> Barbary sheep) have lower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values. This pattern is similar to what is observed in the modern food web of </w:t>
      </w:r>
      <w:proofErr w:type="spellStart"/>
      <w:r w:rsidRPr="00D70D43">
        <w:rPr>
          <w:rFonts w:ascii="Times New Roman" w:eastAsia="Times New Roman" w:hAnsi="Times New Roman" w:cs="Times New Roman"/>
          <w:sz w:val="24"/>
          <w:szCs w:val="24"/>
        </w:rPr>
        <w:t>Koobi</w:t>
      </w:r>
      <w:proofErr w:type="spellEnd"/>
      <w:r w:rsidRPr="00D70D43">
        <w:rPr>
          <w:rFonts w:ascii="Times New Roman" w:eastAsia="Times New Roman" w:hAnsi="Times New Roman" w:cs="Times New Roman"/>
          <w:sz w:val="24"/>
          <w:szCs w:val="24"/>
        </w:rPr>
        <w:t xml:space="preserve"> Fora in the African Savannah </w:t>
      </w:r>
      <w:r w:rsidR="009573E9">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{"citationID":"DKjEnUgJ","properties":{"formattedCitation":"\\super 26\\nosupersub{}","plainCitation":"26","noteIndex":0},"citationItems":[{"id":257,"uris":["http://zotero.org/users/7125028/items/JAQK23F2"],"itemData":{"id":257,"type":"article-journal","abstract":"In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P."}],"issued":{"date-parts":[["2016",5,18]]}}}],"schema":"https://github.com/citation-style-language/schema/raw/master/csl-citation.json"} </w:instrText>
      </w:r>
      <w:r w:rsidR="009573E9">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26</w:t>
      </w:r>
      <w:r w:rsidR="009573E9">
        <w:rPr>
          <w:rFonts w:ascii="Times New Roman" w:eastAsia="Times New Roman" w:hAnsi="Times New Roman" w:cs="Times New Roman"/>
          <w:sz w:val="24"/>
          <w:szCs w:val="24"/>
        </w:rPr>
        <w:fldChar w:fldCharType="end"/>
      </w:r>
      <w:r w:rsidR="00312D4F">
        <w:rPr>
          <w:rFonts w:ascii="Times New Roman" w:eastAsia="Times New Roman" w:hAnsi="Times New Roman" w:cs="Times New Roman"/>
          <w:sz w:val="24"/>
          <w:szCs w:val="24"/>
        </w:rPr>
        <w:t xml:space="preserve">, and could be due to their </w:t>
      </w:r>
      <w:r w:rsidR="00CC04AC">
        <w:rPr>
          <w:rFonts w:ascii="Times New Roman" w:eastAsia="Times New Roman" w:hAnsi="Times New Roman" w:cs="Times New Roman"/>
          <w:sz w:val="24"/>
          <w:szCs w:val="24"/>
        </w:rPr>
        <w:t xml:space="preserve">consumption of </w:t>
      </w:r>
      <w:r w:rsidR="00312D4F">
        <w:rPr>
          <w:rFonts w:ascii="Times New Roman" w:eastAsia="Times New Roman" w:hAnsi="Times New Roman" w:cs="Times New Roman"/>
          <w:sz w:val="24"/>
          <w:szCs w:val="24"/>
        </w:rPr>
        <w:t>leaves and fruit</w:t>
      </w:r>
      <w:r w:rsidR="003F599D">
        <w:rPr>
          <w:rFonts w:ascii="Times New Roman" w:eastAsia="Times New Roman" w:hAnsi="Times New Roman" w:cs="Times New Roman"/>
          <w:sz w:val="24"/>
          <w:szCs w:val="24"/>
        </w:rPr>
        <w:t>s</w:t>
      </w:r>
      <w:r w:rsidR="00312D4F">
        <w:rPr>
          <w:rFonts w:ascii="Times New Roman" w:eastAsia="Times New Roman" w:hAnsi="Times New Roman" w:cs="Times New Roman"/>
          <w:sz w:val="24"/>
          <w:szCs w:val="24"/>
        </w:rPr>
        <w:t>.</w:t>
      </w:r>
      <w:r w:rsidRPr="00D70D43">
        <w:rPr>
          <w:rFonts w:ascii="Times New Roman" w:eastAsia="Times New Roman" w:hAnsi="Times New Roman" w:cs="Times New Roman"/>
          <w:sz w:val="24"/>
          <w:szCs w:val="24"/>
        </w:rPr>
        <w:t xml:space="preserve"> The roots, shoots and all low growing plants are usually more enriched in heavy Zn isotopes, while tree leaves have lower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 values</w:t>
      </w:r>
      <w:r w:rsidR="009573E9">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{"citationID":"PUNw0TDG","properties":{"formattedCitation":"\\super 31,73\\nosupersub{}","plainCitation":"31,73","noteIndex":0},"citationItems":[{"id":707,"uris":["http://zotero.org/users/7125028/items/2BFLSNCA"],"itemData":{"id":707,"type":"article-journal","abstract":"The objective of this study is to determine for the first time the zinc (Zn) isotopic composition of different soil horizons, parent rocks, litter, and plants from a single pristine watershed. Three soil profiles from Nsimi–Zoétélé site (South Cameroon, Africa) have been investigated. The δ66Zn (δ66Zn=[(66Zn/64Zn)sample/(66Zn/64Zn)JMC 3–0749L)−1] ⁎ 103) measured in the soils and rocks range from −0.05 to 0.64‰. In a typical hillslope soil profile developed in situ from a granitic parent rock, we observe two important and systematic trends: i) a weathering regime in the saprolite horizon that involves strong Zn depletion, with no or slight fractionation compared to the fresh igneous rock, and ii) a shallower weathering regime with significant depletion in heavy Zn isotopes in the most superficial soil horizons. In contrast, the soil profile of the swamp zone does not exhibit isotopic fractionation between the soil and the parent rock. Six plants and two litter samples were analyzed for their Zn isotopic compositions. δ66Zn varied from 0.75 to −0.91‰ among all samples. Plant roots and shoots are generally enriched in heavy isotopes (δ66Zn of +0.42 to +0.76‰) relative to the litter layer (0.12 to 0.25‰) and most superficial soils. Similar to the controlled plant growth study of Weiss et al. [Weiss, D.J., Mason, T.F.D., Zhao, F.J., Kirk, G.J.D., Coles, B.J. and Horstwood, M.S.A. (2005) Isotopic discrimination of zinc in higher plants. New Phytologist 165, 703-710.], negative δ66Zn values were obtained for tree leaves (the most aerial part of the tree). Based on biomass data for the tropical forest, vegetation is on average enriched in light isotopes compared to the litter and the superficial soil horizons which are the nutrients reservoirs. Due to the age of these soils and the complexity of pedogenetic processes, it is difficult to explain the isotopic composition of the soils at present. However, the transformation of the saprolite horizon into a ferruginous horizon is associated with an enrichment in light Zn isotopes. This observation may be due to the adsorption of Zn onto clays surfaces. The uptake of Zn by roots in the soils leads to an enrichment in heavy isotopes. Once the Zn is in the xylem, it will be transported within the plant. During this transport, both diffusion and active uptake of heavy isotopes by cells out of the xylem favour the mobility of light isotopes to the most aerial parts of the plants. The difference in Zn isotopic composition between the deep horizons and the superficial horizons of soils suggests that Zn isotopes can be used to discriminate the source of Zn and other metals leaving the catchment by river water.","container-title":"Chemical Geology","DOI":"10.1016/j.chemgeo.2007.01.005","ISSN":"0009-2541","issue":"1","journalAbbreviation":"Chemical Geology","language":"en","page":"124-137","source":"ScienceDirect","title":"Evidence of Zn isotopic fractionation in a soil–plant system of a pristine tropical watershed (Nsimi, Cameroon)","volume":"239","author":[{"family":"Viers","given":"Jérôme"},{"family":"Oliva","given":"Priscia"},{"family":"Nonell","given":"Anthony"},{"family":"Gélabert","given":"Alexandre"},{"family":"Sonke","given":"Jeroen E."},{"family":"Freydier","given":"Rémi"},{"family":"Gainville","given":"Romuald"},{"family":"Dupré","given":"Bernard"}],"issued":{"date-parts":[["2007",4,15]]}}},{"id":613,"uris":["http://zotero.org/users/7125028/items/NEZ5JAMW"],"itemData":{"id":613,"type":"article-journal","abstract":"• The extent of isotopic discrimination of transition metals in biological processes is poorly understood but potentially has important applications in plant and biogeochemical studies. • Using multicollector inductively coupled plasma (ICP) mass spectrometry, we measured isotopic fractionation of zinc (Zn) during uptake from nutrient solutions by rice (Oryza sativa), lettuce (Lactuca sativa) and tomato (Lycopersicon esculentum) plants. • For all three species, the roots showed a similar extent of heavy Zn enrichment relative to the nutrient solution, probably reflecting preferential adsorption on external root surfaces. By contrast, a plant-species specific enrichment of the light Zn isotope occurred in the shoots, indicative of a biological, membrane-transport controlled uptake into plant cells. The extent of the fractionation in the shoots further depended on the Zn speciation in the nutrient solution. • The observed isotopic depletion in heavy Zn from root to shoot (−0.13 to −0.26 per atomic mass unit) is equivalent to roughly a quarter of the total reported terrestrial variability of Zn isotopic compositions (c. 0.84 per atomic mass unit). Plant uptake therefore represents an important source of isotopic variation in biogeochemical cycling of Zn.","container-title":"New Phytologist","DOI":"10.1111/j.1469-8137.2004.01307.x","ISSN":"1469-8137","issue":"3","language":"en","note":"_eprint: https://onlinelibrary.wiley.com/doi/pdf/10.1111/j.1469-8137.2004.01307.x","page":"703-710","source":"Wiley Online Library","title":"Isotopic discrimination of zinc in higher plants","volume":"165","author":[{"family":"Weiss","given":"D. J."},{"family":"Mason","given":"T. F. D."},{"family":"Zhao","given":"F. J."},{"family":"Kirk","given":"G. J. D."},{"family":"Coles","given":"B. J."},{"family":"Horstwood","given":"M. S. A."}],"issued":{"date-parts":[["2005"]]}}}],"schema":"https://github.com/citation-style-language/schema/raw/master/csl-citation.json"} </w:instrText>
      </w:r>
      <w:r w:rsidR="009573E9">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31,73</w:t>
      </w:r>
      <w:r w:rsidR="009573E9">
        <w:rPr>
          <w:rFonts w:ascii="Times New Roman" w:eastAsia="Times New Roman" w:hAnsi="Times New Roman" w:cs="Times New Roman"/>
          <w:sz w:val="24"/>
          <w:szCs w:val="24"/>
        </w:rPr>
        <w:fldChar w:fldCharType="end"/>
      </w:r>
      <w:r w:rsidR="009573E9">
        <w:rPr>
          <w:rFonts w:ascii="Times New Roman" w:eastAsia="Times New Roman" w:hAnsi="Times New Roman" w:cs="Times New Roman"/>
          <w:sz w:val="24"/>
          <w:szCs w:val="24"/>
          <w:lang w:val="fr-FR"/>
        </w:rPr>
        <w:t>.</w:t>
      </w:r>
    </w:p>
    <w:p w14:paraId="32869A77" w14:textId="12232C14" w:rsidR="001A7BFF" w:rsidRPr="00D70D43" w:rsidRDefault="00264D29" w:rsidP="001A7BFF">
      <w:pPr>
        <w:spacing w:after="0" w:line="360" w:lineRule="auto"/>
        <w:rPr>
          <w:rFonts w:ascii="Times New Roman" w:eastAsia="Times New Roman" w:hAnsi="Times New Roman" w:cs="Times New Roman"/>
          <w:sz w:val="24"/>
          <w:szCs w:val="24"/>
        </w:rPr>
      </w:pPr>
      <w:r>
        <w:rPr>
          <w:noProof/>
          <w:sz w:val="16"/>
          <w:szCs w:val="16"/>
        </w:rPr>
        <w:lastRenderedPageBreak/>
        <w:drawing>
          <wp:inline distT="0" distB="0" distL="0" distR="0" wp14:anchorId="6A5EB08A" wp14:editId="11BCC04B">
            <wp:extent cx="6784891" cy="5208998"/>
            <wp:effectExtent l="0" t="0" r="0" b="0"/>
            <wp:docPr id="200" name="Imag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ggplot2Herbivore_zinc-0506.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791151" cy="5213804"/>
                    </a:xfrm>
                    <a:prstGeom prst="rect">
                      <a:avLst/>
                    </a:prstGeom>
                  </pic:spPr>
                </pic:pic>
              </a:graphicData>
            </a:graphic>
          </wp:inline>
        </w:drawing>
      </w:r>
    </w:p>
    <w:p w14:paraId="70E08F89" w14:textId="02126B24" w:rsidR="001A7BFF" w:rsidRPr="00D70D43" w:rsidRDefault="001A7BFF" w:rsidP="001A7BFF">
      <w:pPr>
        <w:spacing w:after="0" w:line="360" w:lineRule="auto"/>
        <w:rPr>
          <w:rFonts w:ascii="Times New Roman" w:eastAsia="Times New Roman" w:hAnsi="Times New Roman" w:cs="Times New Roman"/>
          <w:sz w:val="24"/>
          <w:szCs w:val="24"/>
        </w:rPr>
      </w:pPr>
      <w:bookmarkStart w:id="38" w:name="_Hlk137040154"/>
      <w:r w:rsidRPr="00D70D43">
        <w:rPr>
          <w:rFonts w:ascii="Times New Roman" w:eastAsia="Times New Roman" w:hAnsi="Times New Roman" w:cs="Times New Roman"/>
          <w:b/>
          <w:sz w:val="24"/>
          <w:szCs w:val="24"/>
        </w:rPr>
        <w:t>Figure</w:t>
      </w:r>
      <w:r w:rsidRPr="00D70D43">
        <w:rPr>
          <w:rFonts w:ascii="Times New Roman" w:eastAsia="Times New Roman" w:hAnsi="Times New Roman" w:cs="Times New Roman"/>
          <w:sz w:val="24"/>
          <w:szCs w:val="24"/>
        </w:rPr>
        <w:t xml:space="preserve"> </w:t>
      </w:r>
      <w:r w:rsidR="00312D4F">
        <w:rPr>
          <w:rFonts w:ascii="Times New Roman" w:eastAsia="Times New Roman" w:hAnsi="Times New Roman" w:cs="Times New Roman"/>
          <w:b/>
          <w:sz w:val="24"/>
          <w:szCs w:val="24"/>
        </w:rPr>
        <w:t>S4.5</w:t>
      </w:r>
      <w:r w:rsidRPr="00D70D43">
        <w:rPr>
          <w:rFonts w:ascii="Times New Roman" w:eastAsia="Times New Roman" w:hAnsi="Times New Roman" w:cs="Times New Roman"/>
          <w:sz w:val="24"/>
          <w:szCs w:val="24"/>
        </w:rPr>
        <w:t xml:space="preserve">: </w:t>
      </w:r>
      <w:r w:rsidR="008139B5">
        <w:rPr>
          <w:rFonts w:ascii="Times New Roman" w:eastAsia="Times New Roman" w:hAnsi="Times New Roman" w:cs="Times New Roman"/>
          <w:sz w:val="24"/>
          <w:szCs w:val="24"/>
        </w:rPr>
        <w:t>Zinc</w:t>
      </w:r>
      <w:r w:rsidRPr="00D70D43">
        <w:rPr>
          <w:rFonts w:ascii="Times New Roman" w:eastAsia="Times New Roman" w:hAnsi="Times New Roman" w:cs="Times New Roman"/>
          <w:sz w:val="24"/>
          <w:szCs w:val="24"/>
        </w:rPr>
        <w:t xml:space="preserve"> isotopic</w:t>
      </w:r>
      <w:r w:rsidR="008139B5">
        <w:rPr>
          <w:rFonts w:ascii="Times New Roman" w:eastAsia="Times New Roman" w:hAnsi="Times New Roman" w:cs="Times New Roman"/>
          <w:sz w:val="24"/>
          <w:szCs w:val="24"/>
        </w:rPr>
        <w:t xml:space="preserve"> ratios</w:t>
      </w:r>
      <w:r w:rsidRPr="00D70D43">
        <w:rPr>
          <w:rFonts w:ascii="Times New Roman" w:eastAsia="Times New Roman" w:hAnsi="Times New Roman" w:cs="Times New Roman"/>
          <w:sz w:val="24"/>
          <w:szCs w:val="24"/>
        </w:rPr>
        <w:t xml:space="preserve"> in </w:t>
      </w:r>
      <w:r w:rsidR="008139B5">
        <w:rPr>
          <w:rFonts w:ascii="Times New Roman" w:eastAsia="Times New Roman" w:hAnsi="Times New Roman" w:cs="Times New Roman"/>
          <w:sz w:val="24"/>
          <w:szCs w:val="24"/>
        </w:rPr>
        <w:t>tooth enamel of various</w:t>
      </w:r>
      <w:r w:rsidR="00312D4F">
        <w:rPr>
          <w:rFonts w:ascii="Times New Roman" w:eastAsia="Times New Roman" w:hAnsi="Times New Roman" w:cs="Times New Roman"/>
          <w:sz w:val="24"/>
          <w:szCs w:val="24"/>
        </w:rPr>
        <w:t xml:space="preserve"> animal</w:t>
      </w:r>
      <w:r w:rsidR="008139B5">
        <w:rPr>
          <w:rFonts w:ascii="Times New Roman" w:eastAsia="Times New Roman" w:hAnsi="Times New Roman" w:cs="Times New Roman"/>
          <w:sz w:val="24"/>
          <w:szCs w:val="24"/>
        </w:rPr>
        <w:t xml:space="preserve"> species</w:t>
      </w:r>
      <w:r w:rsidRPr="00D70D43">
        <w:rPr>
          <w:rFonts w:ascii="Times New Roman" w:eastAsia="Times New Roman" w:hAnsi="Times New Roman" w:cs="Times New Roman"/>
          <w:sz w:val="24"/>
          <w:szCs w:val="24"/>
        </w:rPr>
        <w:t xml:space="preserve"> </w:t>
      </w:r>
      <w:r w:rsidR="001B1842">
        <w:rPr>
          <w:rFonts w:ascii="Times New Roman" w:eastAsia="Times New Roman" w:hAnsi="Times New Roman" w:cs="Times New Roman"/>
          <w:sz w:val="24"/>
          <w:szCs w:val="24"/>
        </w:rPr>
        <w:t xml:space="preserve">and the humans </w:t>
      </w:r>
      <w:r w:rsidRPr="00D70D43">
        <w:rPr>
          <w:rFonts w:ascii="Times New Roman" w:eastAsia="Times New Roman" w:hAnsi="Times New Roman" w:cs="Times New Roman"/>
          <w:sz w:val="24"/>
          <w:szCs w:val="24"/>
        </w:rPr>
        <w:t xml:space="preserve">analyzed in this study. </w:t>
      </w:r>
    </w:p>
    <w:bookmarkEnd w:id="38"/>
    <w:p w14:paraId="71EF5F78" w14:textId="77777777" w:rsidR="001A7BFF" w:rsidRPr="00D70D43" w:rsidRDefault="001A7BFF" w:rsidP="001A7BFF">
      <w:pPr>
        <w:spacing w:after="0" w:line="360" w:lineRule="auto"/>
        <w:rPr>
          <w:rFonts w:ascii="Times New Roman" w:eastAsia="Times New Roman" w:hAnsi="Times New Roman" w:cs="Times New Roman"/>
          <w:sz w:val="24"/>
          <w:szCs w:val="24"/>
        </w:rPr>
      </w:pPr>
    </w:p>
    <w:p w14:paraId="072E8398" w14:textId="751908CE" w:rsidR="001A7BFF" w:rsidRDefault="001A7BFF" w:rsidP="001A7BFF">
      <w:pPr>
        <w:spacing w:after="0" w:line="360" w:lineRule="auto"/>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The humans from Taforalt have elevated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values (0.78 ± 0.07‰, n= 21) that are close to that of the herbivores from the same site. The offset between the humans and the herbivores is 0.36 ‰. </w:t>
      </w:r>
    </w:p>
    <w:p w14:paraId="5C73B042" w14:textId="77777777" w:rsidR="006A3D2A" w:rsidRPr="00D70D43" w:rsidRDefault="006A3D2A" w:rsidP="001A7BFF">
      <w:pPr>
        <w:spacing w:after="0" w:line="360" w:lineRule="auto"/>
        <w:rPr>
          <w:rFonts w:ascii="Times New Roman" w:eastAsia="Times New Roman" w:hAnsi="Times New Roman" w:cs="Times New Roman"/>
          <w:sz w:val="24"/>
          <w:szCs w:val="24"/>
        </w:rPr>
      </w:pPr>
    </w:p>
    <w:p w14:paraId="0AD72A06" w14:textId="7D928611" w:rsidR="001F46F3" w:rsidRPr="0064579A" w:rsidRDefault="001F46F3" w:rsidP="001F46F3">
      <w:pPr>
        <w:rPr>
          <w:rFonts w:ascii="Times New Roman" w:hAnsi="Times New Roman" w:cs="Times New Roman"/>
          <w:b/>
          <w:szCs w:val="24"/>
        </w:rPr>
      </w:pPr>
      <w:bookmarkStart w:id="39" w:name="_Hlk137040164"/>
      <w:r w:rsidRPr="0064579A">
        <w:rPr>
          <w:rFonts w:ascii="Times New Roman" w:hAnsi="Times New Roman" w:cs="Times New Roman"/>
          <w:b/>
          <w:szCs w:val="24"/>
        </w:rPr>
        <w:t>4.</w:t>
      </w:r>
      <w:r w:rsidR="00D704CD">
        <w:rPr>
          <w:rFonts w:ascii="Times New Roman" w:hAnsi="Times New Roman" w:cs="Times New Roman"/>
          <w:b/>
          <w:szCs w:val="24"/>
        </w:rPr>
        <w:t>3</w:t>
      </w:r>
      <w:r w:rsidRPr="0064579A">
        <w:rPr>
          <w:rFonts w:ascii="Times New Roman" w:hAnsi="Times New Roman" w:cs="Times New Roman"/>
          <w:b/>
          <w:szCs w:val="24"/>
        </w:rPr>
        <w:t xml:space="preserve">.2. The zinc isotopic variations </w:t>
      </w:r>
      <w:r w:rsidR="00A73828" w:rsidRPr="0064579A">
        <w:rPr>
          <w:rFonts w:ascii="Times New Roman" w:hAnsi="Times New Roman" w:cs="Times New Roman"/>
          <w:b/>
          <w:szCs w:val="24"/>
        </w:rPr>
        <w:t xml:space="preserve">among </w:t>
      </w:r>
      <w:r w:rsidRPr="0064579A">
        <w:rPr>
          <w:rFonts w:ascii="Times New Roman" w:hAnsi="Times New Roman" w:cs="Times New Roman"/>
          <w:b/>
          <w:szCs w:val="24"/>
        </w:rPr>
        <w:t>human individuals</w:t>
      </w:r>
    </w:p>
    <w:bookmarkEnd w:id="39"/>
    <w:p w14:paraId="74C40FEA" w14:textId="77777777" w:rsidR="001A7BFF" w:rsidRPr="00A05E4F" w:rsidRDefault="001A7BFF" w:rsidP="00312D4F">
      <w:pPr>
        <w:spacing w:line="360" w:lineRule="auto"/>
        <w:ind w:firstLine="720"/>
        <w:jc w:val="both"/>
        <w:rPr>
          <w:rFonts w:ascii="Times New Roman" w:hAnsi="Times New Roman" w:cs="Times New Roman"/>
          <w:sz w:val="24"/>
          <w:szCs w:val="24"/>
        </w:rPr>
      </w:pPr>
      <w:r w:rsidRPr="00A05E4F">
        <w:rPr>
          <w:rFonts w:ascii="Times New Roman" w:hAnsi="Times New Roman" w:cs="Times New Roman"/>
          <w:sz w:val="24"/>
          <w:szCs w:val="24"/>
        </w:rPr>
        <w:t xml:space="preserve">The zinc isotopic values do not vary significantly among the analyzed individuals if we consider the average value of each individual (Kruskal-Wallis chi-squared = 5, df = 5, p-value = 0.4159). </w:t>
      </w:r>
    </w:p>
    <w:p w14:paraId="6E8A350D" w14:textId="4E6BC0C1" w:rsidR="004710D6" w:rsidRDefault="001A7BFF" w:rsidP="00312D4F">
      <w:pPr>
        <w:spacing w:line="360" w:lineRule="auto"/>
        <w:jc w:val="both"/>
        <w:rPr>
          <w:rFonts w:ascii="Times New Roman" w:hAnsi="Times New Roman" w:cs="Times New Roman"/>
          <w:sz w:val="24"/>
          <w:szCs w:val="24"/>
        </w:rPr>
      </w:pPr>
      <w:r w:rsidRPr="00A05E4F">
        <w:rPr>
          <w:rFonts w:ascii="Times New Roman" w:hAnsi="Times New Roman" w:cs="Times New Roman"/>
          <w:sz w:val="24"/>
          <w:szCs w:val="24"/>
        </w:rPr>
        <w:lastRenderedPageBreak/>
        <w:t xml:space="preserve">No sex-related distinction could be observed from Taforalt. The Zn isotopic values show no significant relationship to the </w:t>
      </w:r>
      <w:r w:rsidR="001F19F7" w:rsidRPr="00A05E4F">
        <w:rPr>
          <w:rFonts w:ascii="Times New Roman" w:hAnsi="Times New Roman" w:cs="Times New Roman"/>
          <w:sz w:val="24"/>
          <w:szCs w:val="24"/>
        </w:rPr>
        <w:t>sex</w:t>
      </w:r>
      <w:r w:rsidRPr="00A05E4F">
        <w:rPr>
          <w:rFonts w:ascii="Times New Roman" w:hAnsi="Times New Roman" w:cs="Times New Roman"/>
          <w:sz w:val="24"/>
          <w:szCs w:val="24"/>
        </w:rPr>
        <w:t xml:space="preserve"> of the adult individuals (Kruskal-Wallis chi-squared = 2.0061, df = 2, p-value = 0.3668</w:t>
      </w:r>
      <w:r w:rsidR="00312D4F" w:rsidRPr="00A05E4F">
        <w:rPr>
          <w:rFonts w:ascii="Times New Roman" w:hAnsi="Times New Roman" w:cs="Times New Roman"/>
          <w:sz w:val="24"/>
          <w:szCs w:val="24"/>
        </w:rPr>
        <w:t>, Figure S4.6</w:t>
      </w:r>
      <w:r w:rsidRPr="00A05E4F">
        <w:rPr>
          <w:rFonts w:ascii="Times New Roman" w:hAnsi="Times New Roman" w:cs="Times New Roman"/>
          <w:sz w:val="24"/>
          <w:szCs w:val="24"/>
        </w:rPr>
        <w:t xml:space="preserve">). The same thing applies to nitrogen isotopic values (Kruskal-Wallis chi-squared = </w:t>
      </w:r>
      <w:proofErr w:type="gramStart"/>
      <w:r w:rsidR="004710D6" w:rsidRPr="00A05E4F">
        <w:rPr>
          <w:rFonts w:ascii="Times New Roman" w:hAnsi="Times New Roman" w:cs="Times New Roman"/>
          <w:sz w:val="24"/>
          <w:szCs w:val="24"/>
        </w:rPr>
        <w:t>0.32468</w:t>
      </w:r>
      <w:r w:rsidR="004710D6" w:rsidRPr="00A05E4F" w:rsidDel="004710D6">
        <w:rPr>
          <w:rFonts w:ascii="Times New Roman" w:hAnsi="Times New Roman" w:cs="Times New Roman"/>
          <w:sz w:val="24"/>
          <w:szCs w:val="24"/>
        </w:rPr>
        <w:t xml:space="preserve"> </w:t>
      </w:r>
      <w:r w:rsidRPr="00A05E4F">
        <w:rPr>
          <w:rFonts w:ascii="Times New Roman" w:hAnsi="Times New Roman" w:cs="Times New Roman"/>
          <w:sz w:val="24"/>
          <w:szCs w:val="24"/>
        </w:rPr>
        <w:t>,</w:t>
      </w:r>
      <w:proofErr w:type="gramEnd"/>
      <w:r w:rsidRPr="00A05E4F">
        <w:rPr>
          <w:rFonts w:ascii="Times New Roman" w:hAnsi="Times New Roman" w:cs="Times New Roman"/>
          <w:sz w:val="24"/>
          <w:szCs w:val="24"/>
        </w:rPr>
        <w:t xml:space="preserve"> df = 2, p-value = </w:t>
      </w:r>
      <w:r w:rsidR="004710D6" w:rsidRPr="00A05E4F">
        <w:rPr>
          <w:rFonts w:ascii="Times New Roman" w:hAnsi="Times New Roman" w:cs="Times New Roman"/>
          <w:sz w:val="24"/>
          <w:szCs w:val="24"/>
        </w:rPr>
        <w:t>0.5688</w:t>
      </w:r>
      <w:r w:rsidR="00312D4F" w:rsidRPr="00A05E4F">
        <w:rPr>
          <w:rFonts w:ascii="Times New Roman" w:hAnsi="Times New Roman" w:cs="Times New Roman"/>
          <w:sz w:val="24"/>
          <w:szCs w:val="24"/>
        </w:rPr>
        <w:t>, Figure S4.7</w:t>
      </w:r>
      <w:r w:rsidRPr="00A05E4F">
        <w:rPr>
          <w:rFonts w:ascii="Times New Roman" w:hAnsi="Times New Roman" w:cs="Times New Roman"/>
          <w:sz w:val="24"/>
          <w:szCs w:val="24"/>
        </w:rPr>
        <w:t>). However, the sample size is too small to generalize for the entire population.</w:t>
      </w:r>
    </w:p>
    <w:p w14:paraId="4C3002B4" w14:textId="77777777" w:rsidR="00D30D4A" w:rsidRPr="003C7995" w:rsidRDefault="00D30D4A" w:rsidP="00D30D4A">
      <w:pPr>
        <w:spacing w:line="360" w:lineRule="auto"/>
        <w:rPr>
          <w:rFonts w:ascii="Times New Roman" w:hAnsi="Times New Roman" w:cs="Times New Roman"/>
          <w:szCs w:val="24"/>
        </w:rPr>
      </w:pPr>
    </w:p>
    <w:p w14:paraId="68E493BF" w14:textId="77777777" w:rsidR="00D30D4A" w:rsidRPr="0064579A" w:rsidRDefault="00D30D4A" w:rsidP="00D30D4A">
      <w:pPr>
        <w:spacing w:line="360" w:lineRule="auto"/>
        <w:rPr>
          <w:rFonts w:ascii="Times New Roman" w:hAnsi="Times New Roman" w:cs="Times New Roman"/>
          <w:sz w:val="24"/>
          <w:szCs w:val="24"/>
        </w:rPr>
      </w:pPr>
      <w:bookmarkStart w:id="40" w:name="_Hlk137040189"/>
      <w:r w:rsidRPr="0064579A">
        <w:rPr>
          <w:rFonts w:ascii="Times New Roman" w:hAnsi="Times New Roman" w:cs="Times New Roman"/>
          <w:b/>
          <w:sz w:val="24"/>
          <w:szCs w:val="24"/>
        </w:rPr>
        <w:t>Table S 4.5:</w:t>
      </w:r>
      <w:r w:rsidRPr="0064579A">
        <w:rPr>
          <w:rFonts w:ascii="Times New Roman" w:hAnsi="Times New Roman" w:cs="Times New Roman"/>
          <w:sz w:val="24"/>
          <w:szCs w:val="24"/>
        </w:rPr>
        <w:t xml:space="preserve"> Chi-squared and p-value of Kruskal Wallis tests comparing Zn and N isotope ratios with the gender of the human samples from Taforalt</w:t>
      </w:r>
    </w:p>
    <w:bookmarkEnd w:id="40"/>
    <w:p w14:paraId="20A38C74" w14:textId="560D10B9" w:rsidR="001A7BFF" w:rsidRDefault="001A7BFF" w:rsidP="0064579A">
      <w:pPr>
        <w:spacing w:line="360" w:lineRule="auto"/>
        <w:jc w:val="center"/>
        <w:rPr>
          <w:rFonts w:ascii="Times New Roman" w:hAnsi="Times New Roman" w:cs="Times New Roman"/>
          <w:sz w:val="24"/>
          <w:szCs w:val="24"/>
        </w:rPr>
      </w:pPr>
    </w:p>
    <w:tbl>
      <w:tblPr>
        <w:tblW w:w="5670" w:type="dxa"/>
        <w:jc w:val="center"/>
        <w:tblLook w:val="04A0" w:firstRow="1" w:lastRow="0" w:firstColumn="1" w:lastColumn="0" w:noHBand="0" w:noVBand="1"/>
      </w:tblPr>
      <w:tblGrid>
        <w:gridCol w:w="1820"/>
        <w:gridCol w:w="1200"/>
        <w:gridCol w:w="1200"/>
        <w:gridCol w:w="1450"/>
      </w:tblGrid>
      <w:tr w:rsidR="004710D6" w:rsidRPr="004710D6" w14:paraId="741C2785" w14:textId="77777777" w:rsidTr="0064579A">
        <w:trPr>
          <w:trHeight w:val="300"/>
          <w:jc w:val="center"/>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A34DD1" w14:textId="77777777" w:rsidR="004710D6" w:rsidRPr="004710D6" w:rsidRDefault="004710D6" w:rsidP="0056199B">
            <w:pPr>
              <w:spacing w:after="0" w:line="240" w:lineRule="auto"/>
              <w:jc w:val="center"/>
              <w:rPr>
                <w:rFonts w:eastAsia="Times New Roman"/>
                <w:b/>
                <w:bCs/>
                <w:color w:val="000000"/>
                <w:lang w:eastAsia="en-US"/>
              </w:rPr>
            </w:pPr>
            <w:r w:rsidRPr="004710D6">
              <w:rPr>
                <w:rFonts w:eastAsia="Times New Roman"/>
                <w:b/>
                <w:bCs/>
                <w:color w:val="000000"/>
                <w:lang w:eastAsia="en-US"/>
              </w:rPr>
              <w:t>No age considered</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7FED43EE"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chi-squared</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4C540F13"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p value</w:t>
            </w:r>
          </w:p>
        </w:tc>
        <w:tc>
          <w:tcPr>
            <w:tcW w:w="1450" w:type="dxa"/>
            <w:tcBorders>
              <w:top w:val="single" w:sz="4" w:space="0" w:color="auto"/>
              <w:left w:val="nil"/>
              <w:bottom w:val="single" w:sz="4" w:space="0" w:color="auto"/>
              <w:right w:val="single" w:sz="4" w:space="0" w:color="auto"/>
            </w:tcBorders>
            <w:shd w:val="clear" w:color="auto" w:fill="auto"/>
            <w:noWrap/>
            <w:vAlign w:val="bottom"/>
            <w:hideMark/>
          </w:tcPr>
          <w:p w14:paraId="4FD3316E"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p-value&lt;0.05</w:t>
            </w:r>
          </w:p>
        </w:tc>
      </w:tr>
      <w:tr w:rsidR="004710D6" w:rsidRPr="004710D6" w14:paraId="7C09E9FC" w14:textId="77777777" w:rsidTr="0064579A">
        <w:trPr>
          <w:trHeight w:val="300"/>
          <w:jc w:val="center"/>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7724FBFE" w14:textId="71CE6B43" w:rsidR="004710D6" w:rsidRPr="004710D6" w:rsidRDefault="004D0B64" w:rsidP="0056199B">
            <w:pPr>
              <w:spacing w:after="0" w:line="240" w:lineRule="auto"/>
              <w:jc w:val="center"/>
              <w:rPr>
                <w:rFonts w:eastAsia="Times New Roman"/>
                <w:color w:val="000000"/>
                <w:lang w:eastAsia="en-US"/>
              </w:rPr>
            </w:pPr>
            <w:r>
              <w:rPr>
                <w:rFonts w:eastAsia="Times New Roman"/>
                <w:color w:val="000000"/>
                <w:lang w:eastAsia="en-US"/>
              </w:rPr>
              <w:t>Biological sex</w:t>
            </w:r>
            <w:r w:rsidR="004710D6" w:rsidRPr="004710D6">
              <w:rPr>
                <w:rFonts w:eastAsia="Times New Roman"/>
                <w:color w:val="000000"/>
                <w:lang w:eastAsia="en-US"/>
              </w:rPr>
              <w:t xml:space="preserve"> (Zn)</w:t>
            </w:r>
          </w:p>
        </w:tc>
        <w:tc>
          <w:tcPr>
            <w:tcW w:w="1200" w:type="dxa"/>
            <w:tcBorders>
              <w:top w:val="nil"/>
              <w:left w:val="nil"/>
              <w:bottom w:val="single" w:sz="4" w:space="0" w:color="auto"/>
              <w:right w:val="single" w:sz="4" w:space="0" w:color="auto"/>
            </w:tcBorders>
            <w:shd w:val="clear" w:color="auto" w:fill="auto"/>
            <w:noWrap/>
            <w:vAlign w:val="bottom"/>
            <w:hideMark/>
          </w:tcPr>
          <w:p w14:paraId="60E44804"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2.6549</w:t>
            </w:r>
          </w:p>
        </w:tc>
        <w:tc>
          <w:tcPr>
            <w:tcW w:w="1200" w:type="dxa"/>
            <w:tcBorders>
              <w:top w:val="nil"/>
              <w:left w:val="nil"/>
              <w:bottom w:val="single" w:sz="4" w:space="0" w:color="auto"/>
              <w:right w:val="single" w:sz="4" w:space="0" w:color="auto"/>
            </w:tcBorders>
            <w:shd w:val="clear" w:color="auto" w:fill="auto"/>
            <w:noWrap/>
            <w:vAlign w:val="bottom"/>
            <w:hideMark/>
          </w:tcPr>
          <w:p w14:paraId="30ABAE53"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0.2652</w:t>
            </w:r>
          </w:p>
        </w:tc>
        <w:tc>
          <w:tcPr>
            <w:tcW w:w="1450" w:type="dxa"/>
            <w:tcBorders>
              <w:top w:val="nil"/>
              <w:left w:val="nil"/>
              <w:bottom w:val="single" w:sz="4" w:space="0" w:color="auto"/>
              <w:right w:val="single" w:sz="4" w:space="0" w:color="auto"/>
            </w:tcBorders>
            <w:shd w:val="clear" w:color="auto" w:fill="auto"/>
            <w:noWrap/>
            <w:vAlign w:val="bottom"/>
            <w:hideMark/>
          </w:tcPr>
          <w:p w14:paraId="454B7D12"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No</w:t>
            </w:r>
          </w:p>
        </w:tc>
      </w:tr>
      <w:tr w:rsidR="004710D6" w:rsidRPr="004710D6" w14:paraId="7596426E" w14:textId="77777777" w:rsidTr="0064579A">
        <w:trPr>
          <w:trHeight w:val="300"/>
          <w:jc w:val="center"/>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23626F92" w14:textId="2D5D63CE" w:rsidR="004710D6" w:rsidRPr="004710D6" w:rsidRDefault="004D0B64" w:rsidP="0056199B">
            <w:pPr>
              <w:spacing w:after="0" w:line="240" w:lineRule="auto"/>
              <w:jc w:val="center"/>
              <w:rPr>
                <w:rFonts w:eastAsia="Times New Roman"/>
                <w:color w:val="000000"/>
                <w:lang w:eastAsia="en-US"/>
              </w:rPr>
            </w:pPr>
            <w:r>
              <w:rPr>
                <w:rFonts w:eastAsia="Times New Roman"/>
                <w:color w:val="000000"/>
                <w:lang w:eastAsia="en-US"/>
              </w:rPr>
              <w:t>Biological sex</w:t>
            </w:r>
            <w:r w:rsidR="004710D6" w:rsidRPr="004710D6">
              <w:rPr>
                <w:rFonts w:eastAsia="Times New Roman"/>
                <w:color w:val="000000"/>
                <w:lang w:eastAsia="en-US"/>
              </w:rPr>
              <w:t xml:space="preserve"> (N)</w:t>
            </w:r>
          </w:p>
        </w:tc>
        <w:tc>
          <w:tcPr>
            <w:tcW w:w="1200" w:type="dxa"/>
            <w:tcBorders>
              <w:top w:val="nil"/>
              <w:left w:val="nil"/>
              <w:bottom w:val="single" w:sz="4" w:space="0" w:color="auto"/>
              <w:right w:val="single" w:sz="4" w:space="0" w:color="auto"/>
            </w:tcBorders>
            <w:shd w:val="clear" w:color="auto" w:fill="auto"/>
            <w:noWrap/>
            <w:vAlign w:val="bottom"/>
            <w:hideMark/>
          </w:tcPr>
          <w:p w14:paraId="125EF3CE"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0.1343</w:t>
            </w:r>
          </w:p>
        </w:tc>
        <w:tc>
          <w:tcPr>
            <w:tcW w:w="1200" w:type="dxa"/>
            <w:tcBorders>
              <w:top w:val="nil"/>
              <w:left w:val="nil"/>
              <w:bottom w:val="single" w:sz="4" w:space="0" w:color="auto"/>
              <w:right w:val="single" w:sz="4" w:space="0" w:color="auto"/>
            </w:tcBorders>
            <w:shd w:val="clear" w:color="auto" w:fill="auto"/>
            <w:noWrap/>
            <w:vAlign w:val="bottom"/>
            <w:hideMark/>
          </w:tcPr>
          <w:p w14:paraId="5FBBEF6A"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0.9350</w:t>
            </w:r>
          </w:p>
        </w:tc>
        <w:tc>
          <w:tcPr>
            <w:tcW w:w="1450" w:type="dxa"/>
            <w:tcBorders>
              <w:top w:val="nil"/>
              <w:left w:val="nil"/>
              <w:bottom w:val="single" w:sz="4" w:space="0" w:color="auto"/>
              <w:right w:val="single" w:sz="4" w:space="0" w:color="auto"/>
            </w:tcBorders>
            <w:shd w:val="clear" w:color="auto" w:fill="auto"/>
            <w:noWrap/>
            <w:vAlign w:val="bottom"/>
            <w:hideMark/>
          </w:tcPr>
          <w:p w14:paraId="47DC9D95"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No</w:t>
            </w:r>
          </w:p>
        </w:tc>
      </w:tr>
    </w:tbl>
    <w:p w14:paraId="78575833" w14:textId="13B8860D" w:rsidR="00746391" w:rsidRDefault="00746391" w:rsidP="0064579A">
      <w:pPr>
        <w:spacing w:line="360" w:lineRule="auto"/>
        <w:jc w:val="center"/>
        <w:rPr>
          <w:rFonts w:ascii="Times New Roman" w:hAnsi="Times New Roman" w:cs="Times New Roman"/>
          <w:sz w:val="24"/>
          <w:szCs w:val="24"/>
        </w:rPr>
      </w:pPr>
    </w:p>
    <w:tbl>
      <w:tblPr>
        <w:tblW w:w="5670" w:type="dxa"/>
        <w:jc w:val="center"/>
        <w:tblLook w:val="04A0" w:firstRow="1" w:lastRow="0" w:firstColumn="1" w:lastColumn="0" w:noHBand="0" w:noVBand="1"/>
      </w:tblPr>
      <w:tblGrid>
        <w:gridCol w:w="1820"/>
        <w:gridCol w:w="1200"/>
        <w:gridCol w:w="1200"/>
        <w:gridCol w:w="1450"/>
      </w:tblGrid>
      <w:tr w:rsidR="004710D6" w:rsidRPr="004710D6" w14:paraId="5DBEDD74" w14:textId="77777777" w:rsidTr="0064579A">
        <w:trPr>
          <w:trHeight w:val="300"/>
          <w:jc w:val="center"/>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C14BDA" w14:textId="77777777" w:rsidR="004710D6" w:rsidRPr="004710D6" w:rsidRDefault="004710D6" w:rsidP="0056199B">
            <w:pPr>
              <w:spacing w:after="0" w:line="240" w:lineRule="auto"/>
              <w:jc w:val="center"/>
              <w:rPr>
                <w:rFonts w:eastAsia="Times New Roman"/>
                <w:b/>
                <w:bCs/>
                <w:color w:val="000000"/>
                <w:lang w:eastAsia="en-US"/>
              </w:rPr>
            </w:pPr>
            <w:r w:rsidRPr="004710D6">
              <w:rPr>
                <w:rFonts w:eastAsia="Times New Roman"/>
                <w:b/>
                <w:bCs/>
                <w:color w:val="000000"/>
                <w:lang w:eastAsia="en-US"/>
              </w:rPr>
              <w:t>Infant</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3887C622"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chi-squared</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4BC8DB52"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p value</w:t>
            </w:r>
          </w:p>
        </w:tc>
        <w:tc>
          <w:tcPr>
            <w:tcW w:w="1450" w:type="dxa"/>
            <w:tcBorders>
              <w:top w:val="single" w:sz="4" w:space="0" w:color="auto"/>
              <w:left w:val="nil"/>
              <w:bottom w:val="single" w:sz="4" w:space="0" w:color="auto"/>
              <w:right w:val="single" w:sz="4" w:space="0" w:color="auto"/>
            </w:tcBorders>
            <w:shd w:val="clear" w:color="auto" w:fill="auto"/>
            <w:noWrap/>
            <w:vAlign w:val="bottom"/>
            <w:hideMark/>
          </w:tcPr>
          <w:p w14:paraId="7392B1E0"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p-value&lt;0.05</w:t>
            </w:r>
          </w:p>
        </w:tc>
      </w:tr>
      <w:tr w:rsidR="004710D6" w:rsidRPr="004710D6" w14:paraId="4DAB9C5B" w14:textId="77777777" w:rsidTr="0064579A">
        <w:trPr>
          <w:trHeight w:val="300"/>
          <w:jc w:val="center"/>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7E428760" w14:textId="7C23BBDA" w:rsidR="004710D6" w:rsidRPr="004710D6" w:rsidRDefault="004D0B64" w:rsidP="0056199B">
            <w:pPr>
              <w:spacing w:after="0" w:line="240" w:lineRule="auto"/>
              <w:jc w:val="center"/>
              <w:rPr>
                <w:rFonts w:eastAsia="Times New Roman"/>
                <w:color w:val="000000"/>
                <w:lang w:eastAsia="en-US"/>
              </w:rPr>
            </w:pPr>
            <w:r>
              <w:rPr>
                <w:rFonts w:eastAsia="Times New Roman"/>
                <w:color w:val="000000"/>
                <w:lang w:eastAsia="en-US"/>
              </w:rPr>
              <w:t>Biological sex</w:t>
            </w:r>
            <w:r w:rsidR="004710D6" w:rsidRPr="004710D6">
              <w:rPr>
                <w:rFonts w:eastAsia="Times New Roman"/>
                <w:color w:val="000000"/>
                <w:lang w:eastAsia="en-US"/>
              </w:rPr>
              <w:t xml:space="preserve"> (Zn)</w:t>
            </w:r>
          </w:p>
        </w:tc>
        <w:tc>
          <w:tcPr>
            <w:tcW w:w="1200" w:type="dxa"/>
            <w:tcBorders>
              <w:top w:val="nil"/>
              <w:left w:val="nil"/>
              <w:bottom w:val="single" w:sz="4" w:space="0" w:color="auto"/>
              <w:right w:val="single" w:sz="4" w:space="0" w:color="auto"/>
            </w:tcBorders>
            <w:shd w:val="clear" w:color="auto" w:fill="auto"/>
            <w:noWrap/>
            <w:vAlign w:val="bottom"/>
            <w:hideMark/>
          </w:tcPr>
          <w:p w14:paraId="59505EB7"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0.0000</w:t>
            </w:r>
          </w:p>
        </w:tc>
        <w:tc>
          <w:tcPr>
            <w:tcW w:w="1200" w:type="dxa"/>
            <w:tcBorders>
              <w:top w:val="nil"/>
              <w:left w:val="nil"/>
              <w:bottom w:val="single" w:sz="4" w:space="0" w:color="auto"/>
              <w:right w:val="single" w:sz="4" w:space="0" w:color="auto"/>
            </w:tcBorders>
            <w:shd w:val="clear" w:color="auto" w:fill="auto"/>
            <w:noWrap/>
            <w:vAlign w:val="bottom"/>
            <w:hideMark/>
          </w:tcPr>
          <w:p w14:paraId="7B4E8199"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1.0000</w:t>
            </w:r>
          </w:p>
        </w:tc>
        <w:tc>
          <w:tcPr>
            <w:tcW w:w="1450" w:type="dxa"/>
            <w:tcBorders>
              <w:top w:val="nil"/>
              <w:left w:val="nil"/>
              <w:bottom w:val="single" w:sz="4" w:space="0" w:color="auto"/>
              <w:right w:val="single" w:sz="4" w:space="0" w:color="auto"/>
            </w:tcBorders>
            <w:shd w:val="clear" w:color="auto" w:fill="auto"/>
            <w:noWrap/>
            <w:vAlign w:val="bottom"/>
            <w:hideMark/>
          </w:tcPr>
          <w:p w14:paraId="0DCEB2BC"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No</w:t>
            </w:r>
          </w:p>
        </w:tc>
      </w:tr>
      <w:tr w:rsidR="004710D6" w:rsidRPr="004710D6" w14:paraId="4BFCBA1B" w14:textId="77777777" w:rsidTr="0064579A">
        <w:trPr>
          <w:trHeight w:val="300"/>
          <w:jc w:val="center"/>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4B9A2287" w14:textId="3DA74A4D" w:rsidR="004710D6" w:rsidRPr="004710D6" w:rsidRDefault="004D0B64" w:rsidP="0056199B">
            <w:pPr>
              <w:spacing w:after="0" w:line="240" w:lineRule="auto"/>
              <w:jc w:val="center"/>
              <w:rPr>
                <w:rFonts w:eastAsia="Times New Roman"/>
                <w:color w:val="000000"/>
                <w:lang w:eastAsia="en-US"/>
              </w:rPr>
            </w:pPr>
            <w:r>
              <w:rPr>
                <w:rFonts w:eastAsia="Times New Roman"/>
                <w:color w:val="000000"/>
                <w:lang w:eastAsia="en-US"/>
              </w:rPr>
              <w:t>Biological sex</w:t>
            </w:r>
            <w:r w:rsidR="004710D6" w:rsidRPr="004710D6">
              <w:rPr>
                <w:rFonts w:eastAsia="Times New Roman"/>
                <w:color w:val="000000"/>
                <w:lang w:eastAsia="en-US"/>
              </w:rPr>
              <w:t xml:space="preserve"> (N)</w:t>
            </w:r>
          </w:p>
        </w:tc>
        <w:tc>
          <w:tcPr>
            <w:tcW w:w="1200" w:type="dxa"/>
            <w:tcBorders>
              <w:top w:val="nil"/>
              <w:left w:val="nil"/>
              <w:bottom w:val="single" w:sz="4" w:space="0" w:color="auto"/>
              <w:right w:val="single" w:sz="4" w:space="0" w:color="auto"/>
            </w:tcBorders>
            <w:shd w:val="clear" w:color="auto" w:fill="auto"/>
            <w:noWrap/>
            <w:vAlign w:val="bottom"/>
            <w:hideMark/>
          </w:tcPr>
          <w:p w14:paraId="732B7C37"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0.2143</w:t>
            </w:r>
          </w:p>
        </w:tc>
        <w:tc>
          <w:tcPr>
            <w:tcW w:w="1200" w:type="dxa"/>
            <w:tcBorders>
              <w:top w:val="nil"/>
              <w:left w:val="nil"/>
              <w:bottom w:val="single" w:sz="4" w:space="0" w:color="auto"/>
              <w:right w:val="single" w:sz="4" w:space="0" w:color="auto"/>
            </w:tcBorders>
            <w:shd w:val="clear" w:color="auto" w:fill="auto"/>
            <w:noWrap/>
            <w:vAlign w:val="bottom"/>
            <w:hideMark/>
          </w:tcPr>
          <w:p w14:paraId="66494EC0"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0.6434</w:t>
            </w:r>
          </w:p>
        </w:tc>
        <w:tc>
          <w:tcPr>
            <w:tcW w:w="1450" w:type="dxa"/>
            <w:tcBorders>
              <w:top w:val="nil"/>
              <w:left w:val="nil"/>
              <w:bottom w:val="single" w:sz="4" w:space="0" w:color="auto"/>
              <w:right w:val="single" w:sz="4" w:space="0" w:color="auto"/>
            </w:tcBorders>
            <w:shd w:val="clear" w:color="auto" w:fill="auto"/>
            <w:noWrap/>
            <w:vAlign w:val="bottom"/>
            <w:hideMark/>
          </w:tcPr>
          <w:p w14:paraId="255F16DC"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No</w:t>
            </w:r>
          </w:p>
        </w:tc>
      </w:tr>
    </w:tbl>
    <w:p w14:paraId="28FB55C6" w14:textId="397C82E3" w:rsidR="004710D6" w:rsidRDefault="004710D6" w:rsidP="0064579A">
      <w:pPr>
        <w:spacing w:line="360" w:lineRule="auto"/>
        <w:jc w:val="center"/>
        <w:rPr>
          <w:rFonts w:ascii="Times New Roman" w:hAnsi="Times New Roman" w:cs="Times New Roman"/>
          <w:sz w:val="24"/>
          <w:szCs w:val="24"/>
        </w:rPr>
      </w:pPr>
    </w:p>
    <w:tbl>
      <w:tblPr>
        <w:tblW w:w="5670" w:type="dxa"/>
        <w:jc w:val="center"/>
        <w:tblLook w:val="04A0" w:firstRow="1" w:lastRow="0" w:firstColumn="1" w:lastColumn="0" w:noHBand="0" w:noVBand="1"/>
      </w:tblPr>
      <w:tblGrid>
        <w:gridCol w:w="1820"/>
        <w:gridCol w:w="1200"/>
        <w:gridCol w:w="1200"/>
        <w:gridCol w:w="1450"/>
      </w:tblGrid>
      <w:tr w:rsidR="004710D6" w:rsidRPr="004710D6" w14:paraId="7A89B384" w14:textId="77777777" w:rsidTr="0064579A">
        <w:trPr>
          <w:trHeight w:val="300"/>
          <w:jc w:val="center"/>
        </w:trPr>
        <w:tc>
          <w:tcPr>
            <w:tcW w:w="1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30DB2E" w14:textId="77777777" w:rsidR="004710D6" w:rsidRPr="004710D6" w:rsidRDefault="004710D6" w:rsidP="0056199B">
            <w:pPr>
              <w:spacing w:after="0" w:line="240" w:lineRule="auto"/>
              <w:jc w:val="center"/>
              <w:rPr>
                <w:rFonts w:eastAsia="Times New Roman"/>
                <w:b/>
                <w:bCs/>
                <w:color w:val="000000"/>
                <w:lang w:eastAsia="en-US"/>
              </w:rPr>
            </w:pPr>
            <w:r w:rsidRPr="004710D6">
              <w:rPr>
                <w:rFonts w:eastAsia="Times New Roman"/>
                <w:b/>
                <w:bCs/>
                <w:color w:val="000000"/>
                <w:lang w:eastAsia="en-US"/>
              </w:rPr>
              <w:t>Adult</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01552A56"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chi-squared</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3B45E8AE"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p value</w:t>
            </w:r>
          </w:p>
        </w:tc>
        <w:tc>
          <w:tcPr>
            <w:tcW w:w="1450" w:type="dxa"/>
            <w:tcBorders>
              <w:top w:val="single" w:sz="4" w:space="0" w:color="auto"/>
              <w:left w:val="nil"/>
              <w:bottom w:val="single" w:sz="4" w:space="0" w:color="auto"/>
              <w:right w:val="single" w:sz="4" w:space="0" w:color="auto"/>
            </w:tcBorders>
            <w:shd w:val="clear" w:color="auto" w:fill="auto"/>
            <w:noWrap/>
            <w:vAlign w:val="bottom"/>
            <w:hideMark/>
          </w:tcPr>
          <w:p w14:paraId="03FC20F9" w14:textId="77777777" w:rsidR="004710D6" w:rsidRPr="004710D6" w:rsidRDefault="004710D6">
            <w:pPr>
              <w:spacing w:after="0" w:line="240" w:lineRule="auto"/>
              <w:jc w:val="center"/>
              <w:rPr>
                <w:rFonts w:eastAsia="Times New Roman"/>
                <w:b/>
                <w:bCs/>
                <w:color w:val="000000"/>
                <w:lang w:eastAsia="en-US"/>
              </w:rPr>
            </w:pPr>
            <w:r w:rsidRPr="004710D6">
              <w:rPr>
                <w:rFonts w:eastAsia="Times New Roman"/>
                <w:b/>
                <w:bCs/>
                <w:color w:val="000000"/>
                <w:lang w:eastAsia="en-US"/>
              </w:rPr>
              <w:t>p-value&lt;0.05</w:t>
            </w:r>
          </w:p>
        </w:tc>
      </w:tr>
      <w:tr w:rsidR="004710D6" w:rsidRPr="004710D6" w14:paraId="584D3A36" w14:textId="77777777" w:rsidTr="0064579A">
        <w:trPr>
          <w:trHeight w:val="300"/>
          <w:jc w:val="center"/>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0FB8BE99" w14:textId="5484F0A5" w:rsidR="004710D6" w:rsidRPr="004710D6" w:rsidRDefault="004D0B64" w:rsidP="0056199B">
            <w:pPr>
              <w:spacing w:after="0" w:line="240" w:lineRule="auto"/>
              <w:jc w:val="center"/>
              <w:rPr>
                <w:rFonts w:eastAsia="Times New Roman"/>
                <w:color w:val="000000"/>
                <w:lang w:eastAsia="en-US"/>
              </w:rPr>
            </w:pPr>
            <w:r>
              <w:rPr>
                <w:rFonts w:eastAsia="Times New Roman"/>
                <w:color w:val="000000"/>
                <w:lang w:eastAsia="en-US"/>
              </w:rPr>
              <w:t>Biological sex</w:t>
            </w:r>
            <w:r w:rsidR="004710D6" w:rsidRPr="004710D6">
              <w:rPr>
                <w:rFonts w:eastAsia="Times New Roman"/>
                <w:color w:val="000000"/>
                <w:lang w:eastAsia="en-US"/>
              </w:rPr>
              <w:t xml:space="preserve"> (Zn)</w:t>
            </w:r>
          </w:p>
        </w:tc>
        <w:tc>
          <w:tcPr>
            <w:tcW w:w="1200" w:type="dxa"/>
            <w:tcBorders>
              <w:top w:val="nil"/>
              <w:left w:val="nil"/>
              <w:bottom w:val="single" w:sz="4" w:space="0" w:color="auto"/>
              <w:right w:val="single" w:sz="4" w:space="0" w:color="auto"/>
            </w:tcBorders>
            <w:shd w:val="clear" w:color="auto" w:fill="auto"/>
            <w:noWrap/>
            <w:vAlign w:val="bottom"/>
            <w:hideMark/>
          </w:tcPr>
          <w:p w14:paraId="3D74BFEF"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2.0061</w:t>
            </w:r>
          </w:p>
        </w:tc>
        <w:tc>
          <w:tcPr>
            <w:tcW w:w="1200" w:type="dxa"/>
            <w:tcBorders>
              <w:top w:val="nil"/>
              <w:left w:val="nil"/>
              <w:bottom w:val="single" w:sz="4" w:space="0" w:color="auto"/>
              <w:right w:val="single" w:sz="4" w:space="0" w:color="auto"/>
            </w:tcBorders>
            <w:shd w:val="clear" w:color="auto" w:fill="auto"/>
            <w:noWrap/>
            <w:vAlign w:val="bottom"/>
            <w:hideMark/>
          </w:tcPr>
          <w:p w14:paraId="42F4112F"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0.3668</w:t>
            </w:r>
          </w:p>
        </w:tc>
        <w:tc>
          <w:tcPr>
            <w:tcW w:w="1450" w:type="dxa"/>
            <w:tcBorders>
              <w:top w:val="nil"/>
              <w:left w:val="nil"/>
              <w:bottom w:val="single" w:sz="4" w:space="0" w:color="auto"/>
              <w:right w:val="single" w:sz="4" w:space="0" w:color="auto"/>
            </w:tcBorders>
            <w:shd w:val="clear" w:color="auto" w:fill="auto"/>
            <w:noWrap/>
            <w:vAlign w:val="bottom"/>
            <w:hideMark/>
          </w:tcPr>
          <w:p w14:paraId="28441E5A"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No</w:t>
            </w:r>
          </w:p>
        </w:tc>
      </w:tr>
      <w:tr w:rsidR="004710D6" w:rsidRPr="004710D6" w14:paraId="7F0D81BC" w14:textId="77777777" w:rsidTr="0064579A">
        <w:trPr>
          <w:trHeight w:val="300"/>
          <w:jc w:val="center"/>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25BF0974" w14:textId="04341921" w:rsidR="004710D6" w:rsidRPr="004710D6" w:rsidRDefault="004D0B64" w:rsidP="0056199B">
            <w:pPr>
              <w:spacing w:after="0" w:line="240" w:lineRule="auto"/>
              <w:jc w:val="center"/>
              <w:rPr>
                <w:rFonts w:eastAsia="Times New Roman"/>
                <w:color w:val="000000"/>
                <w:lang w:eastAsia="en-US"/>
              </w:rPr>
            </w:pPr>
            <w:r>
              <w:rPr>
                <w:rFonts w:eastAsia="Times New Roman"/>
                <w:color w:val="000000"/>
                <w:lang w:eastAsia="en-US"/>
              </w:rPr>
              <w:t>Biological sex</w:t>
            </w:r>
            <w:r w:rsidR="004710D6" w:rsidRPr="004710D6">
              <w:rPr>
                <w:rFonts w:eastAsia="Times New Roman"/>
                <w:color w:val="000000"/>
                <w:lang w:eastAsia="en-US"/>
              </w:rPr>
              <w:t xml:space="preserve"> (N)</w:t>
            </w:r>
          </w:p>
        </w:tc>
        <w:tc>
          <w:tcPr>
            <w:tcW w:w="1200" w:type="dxa"/>
            <w:tcBorders>
              <w:top w:val="nil"/>
              <w:left w:val="nil"/>
              <w:bottom w:val="single" w:sz="4" w:space="0" w:color="auto"/>
              <w:right w:val="single" w:sz="4" w:space="0" w:color="auto"/>
            </w:tcBorders>
            <w:shd w:val="clear" w:color="auto" w:fill="auto"/>
            <w:noWrap/>
            <w:vAlign w:val="bottom"/>
            <w:hideMark/>
          </w:tcPr>
          <w:p w14:paraId="2CDA66D5"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0.3247</w:t>
            </w:r>
          </w:p>
        </w:tc>
        <w:tc>
          <w:tcPr>
            <w:tcW w:w="1200" w:type="dxa"/>
            <w:tcBorders>
              <w:top w:val="nil"/>
              <w:left w:val="nil"/>
              <w:bottom w:val="single" w:sz="4" w:space="0" w:color="auto"/>
              <w:right w:val="single" w:sz="4" w:space="0" w:color="auto"/>
            </w:tcBorders>
            <w:shd w:val="clear" w:color="auto" w:fill="auto"/>
            <w:noWrap/>
            <w:vAlign w:val="bottom"/>
            <w:hideMark/>
          </w:tcPr>
          <w:p w14:paraId="51A7BBFD"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0.5688</w:t>
            </w:r>
          </w:p>
        </w:tc>
        <w:tc>
          <w:tcPr>
            <w:tcW w:w="1450" w:type="dxa"/>
            <w:tcBorders>
              <w:top w:val="nil"/>
              <w:left w:val="nil"/>
              <w:bottom w:val="single" w:sz="4" w:space="0" w:color="auto"/>
              <w:right w:val="single" w:sz="4" w:space="0" w:color="auto"/>
            </w:tcBorders>
            <w:shd w:val="clear" w:color="auto" w:fill="auto"/>
            <w:noWrap/>
            <w:vAlign w:val="bottom"/>
            <w:hideMark/>
          </w:tcPr>
          <w:p w14:paraId="2AE3C51C" w14:textId="77777777" w:rsidR="004710D6" w:rsidRPr="004710D6" w:rsidRDefault="004710D6">
            <w:pPr>
              <w:spacing w:after="0" w:line="240" w:lineRule="auto"/>
              <w:jc w:val="center"/>
              <w:rPr>
                <w:rFonts w:eastAsia="Times New Roman"/>
                <w:color w:val="000000"/>
                <w:lang w:eastAsia="en-US"/>
              </w:rPr>
            </w:pPr>
            <w:r w:rsidRPr="004710D6">
              <w:rPr>
                <w:rFonts w:eastAsia="Times New Roman"/>
                <w:color w:val="000000"/>
                <w:lang w:eastAsia="en-US"/>
              </w:rPr>
              <w:t>No</w:t>
            </w:r>
          </w:p>
        </w:tc>
      </w:tr>
    </w:tbl>
    <w:p w14:paraId="107DEB48" w14:textId="0EE9C679" w:rsidR="005E4441" w:rsidRPr="0064579A" w:rsidRDefault="004710D6" w:rsidP="00D30D4A">
      <w:pPr>
        <w:spacing w:line="360" w:lineRule="auto"/>
        <w:rPr>
          <w:rFonts w:ascii="Times New Roman" w:hAnsi="Times New Roman" w:cs="Times New Roman"/>
          <w:sz w:val="24"/>
          <w:szCs w:val="24"/>
        </w:rPr>
      </w:pPr>
      <w:r w:rsidRPr="003C7995">
        <w:rPr>
          <w:rFonts w:ascii="Times New Roman" w:hAnsi="Times New Roman" w:cs="Times New Roman"/>
          <w:szCs w:val="24"/>
        </w:rPr>
        <w:t xml:space="preserve"> </w:t>
      </w:r>
    </w:p>
    <w:p w14:paraId="3D500F23" w14:textId="716D6EF0" w:rsidR="001A7BFF" w:rsidRPr="00D70D43" w:rsidRDefault="002269D4" w:rsidP="001A7BFF">
      <w:pPr>
        <w:spacing w:line="360" w:lineRule="auto"/>
        <w:rPr>
          <w:rFonts w:ascii="Times New Roman" w:hAnsi="Times New Roman" w:cs="Times New Roman"/>
          <w:sz w:val="24"/>
          <w:szCs w:val="24"/>
          <w:highlight w:val="white"/>
        </w:rPr>
      </w:pPr>
      <w:r>
        <w:rPr>
          <w:rFonts w:ascii="Times New Roman" w:hAnsi="Times New Roman" w:cs="Times New Roman"/>
          <w:noProof/>
          <w:sz w:val="24"/>
          <w:szCs w:val="24"/>
        </w:rPr>
        <w:lastRenderedPageBreak/>
        <w:drawing>
          <wp:inline distT="0" distB="0" distL="0" distR="0" wp14:anchorId="0E45DB69" wp14:editId="4702D113">
            <wp:extent cx="6546599" cy="4812030"/>
            <wp:effectExtent l="0" t="0" r="6985" b="762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ggplot2save-figure-S4.6_3105.jpe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547963" cy="4813033"/>
                    </a:xfrm>
                    <a:prstGeom prst="rect">
                      <a:avLst/>
                    </a:prstGeom>
                  </pic:spPr>
                </pic:pic>
              </a:graphicData>
            </a:graphic>
          </wp:inline>
        </w:drawing>
      </w:r>
    </w:p>
    <w:p w14:paraId="2998A7C9" w14:textId="77777777" w:rsidR="00C51BB2" w:rsidRPr="00D70D43" w:rsidRDefault="001A7BFF" w:rsidP="00C51BB2">
      <w:pPr>
        <w:spacing w:after="0" w:line="360" w:lineRule="auto"/>
        <w:rPr>
          <w:rFonts w:ascii="Times New Roman" w:hAnsi="Times New Roman" w:cs="Times New Roman"/>
          <w:sz w:val="24"/>
          <w:szCs w:val="24"/>
        </w:rPr>
      </w:pPr>
      <w:bookmarkStart w:id="41" w:name="_Hlk137040205"/>
      <w:r w:rsidRPr="0064579A">
        <w:rPr>
          <w:rFonts w:ascii="Times New Roman" w:hAnsi="Times New Roman" w:cs="Times New Roman"/>
          <w:b/>
          <w:sz w:val="24"/>
          <w:szCs w:val="24"/>
        </w:rPr>
        <w:t xml:space="preserve">Figure </w:t>
      </w:r>
      <w:r w:rsidR="00312D4F" w:rsidRPr="0064579A">
        <w:rPr>
          <w:rFonts w:ascii="Times New Roman" w:hAnsi="Times New Roman" w:cs="Times New Roman"/>
          <w:b/>
          <w:sz w:val="24"/>
          <w:szCs w:val="24"/>
        </w:rPr>
        <w:t>S4.6</w:t>
      </w:r>
      <w:r w:rsidR="00E900D3" w:rsidRPr="00E900D3">
        <w:rPr>
          <w:rFonts w:ascii="Times New Roman" w:hAnsi="Times New Roman" w:cs="Times New Roman"/>
          <w:sz w:val="24"/>
          <w:szCs w:val="24"/>
        </w:rPr>
        <w:t xml:space="preserve"> </w:t>
      </w:r>
      <w:r w:rsidR="00E900D3">
        <w:rPr>
          <w:rFonts w:ascii="Times New Roman" w:hAnsi="Times New Roman" w:cs="Times New Roman"/>
          <w:sz w:val="24"/>
          <w:szCs w:val="24"/>
        </w:rPr>
        <w:t>B</w:t>
      </w:r>
      <w:r w:rsidR="00E900D3" w:rsidRPr="00D70D43">
        <w:rPr>
          <w:rFonts w:ascii="Times New Roman" w:hAnsi="Times New Roman" w:cs="Times New Roman"/>
          <w:sz w:val="24"/>
          <w:szCs w:val="24"/>
        </w:rPr>
        <w:t xml:space="preserve">oxplot of zinc isotopic ratios </w:t>
      </w:r>
      <w:r w:rsidR="00D86BD3">
        <w:rPr>
          <w:rFonts w:ascii="Times New Roman" w:hAnsi="Times New Roman" w:cs="Times New Roman"/>
          <w:sz w:val="24"/>
          <w:szCs w:val="24"/>
        </w:rPr>
        <w:t xml:space="preserve">obtained from deciduous and permanent teeth from </w:t>
      </w:r>
      <w:r w:rsidRPr="00D70D43">
        <w:rPr>
          <w:rFonts w:ascii="Times New Roman" w:hAnsi="Times New Roman" w:cs="Times New Roman"/>
          <w:sz w:val="24"/>
          <w:szCs w:val="24"/>
        </w:rPr>
        <w:t>male and female</w:t>
      </w:r>
      <w:r w:rsidR="00A570BC">
        <w:rPr>
          <w:rFonts w:ascii="Times New Roman" w:hAnsi="Times New Roman" w:cs="Times New Roman"/>
          <w:sz w:val="24"/>
          <w:szCs w:val="24"/>
        </w:rPr>
        <w:t xml:space="preserve"> samples</w:t>
      </w:r>
      <w:r w:rsidRPr="00D70D43">
        <w:rPr>
          <w:rFonts w:ascii="Times New Roman" w:hAnsi="Times New Roman" w:cs="Times New Roman"/>
          <w:sz w:val="24"/>
          <w:szCs w:val="24"/>
        </w:rPr>
        <w:t xml:space="preserve"> in Taforalt</w:t>
      </w:r>
      <w:r w:rsidR="00AC127D">
        <w:rPr>
          <w:rFonts w:ascii="Times New Roman" w:hAnsi="Times New Roman" w:cs="Times New Roman"/>
          <w:sz w:val="24"/>
          <w:szCs w:val="24"/>
        </w:rPr>
        <w:t>.</w:t>
      </w:r>
      <w:r w:rsidRPr="00D70D43">
        <w:rPr>
          <w:rFonts w:ascii="Times New Roman" w:hAnsi="Times New Roman" w:cs="Times New Roman"/>
          <w:sz w:val="24"/>
          <w:szCs w:val="24"/>
        </w:rPr>
        <w:t xml:space="preserve"> </w:t>
      </w:r>
      <w:r w:rsidR="00C51BB2">
        <w:rPr>
          <w:rFonts w:ascii="Times New Roman" w:hAnsi="Times New Roman" w:cs="Times New Roman"/>
          <w:sz w:val="24"/>
          <w:szCs w:val="24"/>
        </w:rPr>
        <w:t xml:space="preserve">Each point represents the average zinc value obtained from each tooth. </w:t>
      </w:r>
    </w:p>
    <w:bookmarkEnd w:id="41"/>
    <w:p w14:paraId="4361991E" w14:textId="69BE387A" w:rsidR="001A7BFF" w:rsidRPr="00D70D43" w:rsidRDefault="001A7BFF" w:rsidP="001A7BFF">
      <w:pPr>
        <w:spacing w:after="0" w:line="360" w:lineRule="auto"/>
        <w:rPr>
          <w:rFonts w:ascii="Times New Roman" w:hAnsi="Times New Roman" w:cs="Times New Roman"/>
          <w:sz w:val="24"/>
          <w:szCs w:val="24"/>
        </w:rPr>
      </w:pPr>
    </w:p>
    <w:p w14:paraId="123BE0DA" w14:textId="201011AD" w:rsidR="001A7BFF" w:rsidRPr="00D70D43" w:rsidRDefault="00482F4B" w:rsidP="001A7BFF">
      <w:pPr>
        <w:spacing w:line="360" w:lineRule="auto"/>
        <w:rPr>
          <w:rFonts w:ascii="Times New Roman" w:hAnsi="Times New Roman" w:cs="Times New Roman"/>
          <w:sz w:val="24"/>
          <w:szCs w:val="24"/>
          <w:highlight w:val="white"/>
        </w:rPr>
      </w:pPr>
      <w:r>
        <w:rPr>
          <w:rFonts w:ascii="Times New Roman" w:hAnsi="Times New Roman" w:cs="Times New Roman"/>
          <w:noProof/>
          <w:sz w:val="24"/>
          <w:szCs w:val="24"/>
        </w:rPr>
        <w:lastRenderedPageBreak/>
        <w:t xml:space="preserve"> </w:t>
      </w:r>
      <w:r w:rsidR="00344994">
        <w:rPr>
          <w:rFonts w:ascii="Times New Roman" w:hAnsi="Times New Roman" w:cs="Times New Roman"/>
          <w:noProof/>
          <w:sz w:val="24"/>
          <w:szCs w:val="24"/>
        </w:rPr>
        <w:drawing>
          <wp:inline distT="0" distB="0" distL="0" distR="0" wp14:anchorId="5E143196" wp14:editId="7E0D9026">
            <wp:extent cx="6733200" cy="4949190"/>
            <wp:effectExtent l="0" t="0" r="0" b="381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gplot2save-figure-S4.7_3105.jpe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734525" cy="4950164"/>
                    </a:xfrm>
                    <a:prstGeom prst="rect">
                      <a:avLst/>
                    </a:prstGeom>
                  </pic:spPr>
                </pic:pic>
              </a:graphicData>
            </a:graphic>
          </wp:inline>
        </w:drawing>
      </w:r>
    </w:p>
    <w:p w14:paraId="0AF10476" w14:textId="58977827" w:rsidR="00CC326F" w:rsidRPr="00D70D43" w:rsidRDefault="001A7BFF" w:rsidP="00CC326F">
      <w:pPr>
        <w:spacing w:after="0" w:line="360" w:lineRule="auto"/>
        <w:rPr>
          <w:rFonts w:ascii="Times New Roman" w:hAnsi="Times New Roman" w:cs="Times New Roman"/>
          <w:sz w:val="24"/>
          <w:szCs w:val="24"/>
        </w:rPr>
      </w:pPr>
      <w:bookmarkStart w:id="42" w:name="_Hlk137040211"/>
      <w:r w:rsidRPr="0064579A">
        <w:rPr>
          <w:rFonts w:ascii="Times New Roman" w:hAnsi="Times New Roman" w:cs="Times New Roman"/>
          <w:b/>
          <w:sz w:val="24"/>
          <w:szCs w:val="24"/>
        </w:rPr>
        <w:t xml:space="preserve">Figure </w:t>
      </w:r>
      <w:r w:rsidR="00312D4F" w:rsidRPr="0064579A">
        <w:rPr>
          <w:rFonts w:ascii="Times New Roman" w:hAnsi="Times New Roman" w:cs="Times New Roman"/>
          <w:b/>
          <w:sz w:val="24"/>
          <w:szCs w:val="24"/>
        </w:rPr>
        <w:t>S4.7</w:t>
      </w:r>
      <w:r w:rsidRPr="0064579A">
        <w:rPr>
          <w:rFonts w:ascii="Times New Roman" w:hAnsi="Times New Roman" w:cs="Times New Roman"/>
          <w:b/>
          <w:sz w:val="24"/>
          <w:szCs w:val="24"/>
        </w:rPr>
        <w:t>:</w:t>
      </w:r>
      <w:r w:rsidRPr="00D70D43">
        <w:rPr>
          <w:rFonts w:ascii="Times New Roman" w:hAnsi="Times New Roman" w:cs="Times New Roman"/>
          <w:sz w:val="24"/>
          <w:szCs w:val="24"/>
        </w:rPr>
        <w:t xml:space="preserve"> </w:t>
      </w:r>
      <w:r w:rsidR="00312D4F">
        <w:rPr>
          <w:rFonts w:ascii="Times New Roman" w:hAnsi="Times New Roman" w:cs="Times New Roman"/>
          <w:sz w:val="24"/>
          <w:szCs w:val="24"/>
        </w:rPr>
        <w:t>B</w:t>
      </w:r>
      <w:r w:rsidRPr="00D70D43">
        <w:rPr>
          <w:rFonts w:ascii="Times New Roman" w:hAnsi="Times New Roman" w:cs="Times New Roman"/>
          <w:sz w:val="24"/>
          <w:szCs w:val="24"/>
        </w:rPr>
        <w:t xml:space="preserve">oxplot of nitrogen isotopic </w:t>
      </w:r>
      <w:r w:rsidR="005F09A3">
        <w:rPr>
          <w:rFonts w:ascii="Times New Roman" w:hAnsi="Times New Roman" w:cs="Times New Roman"/>
          <w:sz w:val="24"/>
          <w:szCs w:val="24"/>
        </w:rPr>
        <w:t>values obtained from the bone and dentine collagen of the</w:t>
      </w:r>
      <w:r w:rsidRPr="00D70D43">
        <w:rPr>
          <w:rFonts w:ascii="Times New Roman" w:hAnsi="Times New Roman" w:cs="Times New Roman"/>
          <w:sz w:val="24"/>
          <w:szCs w:val="24"/>
        </w:rPr>
        <w:t xml:space="preserve"> male and female</w:t>
      </w:r>
      <w:r w:rsidR="005F09A3">
        <w:rPr>
          <w:rFonts w:ascii="Times New Roman" w:hAnsi="Times New Roman" w:cs="Times New Roman"/>
          <w:sz w:val="24"/>
          <w:szCs w:val="24"/>
        </w:rPr>
        <w:t xml:space="preserve"> samples</w:t>
      </w:r>
      <w:r w:rsidRPr="00D70D43">
        <w:rPr>
          <w:rFonts w:ascii="Times New Roman" w:hAnsi="Times New Roman" w:cs="Times New Roman"/>
          <w:sz w:val="24"/>
          <w:szCs w:val="24"/>
        </w:rPr>
        <w:t xml:space="preserve"> </w:t>
      </w:r>
      <w:r w:rsidR="005F09A3">
        <w:rPr>
          <w:rFonts w:ascii="Times New Roman" w:hAnsi="Times New Roman" w:cs="Times New Roman"/>
          <w:sz w:val="24"/>
          <w:szCs w:val="24"/>
        </w:rPr>
        <w:t>from</w:t>
      </w:r>
      <w:r w:rsidRPr="00D70D43">
        <w:rPr>
          <w:rFonts w:ascii="Times New Roman" w:hAnsi="Times New Roman" w:cs="Times New Roman"/>
          <w:sz w:val="24"/>
          <w:szCs w:val="24"/>
        </w:rPr>
        <w:t xml:space="preserve"> Taforalt</w:t>
      </w:r>
      <w:r w:rsidR="00E014E6">
        <w:rPr>
          <w:rFonts w:ascii="Times New Roman" w:hAnsi="Times New Roman" w:cs="Times New Roman"/>
          <w:sz w:val="24"/>
          <w:szCs w:val="24"/>
        </w:rPr>
        <w:t>.</w:t>
      </w:r>
      <w:r w:rsidR="00C51BB2">
        <w:rPr>
          <w:rFonts w:ascii="Times New Roman" w:hAnsi="Times New Roman" w:cs="Times New Roman"/>
          <w:sz w:val="24"/>
          <w:szCs w:val="24"/>
        </w:rPr>
        <w:t xml:space="preserve"> </w:t>
      </w:r>
    </w:p>
    <w:bookmarkEnd w:id="42"/>
    <w:p w14:paraId="5B44D179" w14:textId="77777777" w:rsidR="00CC326F" w:rsidRPr="00D70D43" w:rsidRDefault="00CC326F" w:rsidP="00CC326F">
      <w:pPr>
        <w:spacing w:after="0" w:line="360" w:lineRule="auto"/>
        <w:rPr>
          <w:rFonts w:ascii="Times New Roman" w:hAnsi="Times New Roman" w:cs="Times New Roman"/>
          <w:sz w:val="24"/>
          <w:szCs w:val="24"/>
        </w:rPr>
      </w:pPr>
    </w:p>
    <w:p w14:paraId="1E2DD394" w14:textId="18A139B5" w:rsidR="001A7BFF" w:rsidRPr="00D70D43" w:rsidRDefault="001A7BFF" w:rsidP="00C51BB2">
      <w:pPr>
        <w:spacing w:after="0" w:line="360" w:lineRule="auto"/>
        <w:rPr>
          <w:rFonts w:ascii="Times New Roman" w:hAnsi="Times New Roman" w:cs="Times New Roman"/>
          <w:sz w:val="24"/>
          <w:szCs w:val="24"/>
        </w:rPr>
      </w:pPr>
    </w:p>
    <w:p w14:paraId="5F1A9A13" w14:textId="77777777" w:rsidR="001A7BFF" w:rsidRPr="00D70D43" w:rsidRDefault="001A7BFF" w:rsidP="001A7BFF">
      <w:pPr>
        <w:spacing w:line="360" w:lineRule="auto"/>
        <w:rPr>
          <w:rFonts w:ascii="Times New Roman" w:hAnsi="Times New Roman" w:cs="Times New Roman"/>
          <w:sz w:val="24"/>
          <w:szCs w:val="24"/>
          <w:highlight w:val="white"/>
        </w:rPr>
      </w:pPr>
    </w:p>
    <w:p w14:paraId="0C3591E1" w14:textId="47B2858C" w:rsidR="001A7BFF" w:rsidRPr="00D70D43" w:rsidRDefault="00F309C6" w:rsidP="001A7BFF">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6BA3104" wp14:editId="17ABE7BC">
            <wp:extent cx="6604000" cy="5365750"/>
            <wp:effectExtent l="0" t="0" r="6350" b="635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gplot2save-figure.S4.8_0106_ink.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606946" cy="5368144"/>
                    </a:xfrm>
                    <a:prstGeom prst="rect">
                      <a:avLst/>
                    </a:prstGeom>
                  </pic:spPr>
                </pic:pic>
              </a:graphicData>
            </a:graphic>
          </wp:inline>
        </w:drawing>
      </w:r>
    </w:p>
    <w:p w14:paraId="1839DF3D" w14:textId="0006ED57" w:rsidR="00764E63" w:rsidRPr="001571CA" w:rsidRDefault="001A7BFF" w:rsidP="00764E63">
      <w:pPr>
        <w:spacing w:line="360" w:lineRule="auto"/>
        <w:rPr>
          <w:rFonts w:asciiTheme="majorBidi" w:hAnsiTheme="majorBidi" w:cstheme="majorBidi"/>
          <w:noProof/>
          <w:sz w:val="24"/>
          <w:szCs w:val="24"/>
        </w:rPr>
      </w:pPr>
      <w:bookmarkStart w:id="43" w:name="_Hlk137040217"/>
      <w:r w:rsidRPr="0064579A">
        <w:rPr>
          <w:rFonts w:ascii="Times New Roman" w:hAnsi="Times New Roman" w:cs="Times New Roman"/>
          <w:b/>
          <w:sz w:val="24"/>
          <w:szCs w:val="24"/>
        </w:rPr>
        <w:t xml:space="preserve">Figure </w:t>
      </w:r>
      <w:r w:rsidR="001925CC" w:rsidRPr="0064579A">
        <w:rPr>
          <w:rFonts w:ascii="Times New Roman" w:hAnsi="Times New Roman" w:cs="Times New Roman"/>
          <w:b/>
          <w:sz w:val="24"/>
          <w:szCs w:val="24"/>
        </w:rPr>
        <w:t>S4.</w:t>
      </w:r>
      <w:r w:rsidR="00403A86" w:rsidRPr="0064579A">
        <w:rPr>
          <w:rFonts w:ascii="Times New Roman" w:hAnsi="Times New Roman" w:cs="Times New Roman"/>
          <w:b/>
          <w:sz w:val="24"/>
          <w:szCs w:val="24"/>
        </w:rPr>
        <w:t>8</w:t>
      </w:r>
      <w:r w:rsidR="00403A86" w:rsidRPr="00D70D43">
        <w:rPr>
          <w:rFonts w:ascii="Times New Roman" w:hAnsi="Times New Roman" w:cs="Times New Roman"/>
          <w:sz w:val="24"/>
          <w:szCs w:val="24"/>
        </w:rPr>
        <w:t>:</w:t>
      </w:r>
      <w:r w:rsidRPr="001571CA">
        <w:rPr>
          <w:rFonts w:asciiTheme="majorBidi" w:hAnsiTheme="majorBidi" w:cstheme="majorBidi"/>
          <w:sz w:val="24"/>
          <w:szCs w:val="24"/>
        </w:rPr>
        <w:t xml:space="preserve"> Boxplot </w:t>
      </w:r>
      <w:r w:rsidR="001571CA" w:rsidRPr="001571CA">
        <w:rPr>
          <w:rFonts w:asciiTheme="majorBidi" w:hAnsiTheme="majorBidi" w:cstheme="majorBidi"/>
          <w:sz w:val="24"/>
          <w:szCs w:val="24"/>
        </w:rPr>
        <w:t xml:space="preserve">of </w:t>
      </w:r>
      <w:r w:rsidRPr="001571CA">
        <w:rPr>
          <w:rFonts w:asciiTheme="majorBidi" w:hAnsiTheme="majorBidi" w:cstheme="majorBidi"/>
          <w:sz w:val="24"/>
          <w:szCs w:val="24"/>
        </w:rPr>
        <w:t xml:space="preserve">the </w:t>
      </w:r>
      <w:r w:rsidRPr="001571CA">
        <w:rPr>
          <w:rFonts w:asciiTheme="majorBidi" w:eastAsia="Times New Roman" w:hAnsiTheme="majorBidi" w:cstheme="majorBidi"/>
          <w:sz w:val="24"/>
          <w:szCs w:val="24"/>
        </w:rPr>
        <w:t>δ</w:t>
      </w:r>
      <w:r w:rsidRPr="001571CA">
        <w:rPr>
          <w:rFonts w:asciiTheme="majorBidi" w:eastAsia="Times New Roman" w:hAnsiTheme="majorBidi" w:cstheme="majorBidi"/>
          <w:sz w:val="24"/>
          <w:szCs w:val="24"/>
          <w:vertAlign w:val="superscript"/>
        </w:rPr>
        <w:t>66</w:t>
      </w:r>
      <w:r w:rsidRPr="001571CA">
        <w:rPr>
          <w:rFonts w:asciiTheme="majorBidi" w:eastAsia="Times New Roman" w:hAnsiTheme="majorBidi" w:cstheme="majorBidi"/>
          <w:sz w:val="24"/>
          <w:szCs w:val="24"/>
        </w:rPr>
        <w:t xml:space="preserve">Zn </w:t>
      </w:r>
      <w:r w:rsidRPr="001571CA">
        <w:rPr>
          <w:rFonts w:asciiTheme="majorBidi" w:hAnsiTheme="majorBidi" w:cstheme="majorBidi"/>
          <w:sz w:val="24"/>
          <w:szCs w:val="24"/>
        </w:rPr>
        <w:t xml:space="preserve">values </w:t>
      </w:r>
      <w:r w:rsidR="001571CA" w:rsidRPr="001571CA">
        <w:rPr>
          <w:rFonts w:asciiTheme="majorBidi" w:hAnsiTheme="majorBidi" w:cstheme="majorBidi"/>
          <w:sz w:val="24"/>
          <w:szCs w:val="24"/>
        </w:rPr>
        <w:t>from</w:t>
      </w:r>
      <w:r w:rsidR="00986A5E" w:rsidRPr="001571CA">
        <w:rPr>
          <w:rFonts w:asciiTheme="majorBidi" w:hAnsiTheme="majorBidi" w:cstheme="majorBidi"/>
          <w:sz w:val="24"/>
          <w:szCs w:val="24"/>
        </w:rPr>
        <w:t xml:space="preserve"> tooth </w:t>
      </w:r>
      <w:r w:rsidRPr="001571CA">
        <w:rPr>
          <w:rFonts w:asciiTheme="majorBidi" w:hAnsiTheme="majorBidi" w:cstheme="majorBidi"/>
          <w:sz w:val="24"/>
          <w:szCs w:val="24"/>
        </w:rPr>
        <w:t xml:space="preserve">enamel </w:t>
      </w:r>
      <w:r w:rsidR="001571CA" w:rsidRPr="001571CA">
        <w:rPr>
          <w:rFonts w:asciiTheme="majorBidi" w:hAnsiTheme="majorBidi" w:cstheme="majorBidi"/>
          <w:sz w:val="24"/>
          <w:szCs w:val="24"/>
        </w:rPr>
        <w:t>of</w:t>
      </w:r>
      <w:r w:rsidRPr="001571CA">
        <w:rPr>
          <w:rFonts w:asciiTheme="majorBidi" w:hAnsiTheme="majorBidi" w:cstheme="majorBidi"/>
          <w:sz w:val="24"/>
          <w:szCs w:val="24"/>
        </w:rPr>
        <w:t xml:space="preserve"> </w:t>
      </w:r>
      <w:r w:rsidR="001571CA" w:rsidRPr="001571CA">
        <w:rPr>
          <w:rFonts w:asciiTheme="majorBidi" w:hAnsiTheme="majorBidi" w:cstheme="majorBidi"/>
          <w:sz w:val="24"/>
          <w:szCs w:val="24"/>
        </w:rPr>
        <w:t>different</w:t>
      </w:r>
      <w:r w:rsidRPr="001571CA">
        <w:rPr>
          <w:rFonts w:asciiTheme="majorBidi" w:hAnsiTheme="majorBidi" w:cstheme="majorBidi"/>
          <w:sz w:val="24"/>
          <w:szCs w:val="24"/>
        </w:rPr>
        <w:t xml:space="preserve"> individual</w:t>
      </w:r>
      <w:r w:rsidR="001571CA" w:rsidRPr="001571CA">
        <w:rPr>
          <w:rFonts w:asciiTheme="majorBidi" w:hAnsiTheme="majorBidi" w:cstheme="majorBidi"/>
          <w:sz w:val="24"/>
          <w:szCs w:val="24"/>
        </w:rPr>
        <w:t>s</w:t>
      </w:r>
      <w:r w:rsidRPr="001571CA">
        <w:rPr>
          <w:rFonts w:asciiTheme="majorBidi" w:hAnsiTheme="majorBidi" w:cstheme="majorBidi"/>
          <w:sz w:val="24"/>
          <w:szCs w:val="24"/>
        </w:rPr>
        <w:t xml:space="preserve"> analyzed in this </w:t>
      </w:r>
      <w:r w:rsidR="00783AF8" w:rsidRPr="001571CA">
        <w:rPr>
          <w:rFonts w:asciiTheme="majorBidi" w:hAnsiTheme="majorBidi" w:cstheme="majorBidi"/>
          <w:sz w:val="24"/>
          <w:szCs w:val="24"/>
        </w:rPr>
        <w:t>study</w:t>
      </w:r>
      <w:r w:rsidR="00783AF8" w:rsidRPr="001571CA">
        <w:rPr>
          <w:rFonts w:asciiTheme="majorBidi" w:hAnsiTheme="majorBidi" w:cstheme="majorBidi"/>
          <w:noProof/>
          <w:sz w:val="24"/>
          <w:szCs w:val="24"/>
        </w:rPr>
        <w:t>.</w:t>
      </w:r>
      <w:r w:rsidR="00252CBE">
        <w:rPr>
          <w:rFonts w:asciiTheme="majorBidi" w:hAnsiTheme="majorBidi" w:cstheme="majorBidi"/>
          <w:noProof/>
          <w:sz w:val="24"/>
          <w:szCs w:val="24"/>
        </w:rPr>
        <w:t xml:space="preserve"> Different parts of the tooth crowns were sampled so e</w:t>
      </w:r>
      <w:r w:rsidR="001571CA" w:rsidRPr="001571CA">
        <w:rPr>
          <w:rFonts w:asciiTheme="majorBidi" w:hAnsiTheme="majorBidi" w:cstheme="majorBidi"/>
          <w:noProof/>
          <w:sz w:val="24"/>
          <w:szCs w:val="24"/>
        </w:rPr>
        <w:t>ach point represents an average zinc isotopic value of different samplings taken from the same toot</w:t>
      </w:r>
      <w:r w:rsidR="00252CBE">
        <w:rPr>
          <w:rFonts w:asciiTheme="majorBidi" w:hAnsiTheme="majorBidi" w:cstheme="majorBidi"/>
          <w:noProof/>
          <w:sz w:val="24"/>
          <w:szCs w:val="24"/>
        </w:rPr>
        <w:t>h</w:t>
      </w:r>
      <w:r w:rsidR="00025DE6">
        <w:rPr>
          <w:rFonts w:asciiTheme="majorBidi" w:hAnsiTheme="majorBidi" w:cstheme="majorBidi"/>
          <w:noProof/>
          <w:sz w:val="24"/>
          <w:szCs w:val="24"/>
        </w:rPr>
        <w:t xml:space="preserve">. </w:t>
      </w:r>
    </w:p>
    <w:bookmarkEnd w:id="43"/>
    <w:p w14:paraId="04955696" w14:textId="0127A4C2" w:rsidR="00DA350F" w:rsidRDefault="00DA350F" w:rsidP="00764E63">
      <w:pPr>
        <w:spacing w:line="360" w:lineRule="auto"/>
        <w:rPr>
          <w:noProof/>
        </w:rPr>
      </w:pPr>
    </w:p>
    <w:p w14:paraId="540E28F1" w14:textId="77777777" w:rsidR="00DA350F" w:rsidRDefault="00DA350F" w:rsidP="00764E63">
      <w:pPr>
        <w:spacing w:line="360" w:lineRule="auto"/>
        <w:rPr>
          <w:noProof/>
        </w:rPr>
      </w:pPr>
    </w:p>
    <w:p w14:paraId="50480E6E" w14:textId="77777777" w:rsidR="00764E63" w:rsidRDefault="00764E63" w:rsidP="00764E63">
      <w:pPr>
        <w:spacing w:line="360" w:lineRule="auto"/>
        <w:rPr>
          <w:rFonts w:ascii="Times New Roman" w:hAnsi="Times New Roman" w:cs="Times New Roman"/>
          <w:sz w:val="24"/>
          <w:szCs w:val="24"/>
        </w:rPr>
      </w:pPr>
    </w:p>
    <w:p w14:paraId="4743EEEE" w14:textId="5CE31085" w:rsidR="00A73828" w:rsidRPr="0064579A" w:rsidRDefault="00A73828" w:rsidP="00A73828">
      <w:pPr>
        <w:rPr>
          <w:rFonts w:ascii="Times New Roman" w:hAnsi="Times New Roman" w:cs="Times New Roman"/>
          <w:b/>
          <w:i/>
          <w:sz w:val="24"/>
          <w:szCs w:val="24"/>
        </w:rPr>
      </w:pPr>
      <w:bookmarkStart w:id="44" w:name="_Hlk137040223"/>
      <w:r w:rsidRPr="0064579A">
        <w:rPr>
          <w:rFonts w:ascii="Times New Roman" w:hAnsi="Times New Roman" w:cs="Times New Roman"/>
          <w:b/>
          <w:i/>
          <w:sz w:val="24"/>
          <w:szCs w:val="24"/>
        </w:rPr>
        <w:t>4.</w:t>
      </w:r>
      <w:r w:rsidR="00A143B9" w:rsidRPr="0064579A">
        <w:rPr>
          <w:rFonts w:ascii="Times New Roman" w:hAnsi="Times New Roman" w:cs="Times New Roman"/>
          <w:b/>
          <w:i/>
          <w:sz w:val="24"/>
          <w:szCs w:val="24"/>
        </w:rPr>
        <w:t>3</w:t>
      </w:r>
      <w:r w:rsidRPr="0064579A">
        <w:rPr>
          <w:rFonts w:ascii="Times New Roman" w:hAnsi="Times New Roman" w:cs="Times New Roman"/>
          <w:b/>
          <w:i/>
          <w:sz w:val="24"/>
          <w:szCs w:val="24"/>
        </w:rPr>
        <w:t xml:space="preserve"> Bulk C</w:t>
      </w:r>
      <w:r w:rsidR="00E93FC1">
        <w:rPr>
          <w:rFonts w:ascii="Times New Roman" w:hAnsi="Times New Roman" w:cs="Times New Roman"/>
          <w:b/>
          <w:i/>
          <w:sz w:val="24"/>
          <w:szCs w:val="24"/>
        </w:rPr>
        <w:t>arbon</w:t>
      </w:r>
      <w:r w:rsidRPr="0064579A">
        <w:rPr>
          <w:rFonts w:ascii="Times New Roman" w:hAnsi="Times New Roman" w:cs="Times New Roman"/>
          <w:b/>
          <w:i/>
          <w:sz w:val="24"/>
          <w:szCs w:val="24"/>
        </w:rPr>
        <w:t xml:space="preserve"> and N</w:t>
      </w:r>
      <w:r w:rsidR="00E93FC1">
        <w:rPr>
          <w:rFonts w:ascii="Times New Roman" w:hAnsi="Times New Roman" w:cs="Times New Roman"/>
          <w:b/>
          <w:i/>
          <w:sz w:val="24"/>
          <w:szCs w:val="24"/>
        </w:rPr>
        <w:t>itrogen</w:t>
      </w:r>
      <w:r w:rsidRPr="0064579A">
        <w:rPr>
          <w:rFonts w:ascii="Times New Roman" w:hAnsi="Times New Roman" w:cs="Times New Roman"/>
          <w:b/>
          <w:i/>
          <w:sz w:val="24"/>
          <w:szCs w:val="24"/>
        </w:rPr>
        <w:t xml:space="preserve"> </w:t>
      </w:r>
      <w:r w:rsidR="00F60B38">
        <w:rPr>
          <w:rFonts w:ascii="Times New Roman" w:hAnsi="Times New Roman" w:cs="Times New Roman"/>
          <w:b/>
          <w:i/>
          <w:sz w:val="24"/>
          <w:szCs w:val="24"/>
        </w:rPr>
        <w:t xml:space="preserve">isotope </w:t>
      </w:r>
      <w:r w:rsidRPr="0064579A">
        <w:rPr>
          <w:rFonts w:ascii="Times New Roman" w:hAnsi="Times New Roman" w:cs="Times New Roman"/>
          <w:b/>
          <w:i/>
          <w:sz w:val="24"/>
          <w:szCs w:val="24"/>
        </w:rPr>
        <w:t>data</w:t>
      </w:r>
    </w:p>
    <w:bookmarkEnd w:id="44"/>
    <w:p w14:paraId="143206BE" w14:textId="6E526386" w:rsidR="00A73828" w:rsidRPr="00D70D43" w:rsidRDefault="00A73828" w:rsidP="001925CC">
      <w:pPr>
        <w:spacing w:after="0" w:line="360" w:lineRule="auto"/>
        <w:jc w:val="both"/>
        <w:rPr>
          <w:rFonts w:ascii="Times New Roman" w:eastAsia="Times New Roman" w:hAnsi="Times New Roman" w:cs="Times New Roman"/>
          <w:sz w:val="24"/>
          <w:szCs w:val="24"/>
          <w:highlight w:val="white"/>
        </w:rPr>
      </w:pPr>
      <w:r w:rsidRPr="00D70D43">
        <w:rPr>
          <w:rFonts w:ascii="Times New Roman" w:eastAsia="Times New Roman" w:hAnsi="Times New Roman" w:cs="Times New Roman"/>
          <w:sz w:val="24"/>
          <w:szCs w:val="24"/>
          <w:highlight w:val="white"/>
        </w:rPr>
        <w:lastRenderedPageBreak/>
        <w:t>The δ</w:t>
      </w:r>
      <w:r w:rsidRPr="00D70D43">
        <w:rPr>
          <w:rFonts w:ascii="Times New Roman" w:eastAsia="Times New Roman" w:hAnsi="Times New Roman" w:cs="Times New Roman"/>
          <w:sz w:val="24"/>
          <w:szCs w:val="24"/>
          <w:highlight w:val="white"/>
          <w:vertAlign w:val="superscript"/>
        </w:rPr>
        <w:t>13</w:t>
      </w:r>
      <w:r w:rsidRPr="00D70D43">
        <w:rPr>
          <w:rFonts w:ascii="Times New Roman" w:eastAsia="Times New Roman" w:hAnsi="Times New Roman" w:cs="Times New Roman"/>
          <w:sz w:val="24"/>
          <w:szCs w:val="24"/>
          <w:highlight w:val="white"/>
        </w:rPr>
        <w:t>C</w:t>
      </w:r>
      <w:r w:rsidRPr="00D70D43">
        <w:rPr>
          <w:rFonts w:ascii="Times New Roman" w:eastAsia="Times New Roman" w:hAnsi="Times New Roman" w:cs="Times New Roman"/>
          <w:sz w:val="24"/>
          <w:szCs w:val="24"/>
          <w:highlight w:val="white"/>
          <w:vertAlign w:val="subscript"/>
        </w:rPr>
        <w:t xml:space="preserve"> </w:t>
      </w:r>
      <w:r w:rsidRPr="00D70D43">
        <w:rPr>
          <w:rFonts w:ascii="Times New Roman" w:eastAsia="Times New Roman" w:hAnsi="Times New Roman" w:cs="Times New Roman"/>
          <w:sz w:val="24"/>
          <w:szCs w:val="24"/>
          <w:highlight w:val="white"/>
        </w:rPr>
        <w:t>bulk collagen ranges from -20.91 to -18.06. For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 xml:space="preserve"> </w:t>
      </w:r>
      <w:r w:rsidRPr="00D70D43">
        <w:rPr>
          <w:rFonts w:ascii="Times New Roman" w:eastAsia="Times New Roman" w:hAnsi="Times New Roman" w:cs="Times New Roman"/>
          <w:sz w:val="24"/>
          <w:szCs w:val="24"/>
          <w:highlight w:val="white"/>
        </w:rPr>
        <w:t>on bulk collagen, the values from the fauna range from to 5.5 to 11.7 ‰ and for human from 8.8 to 13.5‰. Contrary to Zn, there is a clear overlap between some herbivores, humans and carnivores (</w:t>
      </w:r>
      <w:r w:rsidR="00DF0080">
        <w:rPr>
          <w:rFonts w:ascii="Times New Roman" w:eastAsia="Times New Roman" w:hAnsi="Times New Roman" w:cs="Times New Roman"/>
          <w:sz w:val="24"/>
          <w:szCs w:val="24"/>
          <w:highlight w:val="white"/>
        </w:rPr>
        <w:t>F</w:t>
      </w:r>
      <w:r w:rsidRPr="00D70D43">
        <w:rPr>
          <w:rFonts w:ascii="Times New Roman" w:eastAsia="Times New Roman" w:hAnsi="Times New Roman" w:cs="Times New Roman"/>
          <w:sz w:val="24"/>
          <w:szCs w:val="24"/>
          <w:highlight w:val="white"/>
        </w:rPr>
        <w:t>igure</w:t>
      </w:r>
      <w:r w:rsidR="00DF0080">
        <w:rPr>
          <w:rFonts w:ascii="Times New Roman" w:eastAsia="Times New Roman" w:hAnsi="Times New Roman" w:cs="Times New Roman"/>
          <w:sz w:val="24"/>
          <w:szCs w:val="24"/>
          <w:highlight w:val="white"/>
        </w:rPr>
        <w:t xml:space="preserve"> </w:t>
      </w:r>
      <w:r w:rsidR="00A143B9">
        <w:rPr>
          <w:rFonts w:ascii="Times New Roman" w:eastAsia="Times New Roman" w:hAnsi="Times New Roman" w:cs="Times New Roman"/>
          <w:sz w:val="24"/>
          <w:szCs w:val="24"/>
          <w:highlight w:val="white"/>
        </w:rPr>
        <w:t>2 main paper</w:t>
      </w:r>
      <w:r w:rsidRPr="00D70D43">
        <w:rPr>
          <w:rFonts w:ascii="Times New Roman" w:eastAsia="Times New Roman" w:hAnsi="Times New Roman" w:cs="Times New Roman"/>
          <w:sz w:val="24"/>
          <w:szCs w:val="24"/>
          <w:highlight w:val="white"/>
        </w:rPr>
        <w:t>). If we included only adult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 xml:space="preserve"> </w:t>
      </w:r>
      <w:r w:rsidRPr="00D70D43">
        <w:rPr>
          <w:rFonts w:ascii="Times New Roman" w:eastAsia="Times New Roman" w:hAnsi="Times New Roman" w:cs="Times New Roman"/>
          <w:sz w:val="24"/>
          <w:szCs w:val="24"/>
          <w:highlight w:val="white"/>
        </w:rPr>
        <w:t>values, the overall trophic offset between humans and herbivores is (+2.5‰) and it is slightly larger with the Barbary sheep, the most dominant specie</w:t>
      </w:r>
      <w:r w:rsidR="0066220C">
        <w:rPr>
          <w:rFonts w:ascii="Times New Roman" w:eastAsia="Times New Roman" w:hAnsi="Times New Roman" w:cs="Times New Roman"/>
          <w:sz w:val="24"/>
          <w:szCs w:val="24"/>
          <w:highlight w:val="white"/>
        </w:rPr>
        <w:t>s</w:t>
      </w:r>
      <w:r w:rsidRPr="00D70D43">
        <w:rPr>
          <w:rFonts w:ascii="Times New Roman" w:eastAsia="Times New Roman" w:hAnsi="Times New Roman" w:cs="Times New Roman"/>
          <w:sz w:val="24"/>
          <w:szCs w:val="24"/>
          <w:highlight w:val="white"/>
        </w:rPr>
        <w:t xml:space="preserve"> in the site (+2.9‰). There were not enough carnivores (n=</w:t>
      </w:r>
      <w:r w:rsidR="004E1B04">
        <w:rPr>
          <w:rFonts w:ascii="Times New Roman" w:eastAsia="Times New Roman" w:hAnsi="Times New Roman" w:cs="Times New Roman"/>
          <w:sz w:val="24"/>
          <w:szCs w:val="24"/>
          <w:highlight w:val="white"/>
        </w:rPr>
        <w:t>2</w:t>
      </w:r>
      <w:r w:rsidRPr="00D70D43">
        <w:rPr>
          <w:rFonts w:ascii="Times New Roman" w:eastAsia="Times New Roman" w:hAnsi="Times New Roman" w:cs="Times New Roman"/>
          <w:sz w:val="24"/>
          <w:szCs w:val="24"/>
          <w:highlight w:val="white"/>
        </w:rPr>
        <w:t>) to accurately estimate the trophic level effect TLE but based on our data it is of +0.64‰ for δ</w:t>
      </w:r>
      <w:r w:rsidRPr="00D70D43">
        <w:rPr>
          <w:rFonts w:ascii="Times New Roman" w:eastAsia="Times New Roman" w:hAnsi="Times New Roman" w:cs="Times New Roman"/>
          <w:sz w:val="24"/>
          <w:szCs w:val="24"/>
          <w:highlight w:val="white"/>
          <w:vertAlign w:val="superscript"/>
        </w:rPr>
        <w:t>66</w:t>
      </w:r>
      <w:r w:rsidRPr="00D70D43">
        <w:rPr>
          <w:rFonts w:ascii="Times New Roman" w:eastAsia="Times New Roman" w:hAnsi="Times New Roman" w:cs="Times New Roman"/>
          <w:sz w:val="24"/>
          <w:szCs w:val="24"/>
          <w:highlight w:val="white"/>
        </w:rPr>
        <w:t>Zn and +2.5‰ for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00643EEE">
        <w:rPr>
          <w:rFonts w:ascii="Times New Roman" w:eastAsia="Times New Roman" w:hAnsi="Times New Roman" w:cs="Times New Roman"/>
          <w:sz w:val="24"/>
          <w:szCs w:val="24"/>
          <w:highlight w:val="white"/>
        </w:rPr>
        <w:t xml:space="preserve"> Although the canids </w:t>
      </w:r>
      <w:r w:rsidR="008B7FCD">
        <w:rPr>
          <w:rFonts w:ascii="Times New Roman" w:eastAsia="Times New Roman" w:hAnsi="Times New Roman" w:cs="Times New Roman"/>
          <w:sz w:val="24"/>
          <w:szCs w:val="24"/>
          <w:highlight w:val="white"/>
        </w:rPr>
        <w:t>could have possible had a</w:t>
      </w:r>
      <w:r w:rsidR="0066220C">
        <w:rPr>
          <w:rFonts w:ascii="Times New Roman" w:eastAsia="Times New Roman" w:hAnsi="Times New Roman" w:cs="Times New Roman"/>
          <w:sz w:val="24"/>
          <w:szCs w:val="24"/>
          <w:highlight w:val="white"/>
        </w:rPr>
        <w:t>n</w:t>
      </w:r>
      <w:r w:rsidR="008B7FCD">
        <w:rPr>
          <w:rFonts w:ascii="Times New Roman" w:eastAsia="Times New Roman" w:hAnsi="Times New Roman" w:cs="Times New Roman"/>
          <w:sz w:val="24"/>
          <w:szCs w:val="24"/>
          <w:highlight w:val="white"/>
        </w:rPr>
        <w:t xml:space="preserve"> omnivorous diet, our CSIA analysis on nitrogen show that one of the specimens </w:t>
      </w:r>
      <w:r w:rsidR="0066220C">
        <w:rPr>
          <w:rFonts w:ascii="Times New Roman" w:eastAsia="Times New Roman" w:hAnsi="Times New Roman" w:cs="Times New Roman"/>
          <w:sz w:val="24"/>
          <w:szCs w:val="24"/>
          <w:highlight w:val="white"/>
        </w:rPr>
        <w:t>has</w:t>
      </w:r>
      <w:r w:rsidR="008B7FCD">
        <w:rPr>
          <w:rFonts w:ascii="Times New Roman" w:eastAsia="Times New Roman" w:hAnsi="Times New Roman" w:cs="Times New Roman"/>
          <w:sz w:val="24"/>
          <w:szCs w:val="24"/>
          <w:highlight w:val="white"/>
        </w:rPr>
        <w:t xml:space="preserve"> a carnivore trophic level (See 4.4 section)</w:t>
      </w:r>
      <w:r w:rsidR="008B4920">
        <w:rPr>
          <w:rFonts w:ascii="Times New Roman" w:eastAsia="Times New Roman" w:hAnsi="Times New Roman" w:cs="Times New Roman"/>
          <w:sz w:val="24"/>
          <w:szCs w:val="24"/>
          <w:highlight w:val="white"/>
        </w:rPr>
        <w:t xml:space="preserve"> </w:t>
      </w:r>
    </w:p>
    <w:p w14:paraId="33DC160A" w14:textId="77777777" w:rsidR="001A7BFF" w:rsidRPr="00D70D43" w:rsidRDefault="001A7BFF" w:rsidP="001A7BFF">
      <w:pPr>
        <w:spacing w:after="0" w:line="360" w:lineRule="auto"/>
        <w:rPr>
          <w:rFonts w:ascii="Times New Roman" w:hAnsi="Times New Roman" w:cs="Times New Roman"/>
          <w:b/>
          <w:sz w:val="24"/>
          <w:szCs w:val="24"/>
          <w:highlight w:val="yellow"/>
        </w:rPr>
      </w:pPr>
    </w:p>
    <w:p w14:paraId="2C8E460A" w14:textId="77777777" w:rsidR="001A7BFF" w:rsidRPr="00D70D43" w:rsidRDefault="001A7BFF" w:rsidP="001A7BFF">
      <w:pPr>
        <w:spacing w:line="360" w:lineRule="auto"/>
        <w:rPr>
          <w:rFonts w:ascii="Times New Roman" w:hAnsi="Times New Roman" w:cs="Times New Roman"/>
          <w:sz w:val="24"/>
          <w:szCs w:val="24"/>
        </w:rPr>
      </w:pPr>
    </w:p>
    <w:p w14:paraId="14C80862" w14:textId="5D3DC3B1" w:rsidR="00370770" w:rsidRDefault="001A7BFF" w:rsidP="001925CC">
      <w:pPr>
        <w:rPr>
          <w:rFonts w:ascii="Times New Roman" w:hAnsi="Times New Roman" w:cs="Times New Roman"/>
          <w:b/>
          <w:i/>
          <w:sz w:val="24"/>
          <w:szCs w:val="24"/>
        </w:rPr>
      </w:pPr>
      <w:bookmarkStart w:id="45" w:name="_Hlk121127786"/>
      <w:bookmarkStart w:id="46" w:name="_Hlk137040243"/>
      <w:r w:rsidRPr="0064579A">
        <w:rPr>
          <w:rFonts w:ascii="Times New Roman" w:hAnsi="Times New Roman" w:cs="Times New Roman"/>
          <w:b/>
          <w:i/>
          <w:sz w:val="24"/>
          <w:szCs w:val="24"/>
        </w:rPr>
        <w:t>4.</w:t>
      </w:r>
      <w:r w:rsidR="008B7FCD" w:rsidRPr="0064579A">
        <w:rPr>
          <w:rFonts w:ascii="Times New Roman" w:hAnsi="Times New Roman" w:cs="Times New Roman"/>
          <w:b/>
          <w:i/>
          <w:sz w:val="24"/>
          <w:szCs w:val="24"/>
        </w:rPr>
        <w:t>4</w:t>
      </w:r>
      <w:r w:rsidRPr="0064579A">
        <w:rPr>
          <w:rFonts w:ascii="Times New Roman" w:hAnsi="Times New Roman" w:cs="Times New Roman"/>
          <w:b/>
          <w:i/>
          <w:sz w:val="24"/>
          <w:szCs w:val="24"/>
        </w:rPr>
        <w:t xml:space="preserve"> </w:t>
      </w:r>
      <w:r w:rsidR="008B7FCD" w:rsidRPr="0064579A">
        <w:rPr>
          <w:rFonts w:ascii="Times New Roman" w:hAnsi="Times New Roman" w:cs="Times New Roman"/>
          <w:b/>
          <w:i/>
          <w:sz w:val="24"/>
          <w:szCs w:val="24"/>
        </w:rPr>
        <w:t>Isotopic measurements on single amino acids (CSIA-AA)</w:t>
      </w:r>
      <w:bookmarkEnd w:id="45"/>
    </w:p>
    <w:bookmarkEnd w:id="46"/>
    <w:p w14:paraId="258956D6" w14:textId="77777777" w:rsidR="006A3D2A" w:rsidRPr="0064579A" w:rsidRDefault="006A3D2A" w:rsidP="001925CC">
      <w:pPr>
        <w:rPr>
          <w:rFonts w:ascii="Times New Roman" w:hAnsi="Times New Roman" w:cs="Times New Roman"/>
          <w:b/>
          <w:i/>
          <w:sz w:val="24"/>
          <w:szCs w:val="24"/>
        </w:rPr>
      </w:pPr>
    </w:p>
    <w:p w14:paraId="30F250B6" w14:textId="20D51B0C" w:rsidR="001A7BFF" w:rsidRPr="0064579A" w:rsidRDefault="00370770" w:rsidP="00370770">
      <w:pPr>
        <w:spacing w:before="240" w:after="240" w:line="360" w:lineRule="auto"/>
        <w:rPr>
          <w:rFonts w:ascii="Times New Roman" w:eastAsia="Times New Roman" w:hAnsi="Times New Roman" w:cs="Times New Roman"/>
          <w:b/>
          <w:szCs w:val="24"/>
        </w:rPr>
      </w:pPr>
      <w:bookmarkStart w:id="47" w:name="_Hlk137040247"/>
      <w:r w:rsidRPr="0064579A">
        <w:rPr>
          <w:rFonts w:ascii="Times New Roman" w:eastAsia="Times New Roman" w:hAnsi="Times New Roman" w:cs="Times New Roman"/>
          <w:b/>
          <w:szCs w:val="24"/>
        </w:rPr>
        <w:t>4.</w:t>
      </w:r>
      <w:r w:rsidR="001925CC" w:rsidRPr="0064579A">
        <w:rPr>
          <w:rFonts w:ascii="Times New Roman" w:eastAsia="Times New Roman" w:hAnsi="Times New Roman" w:cs="Times New Roman"/>
          <w:b/>
          <w:szCs w:val="24"/>
        </w:rPr>
        <w:t>4</w:t>
      </w:r>
      <w:r w:rsidRPr="0064579A">
        <w:rPr>
          <w:rFonts w:ascii="Times New Roman" w:eastAsia="Times New Roman" w:hAnsi="Times New Roman" w:cs="Times New Roman"/>
          <w:b/>
          <w:szCs w:val="24"/>
        </w:rPr>
        <w:t>.</w:t>
      </w:r>
      <w:r w:rsidR="001925CC" w:rsidRPr="0064579A">
        <w:rPr>
          <w:rFonts w:ascii="Times New Roman" w:eastAsia="Times New Roman" w:hAnsi="Times New Roman" w:cs="Times New Roman"/>
          <w:b/>
          <w:szCs w:val="24"/>
        </w:rPr>
        <w:t>1</w:t>
      </w:r>
      <w:r w:rsidR="006A3D2A">
        <w:rPr>
          <w:rFonts w:ascii="Times New Roman" w:eastAsia="Times New Roman" w:hAnsi="Times New Roman" w:cs="Times New Roman"/>
          <w:b/>
          <w:szCs w:val="24"/>
        </w:rPr>
        <w:t xml:space="preserve"> </w:t>
      </w:r>
      <w:r w:rsidRPr="0064579A">
        <w:rPr>
          <w:rFonts w:ascii="Times New Roman" w:eastAsia="Times New Roman" w:hAnsi="Times New Roman" w:cs="Times New Roman"/>
          <w:b/>
          <w:szCs w:val="24"/>
        </w:rPr>
        <w:t>Carbon isotope ratios of collagen amino acids</w:t>
      </w:r>
    </w:p>
    <w:bookmarkEnd w:id="47"/>
    <w:p w14:paraId="0D4BD55D" w14:textId="1862E98A" w:rsidR="00942E2D" w:rsidRPr="0066220C" w:rsidRDefault="00D14A17" w:rsidP="00370770">
      <w:pPr>
        <w:spacing w:before="240" w:after="240"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 xml:space="preserve">In order to assess the diet of the human from Taforalt using the individual amino acids isotopic values we used the </w:t>
      </w:r>
      <w:r w:rsidR="005A0997">
        <w:rPr>
          <w:rFonts w:ascii="Times New Roman" w:eastAsia="Times New Roman" w:hAnsi="Times New Roman" w:cs="Times New Roman"/>
          <w:sz w:val="24"/>
          <w:szCs w:val="24"/>
        </w:rPr>
        <w:t>principal</w:t>
      </w:r>
      <w:r w:rsidR="005B433D">
        <w:rPr>
          <w:rFonts w:ascii="Times New Roman" w:eastAsia="Times New Roman" w:hAnsi="Times New Roman" w:cs="Times New Roman"/>
          <w:sz w:val="24"/>
          <w:szCs w:val="24"/>
        </w:rPr>
        <w:t xml:space="preserve"> component analysis (PCA)</w:t>
      </w:r>
      <w:r>
        <w:rPr>
          <w:rFonts w:ascii="Times New Roman" w:eastAsia="Times New Roman" w:hAnsi="Times New Roman" w:cs="Times New Roman"/>
          <w:sz w:val="24"/>
          <w:szCs w:val="24"/>
        </w:rPr>
        <w:t xml:space="preserve"> method</w:t>
      </w:r>
      <w:r w:rsidR="00E46154">
        <w:rPr>
          <w:rFonts w:ascii="Times New Roman" w:eastAsia="Times New Roman" w:hAnsi="Times New Roman" w:cs="Times New Roman"/>
          <w:sz w:val="24"/>
          <w:szCs w:val="24"/>
        </w:rPr>
        <w:t xml:space="preserve"> used by Ma et al., 20</w:t>
      </w:r>
      <w:r w:rsidR="003579C2">
        <w:rPr>
          <w:rFonts w:ascii="Times New Roman" w:eastAsia="Times New Roman" w:hAnsi="Times New Roman" w:cs="Times New Roman"/>
          <w:sz w:val="24"/>
          <w:szCs w:val="24"/>
        </w:rPr>
        <w:t>2</w:t>
      </w:r>
      <w:r w:rsidR="00E46154">
        <w:rPr>
          <w:rFonts w:ascii="Times New Roman" w:eastAsia="Times New Roman" w:hAnsi="Times New Roman" w:cs="Times New Roman"/>
          <w:sz w:val="24"/>
          <w:szCs w:val="24"/>
        </w:rPr>
        <w:t xml:space="preserve">1 </w:t>
      </w:r>
      <w:r w:rsidR="0041434C">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{"citationID":"ryoBoFBy","properties":{"formattedCitation":"\\super 74\\nosupersub{}","plainCitation":"74","noteIndex":0},"citationItems":[{"id":703,"uris":["http://zotero.org/users/7125028/items/VXB2Z77L"],"itemData":{"id":703,"type":"article-journal","abstract":"Foxtail millet (Setaria italica) and common millet (Panicum miliaceum) were important staple crops for the inhabitants of northern China since the Neolithic. The near exclusive consumption of these millets results in extremely elevated bulk collagen δ13C values (~−7‰ to −5‰), which serve as natural isotopic tracers in palaeodiet studies. Here we report individual amino acid δ13C results (δ13CAA) for humans (n = 12) and animals (n = 9) that consumed varying amounts of millets at the Proto-Shang period (2000–1600 BC) site of Nancheng, China. Using established δ13CAA proxies (Δ13CGly-Phe, Δ13CVal-Phe, and plots of δ13CPhe vs. δ13CVal, δ13CLys vs. Δ13CGly-Phe, and δ13CLys vs. Δ13CVal-Phe) and machine learning assisted principal component analysis (MLA-PCA), we compared the Nancheng data to published known archaeological C3, C4, marine and freshwater protein consumers. Exclusive millet-consuming humans and animals from Nancheng displayed highly 13C-enriched amino acid results, which were distinct from C4 consumers of maize (Zea mays) in the Americas. Compared to δ13CAA dietary proxies, MLA-PCA provides improved separation for all of the different dietary categories reviewed. Further, this method was able to distinguish additional dietary details, such as identifying brackish species. Increased application of MLA-PCA in palaeodiet research utilizing δ13CAA measurements could create regional and global aminoisoscapes that can reveal unique dietary and environmental information that is otherwise hidden by bulk and existing δ13CAA proxy isotopic analyses.","container-title":"Journal of Archaeological Science","DOI":"10.1016/j.jas.2020.105289","ISSN":"0305-4403","journalAbbreviation":"Journal of Archaeological Science","language":"en","page":"105289","source":"ScienceDirect","title":"Aminoisoscapes and palaeodiet reconstruction: New perspectives on millet-based diets in China using amino acid δ13C values","title-short":"Aminoisoscapes and palaeodiet reconstruction","volume":"125","author":[{"family":"Ma","given":"Ying"},{"family":"Grimes","given":"Vaughan"},{"family":"Van Biesen","given":"Geert"},{"family":"Shi","given":"Lei"},{"family":"Chen","given":"Kunlong"},{"family":"Mannino","given":"Marcello A."},{"family":"Fuller","given":"Benjamin T."}],"issued":{"date-parts":[["2021",1,1]]}}}],"schema":"https://github.com/citation-style-language/schema/raw/master/csl-citation.json"} </w:instrText>
      </w:r>
      <w:r w:rsidR="0041434C">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74</w:t>
      </w:r>
      <w:r w:rsidR="0041434C">
        <w:rPr>
          <w:rFonts w:ascii="Times New Roman" w:eastAsia="Times New Roman" w:hAnsi="Times New Roman" w:cs="Times New Roman"/>
          <w:sz w:val="24"/>
          <w:szCs w:val="24"/>
        </w:rPr>
        <w:fldChar w:fldCharType="end"/>
      </w:r>
      <w:r w:rsidR="00E46154">
        <w:rPr>
          <w:rFonts w:ascii="Times New Roman" w:eastAsia="Times New Roman" w:hAnsi="Times New Roman" w:cs="Times New Roman"/>
          <w:sz w:val="24"/>
          <w:szCs w:val="24"/>
        </w:rPr>
        <w:t xml:space="preserve">to </w:t>
      </w:r>
      <w:r w:rsidR="00E46154" w:rsidRPr="0066220C">
        <w:rPr>
          <w:rFonts w:ascii="Times New Roman" w:eastAsia="Times New Roman" w:hAnsi="Times New Roman" w:cs="Times New Roman"/>
          <w:color w:val="000000" w:themeColor="text1"/>
          <w:sz w:val="24"/>
          <w:szCs w:val="24"/>
        </w:rPr>
        <w:t>separate between different dietary groups</w:t>
      </w:r>
      <w:r w:rsidR="008E548C" w:rsidRPr="0066220C">
        <w:rPr>
          <w:rFonts w:ascii="Times New Roman" w:hAnsi="Times New Roman" w:cs="Times New Roman"/>
          <w:color w:val="000000" w:themeColor="text1"/>
          <w:sz w:val="24"/>
          <w:szCs w:val="24"/>
        </w:rPr>
        <w:t>(Figure SI 4.9)</w:t>
      </w:r>
      <w:r w:rsidR="005B433D" w:rsidRPr="0066220C">
        <w:rPr>
          <w:rFonts w:ascii="Times New Roman" w:eastAsia="Times New Roman" w:hAnsi="Times New Roman" w:cs="Times New Roman"/>
          <w:color w:val="000000" w:themeColor="text1"/>
          <w:sz w:val="24"/>
          <w:szCs w:val="24"/>
        </w:rPr>
        <w:t xml:space="preserve">. </w:t>
      </w:r>
      <w:r w:rsidR="00347205" w:rsidRPr="0066220C">
        <w:rPr>
          <w:rFonts w:ascii="Times New Roman" w:eastAsia="Times New Roman" w:hAnsi="Times New Roman" w:cs="Times New Roman"/>
          <w:color w:val="000000" w:themeColor="text1"/>
          <w:sz w:val="24"/>
          <w:szCs w:val="24"/>
        </w:rPr>
        <w:t>We present the first two component with the calculated eigenvalues for each of the features used in the (</w:t>
      </w:r>
      <w:r w:rsidR="00DB07F2" w:rsidRPr="0066220C">
        <w:rPr>
          <w:rFonts w:ascii="Times New Roman" w:eastAsia="Times New Roman" w:hAnsi="Times New Roman" w:cs="Times New Roman"/>
          <w:color w:val="000000" w:themeColor="text1"/>
          <w:sz w:val="24"/>
          <w:szCs w:val="24"/>
        </w:rPr>
        <w:t>Table SI 10</w:t>
      </w:r>
      <w:r w:rsidR="00347205" w:rsidRPr="0066220C">
        <w:rPr>
          <w:rFonts w:ascii="Times New Roman" w:eastAsia="Times New Roman" w:hAnsi="Times New Roman" w:cs="Times New Roman"/>
          <w:color w:val="000000" w:themeColor="text1"/>
          <w:sz w:val="24"/>
          <w:szCs w:val="24"/>
        </w:rPr>
        <w:t xml:space="preserve">). The bulk </w:t>
      </w:r>
      <w:r w:rsidR="00347205" w:rsidRPr="0066220C">
        <w:rPr>
          <w:rFonts w:ascii="Times New Roman" w:hAnsi="Times New Roman" w:cs="Times New Roman"/>
          <w:color w:val="000000" w:themeColor="text1"/>
          <w:sz w:val="24"/>
          <w:szCs w:val="24"/>
        </w:rPr>
        <w:t>δ</w:t>
      </w:r>
      <w:r w:rsidR="00347205" w:rsidRPr="0066220C">
        <w:rPr>
          <w:rFonts w:ascii="Times New Roman" w:hAnsi="Times New Roman" w:cs="Times New Roman"/>
          <w:color w:val="000000" w:themeColor="text1"/>
          <w:sz w:val="24"/>
          <w:szCs w:val="24"/>
          <w:vertAlign w:val="superscript"/>
        </w:rPr>
        <w:t>13</w:t>
      </w:r>
      <w:r w:rsidR="00347205" w:rsidRPr="0066220C">
        <w:rPr>
          <w:rFonts w:ascii="Times New Roman" w:hAnsi="Times New Roman" w:cs="Times New Roman"/>
          <w:color w:val="000000" w:themeColor="text1"/>
          <w:sz w:val="24"/>
          <w:szCs w:val="24"/>
        </w:rPr>
        <w:t xml:space="preserve">C, </w:t>
      </w:r>
      <w:r w:rsidR="00347205" w:rsidRPr="0066220C">
        <w:rPr>
          <w:rFonts w:ascii="Times New Roman" w:hAnsi="Times New Roman" w:cs="Times New Roman"/>
          <w:color w:val="000000" w:themeColor="text1"/>
          <w:sz w:val="24"/>
        </w:rPr>
        <w:t>δ</w:t>
      </w:r>
      <w:r w:rsidR="00347205" w:rsidRPr="0066220C">
        <w:rPr>
          <w:rFonts w:ascii="Times New Roman" w:hAnsi="Times New Roman" w:cs="Times New Roman"/>
          <w:color w:val="000000" w:themeColor="text1"/>
          <w:sz w:val="24"/>
          <w:vertAlign w:val="superscript"/>
        </w:rPr>
        <w:t>13</w:t>
      </w:r>
      <w:r w:rsidR="00347205" w:rsidRPr="0066220C">
        <w:rPr>
          <w:rFonts w:ascii="Times New Roman" w:hAnsi="Times New Roman" w:cs="Times New Roman"/>
          <w:color w:val="000000" w:themeColor="text1"/>
          <w:sz w:val="24"/>
        </w:rPr>
        <w:t>C</w:t>
      </w:r>
      <w:r w:rsidR="00347205" w:rsidRPr="0066220C">
        <w:rPr>
          <w:rFonts w:ascii="Times New Roman" w:hAnsi="Times New Roman" w:cs="Times New Roman"/>
          <w:color w:val="000000" w:themeColor="text1"/>
          <w:sz w:val="24"/>
          <w:vertAlign w:val="subscript"/>
        </w:rPr>
        <w:t>Pro,</w:t>
      </w:r>
      <w:r w:rsidR="00347205" w:rsidRPr="0066220C">
        <w:rPr>
          <w:rFonts w:ascii="Times New Roman" w:hAnsi="Times New Roman" w:cs="Times New Roman"/>
          <w:color w:val="000000" w:themeColor="text1"/>
          <w:sz w:val="24"/>
        </w:rPr>
        <w:t xml:space="preserve"> δ</w:t>
      </w:r>
      <w:r w:rsidR="00347205" w:rsidRPr="0066220C">
        <w:rPr>
          <w:rFonts w:ascii="Times New Roman" w:hAnsi="Times New Roman" w:cs="Times New Roman"/>
          <w:color w:val="000000" w:themeColor="text1"/>
          <w:sz w:val="24"/>
          <w:vertAlign w:val="superscript"/>
        </w:rPr>
        <w:t>13</w:t>
      </w:r>
      <w:r w:rsidR="00347205" w:rsidRPr="0066220C">
        <w:rPr>
          <w:rFonts w:ascii="Times New Roman" w:hAnsi="Times New Roman" w:cs="Times New Roman"/>
          <w:color w:val="000000" w:themeColor="text1"/>
          <w:sz w:val="24"/>
        </w:rPr>
        <w:t>C</w:t>
      </w:r>
      <w:r w:rsidR="00347205" w:rsidRPr="0066220C">
        <w:rPr>
          <w:rFonts w:ascii="Times New Roman" w:hAnsi="Times New Roman" w:cs="Times New Roman"/>
          <w:color w:val="000000" w:themeColor="text1"/>
          <w:sz w:val="24"/>
          <w:vertAlign w:val="subscript"/>
        </w:rPr>
        <w:t xml:space="preserve">Asp, </w:t>
      </w:r>
      <w:r w:rsidR="00347205" w:rsidRPr="0066220C">
        <w:rPr>
          <w:rFonts w:ascii="Times New Roman" w:hAnsi="Times New Roman" w:cs="Times New Roman"/>
          <w:color w:val="000000" w:themeColor="text1"/>
          <w:sz w:val="24"/>
        </w:rPr>
        <w:t>δ</w:t>
      </w:r>
      <w:r w:rsidR="00347205" w:rsidRPr="0066220C">
        <w:rPr>
          <w:rFonts w:ascii="Times New Roman" w:hAnsi="Times New Roman" w:cs="Times New Roman"/>
          <w:color w:val="000000" w:themeColor="text1"/>
          <w:sz w:val="24"/>
          <w:vertAlign w:val="superscript"/>
        </w:rPr>
        <w:t>13</w:t>
      </w:r>
      <w:r w:rsidR="00347205" w:rsidRPr="0066220C">
        <w:rPr>
          <w:rFonts w:ascii="Times New Roman" w:hAnsi="Times New Roman" w:cs="Times New Roman"/>
          <w:color w:val="000000" w:themeColor="text1"/>
          <w:sz w:val="24"/>
        </w:rPr>
        <w:t>C</w:t>
      </w:r>
      <w:r w:rsidR="00347205" w:rsidRPr="0066220C">
        <w:rPr>
          <w:rFonts w:ascii="Times New Roman" w:hAnsi="Times New Roman" w:cs="Times New Roman"/>
          <w:color w:val="000000" w:themeColor="text1"/>
          <w:sz w:val="24"/>
          <w:vertAlign w:val="subscript"/>
        </w:rPr>
        <w:t xml:space="preserve">Lys, </w:t>
      </w:r>
      <w:r w:rsidR="00347205" w:rsidRPr="0066220C">
        <w:rPr>
          <w:rFonts w:ascii="Times New Roman" w:hAnsi="Times New Roman" w:cs="Times New Roman"/>
          <w:color w:val="000000" w:themeColor="text1"/>
          <w:sz w:val="24"/>
        </w:rPr>
        <w:t>δ</w:t>
      </w:r>
      <w:r w:rsidR="00347205" w:rsidRPr="0066220C">
        <w:rPr>
          <w:rFonts w:ascii="Times New Roman" w:hAnsi="Times New Roman" w:cs="Times New Roman"/>
          <w:color w:val="000000" w:themeColor="text1"/>
          <w:sz w:val="24"/>
          <w:vertAlign w:val="superscript"/>
        </w:rPr>
        <w:t>13</w:t>
      </w:r>
      <w:r w:rsidR="00347205" w:rsidRPr="0066220C">
        <w:rPr>
          <w:rFonts w:ascii="Times New Roman" w:hAnsi="Times New Roman" w:cs="Times New Roman"/>
          <w:color w:val="000000" w:themeColor="text1"/>
          <w:sz w:val="24"/>
        </w:rPr>
        <w:t>C</w:t>
      </w:r>
      <w:r w:rsidR="00347205" w:rsidRPr="0066220C">
        <w:rPr>
          <w:rFonts w:ascii="Times New Roman" w:hAnsi="Times New Roman" w:cs="Times New Roman"/>
          <w:color w:val="000000" w:themeColor="text1"/>
          <w:sz w:val="24"/>
          <w:vertAlign w:val="subscript"/>
        </w:rPr>
        <w:t xml:space="preserve">Ala, </w:t>
      </w:r>
      <w:r w:rsidR="00347205" w:rsidRPr="0066220C">
        <w:rPr>
          <w:rFonts w:ascii="Times New Roman" w:hAnsi="Times New Roman" w:cs="Times New Roman"/>
          <w:color w:val="000000" w:themeColor="text1"/>
          <w:sz w:val="24"/>
        </w:rPr>
        <w:t>δ</w:t>
      </w:r>
      <w:r w:rsidR="00347205" w:rsidRPr="0066220C">
        <w:rPr>
          <w:rFonts w:ascii="Times New Roman" w:hAnsi="Times New Roman" w:cs="Times New Roman"/>
          <w:color w:val="000000" w:themeColor="text1"/>
          <w:sz w:val="24"/>
          <w:vertAlign w:val="superscript"/>
        </w:rPr>
        <w:t>13</w:t>
      </w:r>
      <w:r w:rsidR="00347205" w:rsidRPr="0066220C">
        <w:rPr>
          <w:rFonts w:ascii="Times New Roman" w:hAnsi="Times New Roman" w:cs="Times New Roman"/>
          <w:color w:val="000000" w:themeColor="text1"/>
          <w:sz w:val="24"/>
        </w:rPr>
        <w:t>C</w:t>
      </w:r>
      <w:r w:rsidR="00347205" w:rsidRPr="0066220C">
        <w:rPr>
          <w:rFonts w:ascii="Times New Roman" w:hAnsi="Times New Roman" w:cs="Times New Roman"/>
          <w:color w:val="000000" w:themeColor="text1"/>
          <w:sz w:val="24"/>
          <w:vertAlign w:val="subscript"/>
        </w:rPr>
        <w:t xml:space="preserve">Val, </w:t>
      </w:r>
      <w:r w:rsidR="00347205" w:rsidRPr="0066220C">
        <w:rPr>
          <w:rFonts w:ascii="Times New Roman" w:hAnsi="Times New Roman" w:cs="Times New Roman"/>
          <w:color w:val="000000" w:themeColor="text1"/>
          <w:sz w:val="24"/>
        </w:rPr>
        <w:t>δ</w:t>
      </w:r>
      <w:r w:rsidR="00347205" w:rsidRPr="0066220C">
        <w:rPr>
          <w:rFonts w:ascii="Times New Roman" w:hAnsi="Times New Roman" w:cs="Times New Roman"/>
          <w:color w:val="000000" w:themeColor="text1"/>
          <w:sz w:val="24"/>
          <w:vertAlign w:val="superscript"/>
        </w:rPr>
        <w:t>13</w:t>
      </w:r>
      <w:r w:rsidR="00347205" w:rsidRPr="0066220C">
        <w:rPr>
          <w:rFonts w:ascii="Times New Roman" w:hAnsi="Times New Roman" w:cs="Times New Roman"/>
          <w:color w:val="000000" w:themeColor="text1"/>
          <w:sz w:val="24"/>
        </w:rPr>
        <w:t>C</w:t>
      </w:r>
      <w:r w:rsidR="00347205" w:rsidRPr="0066220C">
        <w:rPr>
          <w:rFonts w:ascii="Times New Roman" w:hAnsi="Times New Roman" w:cs="Times New Roman"/>
          <w:color w:val="000000" w:themeColor="text1"/>
          <w:sz w:val="24"/>
          <w:vertAlign w:val="subscript"/>
        </w:rPr>
        <w:t xml:space="preserve">Glx, </w:t>
      </w:r>
      <w:r w:rsidR="00347205" w:rsidRPr="0066220C">
        <w:rPr>
          <w:rFonts w:ascii="Times New Roman" w:hAnsi="Times New Roman" w:cs="Times New Roman"/>
          <w:color w:val="000000" w:themeColor="text1"/>
          <w:sz w:val="24"/>
        </w:rPr>
        <w:t>δ</w:t>
      </w:r>
      <w:r w:rsidR="00347205" w:rsidRPr="0066220C">
        <w:rPr>
          <w:rFonts w:ascii="Times New Roman" w:hAnsi="Times New Roman" w:cs="Times New Roman"/>
          <w:color w:val="000000" w:themeColor="text1"/>
          <w:sz w:val="24"/>
          <w:vertAlign w:val="superscript"/>
        </w:rPr>
        <w:t>13</w:t>
      </w:r>
      <w:r w:rsidR="00347205" w:rsidRPr="0066220C">
        <w:rPr>
          <w:rFonts w:ascii="Times New Roman" w:hAnsi="Times New Roman" w:cs="Times New Roman"/>
          <w:color w:val="000000" w:themeColor="text1"/>
          <w:sz w:val="24"/>
        </w:rPr>
        <w:t>C</w:t>
      </w:r>
      <w:r w:rsidR="00347205" w:rsidRPr="0066220C">
        <w:rPr>
          <w:rFonts w:ascii="Times New Roman" w:hAnsi="Times New Roman" w:cs="Times New Roman"/>
          <w:color w:val="000000" w:themeColor="text1"/>
          <w:sz w:val="24"/>
          <w:vertAlign w:val="subscript"/>
        </w:rPr>
        <w:t xml:space="preserve">Gly </w:t>
      </w:r>
      <w:r w:rsidR="00347205" w:rsidRPr="0066220C">
        <w:rPr>
          <w:rFonts w:ascii="Times New Roman" w:eastAsia="Times New Roman" w:hAnsi="Times New Roman" w:cs="Times New Roman"/>
          <w:color w:val="000000" w:themeColor="text1"/>
          <w:sz w:val="24"/>
          <w:szCs w:val="24"/>
        </w:rPr>
        <w:t xml:space="preserve">have the highest positive effect on the first principal component (PC1), while </w:t>
      </w:r>
      <w:r w:rsidR="00347205" w:rsidRPr="0066220C">
        <w:rPr>
          <w:rFonts w:ascii="Times New Roman" w:hAnsi="Times New Roman" w:cs="Times New Roman"/>
          <w:color w:val="000000" w:themeColor="text1"/>
          <w:sz w:val="24"/>
          <w:szCs w:val="24"/>
        </w:rPr>
        <w:t>Δ</w:t>
      </w:r>
      <w:r w:rsidR="00347205" w:rsidRPr="0066220C">
        <w:rPr>
          <w:rFonts w:ascii="Times New Roman" w:hAnsi="Times New Roman" w:cs="Times New Roman"/>
          <w:color w:val="000000" w:themeColor="text1"/>
          <w:sz w:val="24"/>
          <w:szCs w:val="24"/>
          <w:vertAlign w:val="superscript"/>
        </w:rPr>
        <w:t>13</w:t>
      </w:r>
      <w:r w:rsidR="00347205" w:rsidRPr="0066220C">
        <w:rPr>
          <w:rFonts w:ascii="Times New Roman" w:hAnsi="Times New Roman" w:cs="Times New Roman"/>
          <w:color w:val="000000" w:themeColor="text1"/>
          <w:sz w:val="24"/>
          <w:szCs w:val="24"/>
        </w:rPr>
        <w:t>C</w:t>
      </w:r>
      <w:r w:rsidR="00347205" w:rsidRPr="0066220C">
        <w:rPr>
          <w:rFonts w:ascii="Times New Roman" w:hAnsi="Times New Roman" w:cs="Times New Roman"/>
          <w:color w:val="000000" w:themeColor="text1"/>
          <w:sz w:val="24"/>
          <w:szCs w:val="24"/>
          <w:vertAlign w:val="subscript"/>
        </w:rPr>
        <w:t>Gly-Phe</w:t>
      </w:r>
      <w:r w:rsidR="00347205" w:rsidRPr="0066220C">
        <w:rPr>
          <w:rFonts w:ascii="Times New Roman" w:hAnsi="Times New Roman" w:cs="Times New Roman"/>
          <w:color w:val="000000" w:themeColor="text1"/>
          <w:sz w:val="24"/>
          <w:szCs w:val="24"/>
        </w:rPr>
        <w:t>, Δ</w:t>
      </w:r>
      <w:r w:rsidR="00347205" w:rsidRPr="0066220C">
        <w:rPr>
          <w:rFonts w:ascii="Times New Roman" w:hAnsi="Times New Roman" w:cs="Times New Roman"/>
          <w:color w:val="000000" w:themeColor="text1"/>
          <w:sz w:val="24"/>
          <w:szCs w:val="24"/>
          <w:vertAlign w:val="superscript"/>
        </w:rPr>
        <w:t>13</w:t>
      </w:r>
      <w:r w:rsidR="00347205" w:rsidRPr="0066220C">
        <w:rPr>
          <w:rFonts w:ascii="Times New Roman" w:hAnsi="Times New Roman" w:cs="Times New Roman"/>
          <w:color w:val="000000" w:themeColor="text1"/>
          <w:sz w:val="24"/>
          <w:szCs w:val="24"/>
        </w:rPr>
        <w:t>C</w:t>
      </w:r>
      <w:r w:rsidR="00347205" w:rsidRPr="0066220C">
        <w:rPr>
          <w:rFonts w:ascii="Times New Roman" w:hAnsi="Times New Roman" w:cs="Times New Roman"/>
          <w:color w:val="000000" w:themeColor="text1"/>
          <w:sz w:val="24"/>
          <w:szCs w:val="24"/>
          <w:vertAlign w:val="subscript"/>
        </w:rPr>
        <w:t>Val-Phe</w:t>
      </w:r>
      <w:r w:rsidR="00347205" w:rsidRPr="0066220C">
        <w:rPr>
          <w:rFonts w:ascii="Times New Roman" w:hAnsi="Times New Roman" w:cs="Times New Roman"/>
          <w:color w:val="000000" w:themeColor="text1"/>
          <w:sz w:val="24"/>
          <w:szCs w:val="24"/>
        </w:rPr>
        <w:t>, and bulk δ</w:t>
      </w:r>
      <w:r w:rsidR="00347205" w:rsidRPr="0066220C">
        <w:rPr>
          <w:rFonts w:ascii="Times New Roman" w:hAnsi="Times New Roman" w:cs="Times New Roman"/>
          <w:color w:val="000000" w:themeColor="text1"/>
          <w:sz w:val="24"/>
          <w:szCs w:val="24"/>
          <w:vertAlign w:val="superscript"/>
        </w:rPr>
        <w:t>15</w:t>
      </w:r>
      <w:r w:rsidR="00347205" w:rsidRPr="0066220C">
        <w:rPr>
          <w:rFonts w:ascii="Times New Roman" w:hAnsi="Times New Roman" w:cs="Times New Roman"/>
          <w:color w:val="000000" w:themeColor="text1"/>
          <w:sz w:val="24"/>
          <w:szCs w:val="24"/>
        </w:rPr>
        <w:t>N have most significant negative effect on the second principal component (PC2)</w:t>
      </w:r>
      <w:r w:rsidR="00043F88" w:rsidRPr="0066220C">
        <w:rPr>
          <w:rFonts w:ascii="Times New Roman" w:hAnsi="Times New Roman" w:cs="Times New Roman"/>
          <w:color w:val="000000" w:themeColor="text1"/>
          <w:sz w:val="24"/>
          <w:szCs w:val="24"/>
        </w:rPr>
        <w:t xml:space="preserve"> (Table SI </w:t>
      </w:r>
      <w:r w:rsidR="00DF0080">
        <w:rPr>
          <w:rFonts w:ascii="Times New Roman" w:hAnsi="Times New Roman" w:cs="Times New Roman"/>
          <w:color w:val="000000" w:themeColor="text1"/>
          <w:sz w:val="24"/>
          <w:szCs w:val="24"/>
        </w:rPr>
        <w:t>10</w:t>
      </w:r>
      <w:r w:rsidR="00043F88" w:rsidRPr="0066220C">
        <w:rPr>
          <w:rFonts w:ascii="Times New Roman" w:hAnsi="Times New Roman" w:cs="Times New Roman"/>
          <w:color w:val="000000" w:themeColor="text1"/>
          <w:sz w:val="24"/>
          <w:szCs w:val="24"/>
        </w:rPr>
        <w:t>)</w:t>
      </w:r>
      <w:r w:rsidR="00AF5CDE" w:rsidRPr="0066220C">
        <w:rPr>
          <w:rFonts w:ascii="Times New Roman" w:hAnsi="Times New Roman" w:cs="Times New Roman"/>
          <w:color w:val="000000" w:themeColor="text1"/>
          <w:sz w:val="24"/>
          <w:szCs w:val="24"/>
        </w:rPr>
        <w:t xml:space="preserve">. </w:t>
      </w:r>
      <w:r w:rsidR="00347205" w:rsidRPr="0066220C">
        <w:rPr>
          <w:rFonts w:ascii="Times New Roman" w:hAnsi="Times New Roman" w:cs="Times New Roman"/>
          <w:color w:val="000000" w:themeColor="text1"/>
          <w:sz w:val="24"/>
          <w:szCs w:val="24"/>
        </w:rPr>
        <w:t> </w:t>
      </w:r>
    </w:p>
    <w:p w14:paraId="4BE9531C" w14:textId="7F55D769" w:rsidR="00724941" w:rsidRPr="0064579A" w:rsidRDefault="00724941" w:rsidP="00370770">
      <w:pPr>
        <w:spacing w:before="240" w:after="240" w:line="360" w:lineRule="auto"/>
        <w:rPr>
          <w:rFonts w:ascii="Times New Roman" w:hAnsi="Times New Roman" w:cs="Times New Roman"/>
          <w:sz w:val="24"/>
          <w:szCs w:val="24"/>
        </w:rPr>
      </w:pPr>
      <w:r>
        <w:rPr>
          <w:rFonts w:ascii="Times New Roman" w:eastAsia="Times New Roman" w:hAnsi="Times New Roman" w:cs="Times New Roman"/>
          <w:sz w:val="24"/>
          <w:szCs w:val="24"/>
        </w:rPr>
        <w:t>When plotting the human and animals from Taforalt with different dietary groups:</w:t>
      </w:r>
      <w:r w:rsidRPr="00724941">
        <w:t xml:space="preserve"> </w:t>
      </w:r>
      <w:r w:rsidRPr="003C7995">
        <w:rPr>
          <w:rFonts w:ascii="Times New Roman" w:hAnsi="Times New Roman" w:cs="Times New Roman"/>
          <w:sz w:val="24"/>
          <w:szCs w:val="24"/>
        </w:rPr>
        <w:t>C</w:t>
      </w:r>
      <w:r w:rsidRPr="003C7995">
        <w:rPr>
          <w:rFonts w:ascii="Times New Roman" w:hAnsi="Times New Roman" w:cs="Times New Roman"/>
          <w:sz w:val="24"/>
          <w:szCs w:val="24"/>
          <w:vertAlign w:val="subscript"/>
        </w:rPr>
        <w:t>3</w:t>
      </w:r>
      <w:r w:rsidRPr="003C7995">
        <w:rPr>
          <w:rFonts w:ascii="Times New Roman" w:hAnsi="Times New Roman" w:cs="Times New Roman"/>
          <w:sz w:val="24"/>
          <w:szCs w:val="24"/>
        </w:rPr>
        <w:t xml:space="preserve"> animals, C</w:t>
      </w:r>
      <w:r w:rsidRPr="003C7995">
        <w:rPr>
          <w:rFonts w:ascii="Times New Roman" w:hAnsi="Times New Roman" w:cs="Times New Roman"/>
          <w:sz w:val="24"/>
          <w:szCs w:val="24"/>
          <w:vertAlign w:val="subscript"/>
        </w:rPr>
        <w:t>3</w:t>
      </w:r>
      <w:r w:rsidRPr="003C7995">
        <w:rPr>
          <w:rFonts w:ascii="Times New Roman" w:hAnsi="Times New Roman" w:cs="Times New Roman"/>
          <w:sz w:val="24"/>
          <w:szCs w:val="24"/>
        </w:rPr>
        <w:t xml:space="preserve"> humans, C</w:t>
      </w:r>
      <w:r w:rsidRPr="003C7995">
        <w:rPr>
          <w:rFonts w:ascii="Times New Roman" w:hAnsi="Times New Roman" w:cs="Times New Roman"/>
          <w:sz w:val="24"/>
          <w:szCs w:val="24"/>
          <w:vertAlign w:val="subscript"/>
        </w:rPr>
        <w:t>4</w:t>
      </w:r>
      <w:r w:rsidRPr="003C7995">
        <w:rPr>
          <w:rFonts w:ascii="Times New Roman" w:hAnsi="Times New Roman" w:cs="Times New Roman"/>
          <w:sz w:val="24"/>
          <w:szCs w:val="24"/>
        </w:rPr>
        <w:t xml:space="preserve"> humans, and the marine and freshwater consumers</w:t>
      </w:r>
      <w:r>
        <w:rPr>
          <w:rFonts w:ascii="Times New Roman" w:hAnsi="Times New Roman" w:cs="Times New Roman"/>
          <w:sz w:val="24"/>
          <w:szCs w:val="24"/>
        </w:rPr>
        <w:t xml:space="preserve"> from published studies (Figure </w:t>
      </w:r>
      <w:r w:rsidR="00B07929">
        <w:rPr>
          <w:rFonts w:ascii="Times New Roman" w:hAnsi="Times New Roman" w:cs="Times New Roman"/>
          <w:sz w:val="24"/>
          <w:szCs w:val="24"/>
        </w:rPr>
        <w:t xml:space="preserve">SI </w:t>
      </w:r>
      <w:r w:rsidR="00C848A2">
        <w:rPr>
          <w:rFonts w:ascii="Times New Roman" w:hAnsi="Times New Roman" w:cs="Times New Roman"/>
          <w:sz w:val="24"/>
          <w:szCs w:val="24"/>
        </w:rPr>
        <w:t xml:space="preserve">4.9, </w:t>
      </w:r>
      <w:r w:rsidR="00B07929">
        <w:rPr>
          <w:rFonts w:ascii="Times New Roman" w:hAnsi="Times New Roman" w:cs="Times New Roman"/>
          <w:sz w:val="24"/>
          <w:szCs w:val="24"/>
        </w:rPr>
        <w:t>4.</w:t>
      </w:r>
      <w:r w:rsidR="00DF0080">
        <w:rPr>
          <w:rFonts w:ascii="Times New Roman" w:hAnsi="Times New Roman" w:cs="Times New Roman"/>
          <w:sz w:val="24"/>
          <w:szCs w:val="24"/>
        </w:rPr>
        <w:t>10</w:t>
      </w:r>
      <w:r w:rsidR="00B07929">
        <w:rPr>
          <w:rFonts w:ascii="Times New Roman" w:hAnsi="Times New Roman" w:cs="Times New Roman"/>
          <w:sz w:val="24"/>
          <w:szCs w:val="24"/>
        </w:rPr>
        <w:t>, 4.1</w:t>
      </w:r>
      <w:r w:rsidR="00DF0080">
        <w:rPr>
          <w:rFonts w:ascii="Times New Roman" w:hAnsi="Times New Roman" w:cs="Times New Roman"/>
          <w:sz w:val="24"/>
          <w:szCs w:val="24"/>
        </w:rPr>
        <w:t>1</w:t>
      </w:r>
      <w:r w:rsidR="00B07929">
        <w:rPr>
          <w:rFonts w:ascii="Times New Roman" w:hAnsi="Times New Roman" w:cs="Times New Roman"/>
          <w:sz w:val="24"/>
          <w:szCs w:val="24"/>
        </w:rPr>
        <w:t>,4.1</w:t>
      </w:r>
      <w:r w:rsidR="00DF0080">
        <w:rPr>
          <w:rFonts w:ascii="Times New Roman" w:hAnsi="Times New Roman" w:cs="Times New Roman"/>
          <w:sz w:val="24"/>
          <w:szCs w:val="24"/>
        </w:rPr>
        <w:t>2</w:t>
      </w:r>
      <w:r>
        <w:rPr>
          <w:rFonts w:ascii="Times New Roman" w:hAnsi="Times New Roman" w:cs="Times New Roman"/>
          <w:sz w:val="24"/>
          <w:szCs w:val="24"/>
        </w:rPr>
        <w:t>) we see that our individual plot well with the C3 consumers</w:t>
      </w:r>
      <w:r w:rsidR="00DC3AE4">
        <w:rPr>
          <w:rFonts w:ascii="Times New Roman" w:hAnsi="Times New Roman" w:cs="Times New Roman"/>
          <w:sz w:val="24"/>
          <w:szCs w:val="24"/>
        </w:rPr>
        <w:t xml:space="preserve">. This confirms their terrestrial C3 diet and the absence/ rare consumption of marine and freshwater resources. </w:t>
      </w:r>
    </w:p>
    <w:p w14:paraId="293BA626" w14:textId="0BB9D4F9" w:rsidR="002767D7" w:rsidRDefault="002767D7" w:rsidP="003C7995">
      <w:pPr>
        <w:spacing w:before="240" w:after="240" w:line="360" w:lineRule="auto"/>
        <w:rPr>
          <w:rFonts w:ascii="Times New Roman" w:eastAsia="Times New Roman" w:hAnsi="Times New Roman" w:cs="Times New Roman"/>
          <w:i/>
          <w:noProof/>
          <w:sz w:val="24"/>
          <w:szCs w:val="24"/>
        </w:rPr>
      </w:pPr>
    </w:p>
    <w:p w14:paraId="732BFB58" w14:textId="6235497D" w:rsidR="002767D7" w:rsidRDefault="002767D7" w:rsidP="003C7995">
      <w:pPr>
        <w:spacing w:before="240" w:after="240" w:line="360" w:lineRule="auto"/>
        <w:rPr>
          <w:rFonts w:ascii="Times New Roman" w:eastAsia="Times New Roman" w:hAnsi="Times New Roman" w:cs="Times New Roman"/>
          <w:i/>
          <w:noProof/>
          <w:sz w:val="24"/>
          <w:szCs w:val="24"/>
        </w:rPr>
      </w:pPr>
    </w:p>
    <w:p w14:paraId="31511874" w14:textId="2C555B5A" w:rsidR="002767D7" w:rsidRDefault="002767D7" w:rsidP="003C7995">
      <w:pPr>
        <w:spacing w:before="240" w:after="240" w:line="360" w:lineRule="auto"/>
        <w:rPr>
          <w:rFonts w:ascii="Times New Roman" w:eastAsia="Times New Roman" w:hAnsi="Times New Roman" w:cs="Times New Roman"/>
          <w:i/>
          <w:noProof/>
          <w:sz w:val="24"/>
          <w:szCs w:val="24"/>
        </w:rPr>
      </w:pPr>
    </w:p>
    <w:p w14:paraId="66AC2764" w14:textId="5439C0D8" w:rsidR="000378BF" w:rsidRDefault="000378BF" w:rsidP="003C7995">
      <w:pPr>
        <w:spacing w:before="240" w:after="240" w:line="360" w:lineRule="auto"/>
        <w:rPr>
          <w:rFonts w:ascii="Times New Roman" w:eastAsia="Times New Roman" w:hAnsi="Times New Roman" w:cs="Times New Roman"/>
          <w:i/>
          <w:sz w:val="24"/>
          <w:szCs w:val="24"/>
        </w:rPr>
      </w:pPr>
    </w:p>
    <w:p w14:paraId="46A7FC0E" w14:textId="2694F408" w:rsidR="000378BF" w:rsidRPr="000378BF" w:rsidRDefault="00CF101C" w:rsidP="003C7995">
      <w:pPr>
        <w:spacing w:before="240" w:after="240" w:line="360" w:lineRule="auto"/>
        <w:rPr>
          <w:rFonts w:ascii="Times New Roman" w:eastAsia="Times New Roman" w:hAnsi="Times New Roman" w:cs="Times New Roman"/>
          <w:iCs/>
          <w:sz w:val="24"/>
          <w:szCs w:val="24"/>
        </w:rPr>
      </w:pPr>
      <w:r>
        <w:rPr>
          <w:rFonts w:ascii="Times New Roman" w:eastAsia="Times New Roman" w:hAnsi="Times New Roman" w:cs="Times New Roman"/>
          <w:iCs/>
          <w:noProof/>
          <w:sz w:val="24"/>
          <w:szCs w:val="24"/>
        </w:rPr>
        <w:drawing>
          <wp:inline distT="0" distB="0" distL="0" distR="0" wp14:anchorId="3B62ABCD" wp14:editId="2283B1DC">
            <wp:extent cx="6810951" cy="5006340"/>
            <wp:effectExtent l="0" t="0" r="9525" b="381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ggplot2save-PCA.Taforalt-01.06.jpe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817070" cy="5010837"/>
                    </a:xfrm>
                    <a:prstGeom prst="rect">
                      <a:avLst/>
                    </a:prstGeom>
                  </pic:spPr>
                </pic:pic>
              </a:graphicData>
            </a:graphic>
          </wp:inline>
        </w:drawing>
      </w:r>
    </w:p>
    <w:p w14:paraId="1EA2DBC8" w14:textId="7B4F5F53" w:rsidR="002A565D" w:rsidRPr="00A05E4F" w:rsidRDefault="002A565D" w:rsidP="00837F62">
      <w:pPr>
        <w:spacing w:before="240" w:after="240" w:line="360" w:lineRule="auto"/>
        <w:rPr>
          <w:rFonts w:ascii="Times New Roman" w:hAnsi="Times New Roman" w:cs="Times New Roman"/>
          <w:vertAlign w:val="subscript"/>
        </w:rPr>
      </w:pPr>
      <w:bookmarkStart w:id="48" w:name="_Hlk137040267"/>
      <w:r w:rsidRPr="00727940">
        <w:rPr>
          <w:rFonts w:ascii="Times New Roman" w:eastAsia="Times New Roman" w:hAnsi="Times New Roman" w:cs="Times New Roman"/>
          <w:b/>
        </w:rPr>
        <w:t xml:space="preserve">Figure </w:t>
      </w:r>
      <w:r w:rsidR="00A63545" w:rsidRPr="00727940">
        <w:rPr>
          <w:rFonts w:ascii="Times New Roman" w:eastAsia="Times New Roman" w:hAnsi="Times New Roman" w:cs="Times New Roman"/>
          <w:b/>
        </w:rPr>
        <w:t>S4.</w:t>
      </w:r>
      <w:r w:rsidR="0007221D">
        <w:rPr>
          <w:rFonts w:ascii="Times New Roman" w:eastAsia="Times New Roman" w:hAnsi="Times New Roman" w:cs="Times New Roman"/>
          <w:b/>
        </w:rPr>
        <w:t>9</w:t>
      </w:r>
      <w:r w:rsidRPr="00727940">
        <w:rPr>
          <w:rFonts w:ascii="Times New Roman" w:eastAsia="Times New Roman" w:hAnsi="Times New Roman" w:cs="Times New Roman"/>
          <w:b/>
        </w:rPr>
        <w:t>:</w:t>
      </w:r>
      <w:r w:rsidRPr="00727940">
        <w:rPr>
          <w:rFonts w:ascii="Times New Roman" w:eastAsia="Times New Roman" w:hAnsi="Times New Roman" w:cs="Times New Roman"/>
        </w:rPr>
        <w:t xml:space="preserve"> PCA plot of the </w:t>
      </w:r>
      <w:r w:rsidRPr="00727940">
        <w:rPr>
          <w:rStyle w:val="captions"/>
          <w:rFonts w:ascii="Times New Roman" w:hAnsi="Times New Roman" w:cs="Times New Roman"/>
          <w:vertAlign w:val="superscript"/>
        </w:rPr>
        <w:t>13</w:t>
      </w:r>
      <w:r w:rsidRPr="00727940">
        <w:rPr>
          <w:rStyle w:val="captions"/>
          <w:rFonts w:ascii="Times New Roman" w:hAnsi="Times New Roman" w:cs="Times New Roman"/>
        </w:rPr>
        <w:t>C</w:t>
      </w:r>
      <w:r w:rsidR="00BE4865">
        <w:rPr>
          <w:rStyle w:val="captions"/>
          <w:rFonts w:ascii="Times New Roman" w:hAnsi="Times New Roman" w:cs="Times New Roman"/>
          <w:vertAlign w:val="subscript"/>
        </w:rPr>
        <w:t xml:space="preserve">Ala,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Asp</w:t>
      </w:r>
      <w:r w:rsidR="00BE4865" w:rsidRPr="00727940" w:rsidDel="00BE4865">
        <w:rPr>
          <w:rStyle w:val="captions"/>
          <w:rFonts w:ascii="Times New Roman" w:hAnsi="Times New Roman" w:cs="Times New Roman"/>
          <w:vertAlign w:val="subscript"/>
        </w:rPr>
        <w:t xml:space="preserve"> </w:t>
      </w:r>
      <w:r w:rsidR="00BE4865">
        <w:rPr>
          <w:rStyle w:val="captions"/>
          <w:rFonts w:ascii="Times New Roman" w:hAnsi="Times New Roman" w:cs="Times New Roman"/>
          <w:vertAlign w:val="subscript"/>
        </w:rPr>
        <w:t>,</w:t>
      </w:r>
      <w:r w:rsidR="00BE4865" w:rsidRPr="00BE4865">
        <w:rPr>
          <w:rFonts w:ascii="Times New Roman" w:hAnsi="Times New Roman" w:cs="Times New Roman"/>
          <w:vertAlign w:val="superscript"/>
        </w:rPr>
        <w:t xml:space="preserve">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Glx</w:t>
      </w:r>
      <w:r w:rsidR="00BE4865" w:rsidRPr="00727940" w:rsidDel="00BE4865">
        <w:rPr>
          <w:rStyle w:val="captions"/>
          <w:rFonts w:ascii="Times New Roman" w:hAnsi="Times New Roman" w:cs="Times New Roman"/>
          <w:vertAlign w:val="subscript"/>
        </w:rPr>
        <w:t xml:space="preserve"> </w:t>
      </w:r>
      <w:r w:rsidR="00BE4865">
        <w:rPr>
          <w:rStyle w:val="captions"/>
          <w:rFonts w:ascii="Times New Roman" w:hAnsi="Times New Roman" w:cs="Times New Roman"/>
          <w:vertAlign w:val="subscript"/>
        </w:rPr>
        <w:t>,</w:t>
      </w:r>
      <w:r w:rsidR="00BE4865" w:rsidRPr="00BE4865">
        <w:rPr>
          <w:rFonts w:ascii="Times New Roman" w:hAnsi="Times New Roman" w:cs="Times New Roman"/>
          <w:vertAlign w:val="superscript"/>
        </w:rPr>
        <w:t xml:space="preserve">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Gly</w:t>
      </w:r>
      <w:r w:rsidR="00BE4865" w:rsidRPr="00727940" w:rsidDel="00BE4865">
        <w:rPr>
          <w:rStyle w:val="captions"/>
          <w:rFonts w:ascii="Times New Roman" w:hAnsi="Times New Roman" w:cs="Times New Roman"/>
          <w:vertAlign w:val="subscript"/>
        </w:rPr>
        <w:t xml:space="preserve"> </w:t>
      </w:r>
      <w:r w:rsidR="00BE4865">
        <w:rPr>
          <w:rStyle w:val="captions"/>
          <w:rFonts w:ascii="Times New Roman" w:hAnsi="Times New Roman" w:cs="Times New Roman"/>
          <w:vertAlign w:val="subscript"/>
        </w:rPr>
        <w:t>,</w:t>
      </w:r>
      <w:r w:rsidR="00BE4865" w:rsidRPr="00BE4865">
        <w:rPr>
          <w:rFonts w:ascii="Times New Roman" w:hAnsi="Times New Roman" w:cs="Times New Roman"/>
          <w:vertAlign w:val="superscript"/>
        </w:rPr>
        <w:t xml:space="preserve">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 xml:space="preserve">Gly-Phe,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 xml:space="preserve">Lys,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Phe,</w:t>
      </w:r>
      <w:r w:rsidR="00BE4865" w:rsidRPr="00BE4865">
        <w:rPr>
          <w:rFonts w:ascii="Times New Roman" w:hAnsi="Times New Roman" w:cs="Times New Roman"/>
          <w:vertAlign w:val="superscript"/>
        </w:rPr>
        <w:t xml:space="preserve">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 xml:space="preserve">Pro, </w:t>
      </w:r>
      <w:r w:rsidR="00BE4865" w:rsidRPr="00727940">
        <w:rPr>
          <w:rStyle w:val="captions"/>
          <w:rFonts w:ascii="Times New Roman" w:hAnsi="Times New Roman" w:cs="Times New Roman"/>
          <w:vertAlign w:val="superscript"/>
        </w:rPr>
        <w:t>13</w:t>
      </w:r>
      <w:r w:rsidR="00BE4865">
        <w:rPr>
          <w:rStyle w:val="captions"/>
          <w:rFonts w:ascii="Times New Roman" w:hAnsi="Times New Roman" w:cs="Times New Roman"/>
        </w:rPr>
        <w:t>C</w:t>
      </w:r>
      <w:r w:rsidR="00BE4865" w:rsidRPr="00A05E4F">
        <w:rPr>
          <w:rStyle w:val="captions"/>
          <w:rFonts w:ascii="Times New Roman" w:hAnsi="Times New Roman" w:cs="Times New Roman"/>
          <w:vertAlign w:val="subscript"/>
        </w:rPr>
        <w:t>val</w:t>
      </w:r>
      <w:r w:rsidR="00BE4865">
        <w:rPr>
          <w:rStyle w:val="captions"/>
          <w:rFonts w:ascii="Times New Roman" w:hAnsi="Times New Roman" w:cs="Times New Roman"/>
          <w:vertAlign w:val="subscript"/>
        </w:rPr>
        <w:t xml:space="preserve">, </w:t>
      </w:r>
      <w:r w:rsidR="00BE4865" w:rsidRPr="00727940">
        <w:rPr>
          <w:rStyle w:val="captions"/>
          <w:rFonts w:ascii="Times New Roman" w:hAnsi="Times New Roman" w:cs="Times New Roman"/>
          <w:vertAlign w:val="superscript"/>
        </w:rPr>
        <w:t>13</w:t>
      </w:r>
      <w:r w:rsidR="00BE4865" w:rsidRPr="00727940">
        <w:rPr>
          <w:rStyle w:val="captions"/>
          <w:rFonts w:ascii="Times New Roman" w:hAnsi="Times New Roman" w:cs="Times New Roman"/>
        </w:rPr>
        <w:t>C</w:t>
      </w:r>
      <w:r w:rsidR="00BE4865">
        <w:rPr>
          <w:rStyle w:val="captions"/>
          <w:rFonts w:ascii="Times New Roman" w:hAnsi="Times New Roman" w:cs="Times New Roman"/>
          <w:vertAlign w:val="subscript"/>
        </w:rPr>
        <w:t xml:space="preserve">Val-Phe </w:t>
      </w:r>
      <w:r w:rsidRPr="00727940">
        <w:rPr>
          <w:rStyle w:val="captions"/>
          <w:rFonts w:ascii="Times New Roman" w:hAnsi="Times New Roman" w:cs="Times New Roman"/>
        </w:rPr>
        <w:t xml:space="preserve"> measurement with bulk </w:t>
      </w:r>
      <w:r w:rsidRPr="00727940">
        <w:rPr>
          <w:rStyle w:val="captions"/>
          <w:rFonts w:ascii="Times New Roman" w:hAnsi="Times New Roman" w:cs="Times New Roman"/>
          <w:vertAlign w:val="superscript"/>
        </w:rPr>
        <w:t>13</w:t>
      </w:r>
      <w:r w:rsidRPr="00727940">
        <w:rPr>
          <w:rStyle w:val="captions"/>
          <w:rFonts w:ascii="Times New Roman" w:hAnsi="Times New Roman" w:cs="Times New Roman"/>
        </w:rPr>
        <w:t xml:space="preserve">C and </w:t>
      </w:r>
      <w:r w:rsidRPr="00727940">
        <w:rPr>
          <w:rStyle w:val="captions"/>
          <w:rFonts w:ascii="Times New Roman" w:hAnsi="Times New Roman" w:cs="Times New Roman"/>
          <w:vertAlign w:val="superscript"/>
        </w:rPr>
        <w:t>15</w:t>
      </w:r>
      <w:r w:rsidRPr="00727940">
        <w:rPr>
          <w:rStyle w:val="captions"/>
          <w:rFonts w:ascii="Times New Roman" w:hAnsi="Times New Roman" w:cs="Times New Roman"/>
        </w:rPr>
        <w:t>N values</w:t>
      </w:r>
      <w:r w:rsidR="008B4920" w:rsidRPr="00727940">
        <w:rPr>
          <w:rStyle w:val="captions"/>
          <w:rFonts w:ascii="Times New Roman" w:hAnsi="Times New Roman" w:cs="Times New Roman"/>
        </w:rPr>
        <w:t xml:space="preserve"> </w:t>
      </w:r>
      <w:r w:rsidRPr="00727940">
        <w:rPr>
          <w:rStyle w:val="captions"/>
          <w:rFonts w:ascii="Times New Roman" w:hAnsi="Times New Roman" w:cs="Times New Roman"/>
        </w:rPr>
        <w:t>from Taforalt and published data</w:t>
      </w:r>
      <w:r w:rsidR="004F549D" w:rsidRPr="00727940">
        <w:rPr>
          <w:rStyle w:val="captions"/>
          <w:rFonts w:ascii="Times New Roman" w:hAnsi="Times New Roman" w:cs="Times New Roman"/>
        </w:rPr>
        <w:fldChar w:fldCharType="begin"/>
      </w:r>
      <w:r w:rsidR="000E7E53">
        <w:rPr>
          <w:rStyle w:val="captions"/>
          <w:rFonts w:ascii="Times New Roman" w:hAnsi="Times New Roman" w:cs="Times New Roman"/>
        </w:rPr>
        <w:instrText xml:space="preserve"> ADDIN ZOTERO_ITEM CSL_CITATION {"citationID":"N0hTTTXj","properties":{"formattedCitation":"\\super 20,45,66,75\\uc0\\u8211{}78,78\\nosupersub{}","plainCitation":"20,45,66,75–78,78","noteIndex":0},"citationItems":[{"id":748,"uris":["http://zotero.org/users/7125028/items/XKLAEQEP"],"itemData":{"id":748,"type":"article-journal","abstract":"Objectives A clear understanding of past weaning practices can provide invaluable insights into social issues such as infant care, fertility rate, and demographic patterns in past societies. This study presents the first archeological research employing compound specific isotope analysis (CSIA) for the reconstruction of past weaning practices. Methods Weaning practices of two Middle Neolithic communities in the Paris Basin region: Balloy (BLR) and Vignely (VPB), are evaluated by combining previously published bone collagen stable carbon, nitrogen, and sulfur (n = 66) isotope analysis with new compound specific carbon and nitrogen isotope compositions of bone collagen (n = 10). Results Our results demonstrate that the diets of individuals from BLR and VPB likely incorporated freshwater resources. The signals of freshwater resources consumption are even stronger among subadults, suggesting that freshwater resources were used as weaning food at these sites. Conclusions The implications of our result are threefold. Currently many CSIA studies in archeology only involve either carbon or nitrogen. Our data shows that it is important to conduct CSIA on both carbon and nitrogen for a more integrated picture. Secondly, our data demonstrates that the use of a protein-based weaning food—instead of a starch-based weaning food (such as cereal gruel)—was likely more prevalent among the Middle Neolithic communities in the Paris Basin Region than previously thought. The finding thus prompts a rethinking of the role of protein-based weaning food in other archeological contexts. Lastly, the common assumption that weaning foods and adult diets share similar isotopic compositions can be problematic, as the use of protein-based, high trophic-level weaning foods can skew the δ15N weaning curve and produce an erroneously late estimation for weaning ages.","container-title":"American Journal of Biological Anthropology","DOI":"10.1002/ajpa.24591","ISSN":"2692-7691","issue":"1","language":"en","note":"_eprint: https://onlinelibrary.wiley.com/doi/pdf/10.1002/ajpa.24591","page":"118-133","source":"Wiley Online Library","title":"Compound specific isotope evidence points to use of freshwater resources as weaning food in Middle Neolithic Paris Basin","volume":"179","author":[{"family":"Cheung","given":"Christina"},{"family":"Herrscher","given":"Estelle"},{"family":"Thomas","given":"Aline"}],"issued":{"date-parts":[["2022"]]}}},{"id":14,"uris":["http://zotero.org/users/7125028/items/JUZKGJJB"],"itemData":{"id":14,"type":"article-journal","abstract":"This research presents the individual amino acid δ13C values in bone collagen of humans (n=9) and animals (n=27) from two prehistoric shell midden sites in Korea. We obtained complete baseline separation of 16 of the 18 amino acids found in bone collagen by using liquid chromatography–isotope ratio mass spectrometry (LC–IRMS). The isotopic results reveal that the humans and animals in the two sites had similar patterns in essential amino acids (EAAs) and non-essential amino acids (NEAAs). The EAA and NEAA δ13C values in humans are intermediate between those in marine and terrestrial animals. However, the threonine δ13C values in humans and animals measured in this study are more highly enriched than those of other amino acids. At both sites, all amino acids in marine animals are 13C-enriched relative to those of the terrestrial animals. The isotopic evidence suggests that the Tongsamdong human had EAAs and NEAAs from marine food resources, while the Nukdo humans mainly had EAAs from terrestrial food resources but obtained NEAAs from both terrestrial and marine resources. The δ13C isotopic differences in amino acids between marine and terrestrial animals were the largest for glycine (NEAA) and histidine (EAA) and the smallest for tyrosine (NEAA) and phenylalanine (EAA). In addition, threonine among the EAAs also had a large difference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8‰) in δ13C values between marine and terrestrial animals, and has the potential to be used as an isotopic marker in palaeodietary studies. Threonine δ13C values were used in conjunction with the established Δ13CGlycine–phenylalanine values and produced three distinct dietary groups (terrestrial, omnivorous, and marine). In addition, threonine δ13C values and Δ13CSerine–phenylalanine values were discovered to separate between two dietary groups (terrestrial vs. marine), and these δ13C values may provide a potential new indicator for investigating the distinction between marine and terrestrial protein sources in human diets.","container-title":"Geochimica et Cosmochimica Acta","DOI":"10.1016/j.gca.2010.07.025","ISSN":"0016-7037","issue":"21","journalAbbreviation":"Geochimica et Cosmochimica Acta","language":"en","page":"6093-6111","source":"ScienceDirect","title":"Investigation of amino acid δ13C signatures in bone collagen to reconstruct human palaeodiets using liquid chromatography–isotope ratio mass spectrometry","volume":"74","author":[{"family":"Choy","given":"Kyungcheol"},{"family":"Smith","given":"Colin I."},{"family":"Fuller","given":"Benjamin T."},{"family":"Richards","given":"Michael P."}],"issued":{"date-parts":[["2010",11,1]]}}},{"id":134,"uris":["http://zotero.org/users/7125028/items/AJVBLTT4"],"itemData":{"id":134,"type":"article-journal","abstract":"We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M."}],"issued":{"date-parts":[["2012"]]}}},{"id":145,"uris":["http://zotero.org/users/7125028/items/6TY8YHIJ"],"itemData":{"id":145,"type":"article-journal","abstract":"Isotope and archeological analyses of Paleolithic food webs have suggested that Neandertal subsistence relied mainly on the consumption of large herbivores. This conclusion was primarily based on elevated nitrogen isotope ratios in Neandertal bone collagen and has been significantly debated. This discussion relies on the observation that similar high nitrogen isotopes values could also be the result of the consumption of mammoths, young animals, putrid meat, cooked food, freshwater fish, carnivores, or mushrooms. Recently, compound-specific C and N isotope analyses of bone collagen amino acids have been demonstrated to add significantly more information about trophic levels and aquatic food consumption. We undertook single amino acid C and N isotope analysis on two Neandertals, which were characterized by exceptionally high N isotope ratios in their bulk bone or tooth collagen. We report here both C and N isotope ratios on single amino acids of collagen samples for these two Neandertals and associated fauna. The samples come from two sites dating to the Middle to Upper Paleolithic transition period (Les Cottés and Grotte du Renne, France). Our results reinforce the interpretation of Neandertal dietary adaptations as successful top-level carnivores, even after the arrival of modern humans in Europe. They also demonstrate that high δ15N values of bone collagen can solely be explained by mammal meat consumption, as supported by archeological and zooarcheological evidence, without necessarily invoking explanations including the processing of food (cooking, fermenting), the consumption of mammoths or young mammals, or additional (freshwater fish, mushrooms) dietary protein sources.","container-title":"Proceedings of the National Academy of Sciences","DOI":"10.1073/pnas.1814087116","ISSN":"0027-8424, 1091-6490","issue":"11","journalAbbreviation":"PNAS","language":"en","license":"Copyright © 2019 the Author(s). Published by PNAS.. https://creativecommons.org/licenses/by-nc-nd/4.0/This open access article is distributed under Creative Commons Attribution-NonCommercial-NoDerivatives License 4.0 (CC BY-NC-ND).","note":"publisher: National Academy of Sciences\nsection: Biological Sciences\nPMID: 30782806","page":"4928-4933","source":"www.pnas.org","title":"Exceptionally high δ15N values in collagen single amino acids confirm Neandertals as high-trophic level carnivores","volume":"116","author":[{"family":"Jaouen","given":"Klervia"},{"family":"Richards","given":"Michael P."},{"family":"Cabec","given":"Adeline Le"},{"family":"Welker","given":"Frido"},{"family":"Rendu","given":"William"},{"family":"Hublin","given":"Jean-Jacques"},{"family":"Soressi","given":"Marie"},{"family":"Talamo","given":"Sahra"}],"issued":{"date-parts":[["2019",3,12]]}}},{"id":745,"uris":["http://zotero.org/users/7125028/items/7U9NSGUC"],"itemData":{"id":745,"type":"article-journal","abstract":"Stable isotope analysis of archaeological human remains is routinely applied to explore dietary habits and mobility patterns. The isotope information pertaining to the period prior to death may help in identifying locals and non-locals, especially when investigating individuals from the same funerary context but believed to have been highly mobile across the landscape. Based on the variety of the funerary goods in graves and what it is believed their diets comprised, it is thought that both local and non-local individuals were buried at the inland funerary site of Pica 8 (northern Chile, Late Intermediate Period,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1050–500 BP); however, uncertainties over the dietary intakes and mobility histories of these individuals still persist. The aim of this study is to refine the dietary characterization of a subset of Pica 8 individuals by increasing the temporal resolution of their dietary reconstructions, specifically throughout the last period of their life, and by identifying the multiple sources of food in their overall diets. This is achieved by analysing the amino acid carbon isotope composition of hair keratin and, for the first time, that of tendon collagen. This study proposes a new method for identifying the predominant food source (terrestrial or marine) in a mixed diet using phenylalanine, valine and leucine δ13C values measured in collagenous tissues. Herein, tendon is proven to be an ideal tissue for isotopically characterising the final year of an individual's life. Our results show that individuals previously identified as non-locals, based on long-term food consumption, had in reality abandoned their original dietary habits typical of distant regions many months before death, and hence had presumably relocated to the locality of Pica.","container-title":"Journal of Archaeological Science","DOI":"10.1016/j.jas.2018.03.002","ISSN":"0305-4403","journalAbbreviation":"Journal of Archaeological Science","language":"en","page":"94-109","source":"ScienceDirect","title":"Pica 8: Refining dietary reconstruction through amino acid δ13C analysis of tendon collagen and hair keratin","title-short":"Pica 8","volume":"93","author":[{"family":"Mora","given":"Alice"},{"family":"Pacheco","given":"Aryel"},{"family":"Roberts","given":"Charlotte"},{"family":"Smith","given":"Colin"}],"issued":{"date-parts":[["2018",5,1]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E."}],"issued":{"date-parts":[["2017",8,1]]}}},{"id":729,"uris":["http://zotero.org/users/7125028/items/8VEYJ8TT"],"itemData":{"id":729,"type":"article-journal","abstract":"Sulphur-isotope determinations are becoming increasingly useful for palaeodietary reconstruction, but knowledge of isotopic discrimination between diet and various tissues remains inadequate. In this study, we explore the sensitivity of δ34Stissue values to changes in δ34Sdiet values, sulphur isotopic discrimination between diet and consumer, and the potential impact of terrestrial vs. marine protein consumption on these discrimination offsets. We present new δ34S values of bone collagen, muscle, liver, hair, milk and faeces from ten mature sows, ten piglets and fifteen adolescent pigs from a controlled feeding study. The δ34Stissue values were found to co-vary with the δ34Sdiet values, the δ34Stissue – δ34Sdiet isotopic offsets (Δ34Stissue-diet) are small but consistent, and dietary protein source does not systematically alter the Δ34Stissue-diet isotopic discrimination. The outcomes of this study are of particular relevance to questions that are difficult to resolve using carbon and nitrogen stable isotopes alone, and will also be useful in regions where terrestrial, freshwater, and marine resources could have all potentially contributed to human diet.","container-title":"STAR: Science &amp; Technology of Archaeological Research","DOI":"10.1080/20548923.2017.1368821","ISSN":"null","issue":"1","note":"publisher: Routledge\n_eprint: https://doi.org/10.1080/20548923.2017.1368821","page":"71-79","source":"Taylor and Francis+NEJM","title":"Sulphur-isotope compositions of pig tissues from a controlled feeding study","volume":"3","author":[{"family":"Webb","given":"Emily C."},{"family":"Newton","given":"Jason"},{"family":"Lewis","given":"Jamie"},{"family":"Stewart","given":"Alan"},{"family":"Miller","given":"Bevis"},{"family":"Tarlton","given":"John F."},{"family":"Evershed","given":"Richard P."}],"issued":{"date-parts":[["2017",1,1]]}}}],"schema":"https://github.com/citation-style-language/schema/raw/master/csl-citation.json"} </w:instrText>
      </w:r>
      <w:r w:rsidR="004F549D" w:rsidRPr="00727940">
        <w:rPr>
          <w:rStyle w:val="captions"/>
          <w:rFonts w:ascii="Times New Roman" w:hAnsi="Times New Roman" w:cs="Times New Roman"/>
        </w:rPr>
        <w:fldChar w:fldCharType="separate"/>
      </w:r>
      <w:r w:rsidR="000E7E53" w:rsidRPr="000E7E53">
        <w:rPr>
          <w:rFonts w:ascii="Times New Roman" w:hAnsi="Times New Roman" w:cs="Times New Roman"/>
          <w:szCs w:val="24"/>
          <w:vertAlign w:val="superscript"/>
        </w:rPr>
        <w:t>20,45,66,75–78,78</w:t>
      </w:r>
      <w:r w:rsidR="004F549D" w:rsidRPr="00727940">
        <w:rPr>
          <w:rStyle w:val="captions"/>
          <w:rFonts w:ascii="Times New Roman" w:hAnsi="Times New Roman" w:cs="Times New Roman"/>
        </w:rPr>
        <w:fldChar w:fldCharType="end"/>
      </w:r>
    </w:p>
    <w:bookmarkEnd w:id="48"/>
    <w:p w14:paraId="7D681BDD" w14:textId="032FE443" w:rsidR="002A565D" w:rsidRPr="0056199B" w:rsidRDefault="002A565D" w:rsidP="001A7BFF">
      <w:pPr>
        <w:spacing w:before="240" w:after="240" w:line="360" w:lineRule="auto"/>
        <w:rPr>
          <w:rFonts w:ascii="Times New Roman" w:hAnsi="Times New Roman" w:cs="Times New Roman"/>
          <w:sz w:val="24"/>
          <w:szCs w:val="24"/>
        </w:rPr>
      </w:pPr>
    </w:p>
    <w:p w14:paraId="46133294" w14:textId="77777777" w:rsidR="005A4C82" w:rsidRPr="006459E9" w:rsidRDefault="005A4C82" w:rsidP="001A7BFF">
      <w:pPr>
        <w:spacing w:before="240" w:after="240" w:line="360" w:lineRule="auto"/>
        <w:rPr>
          <w:rFonts w:ascii="Times New Roman" w:hAnsi="Times New Roman" w:cs="Times New Roman"/>
          <w:noProof/>
          <w:sz w:val="24"/>
          <w:szCs w:val="24"/>
        </w:rPr>
      </w:pPr>
    </w:p>
    <w:p w14:paraId="280C42AF" w14:textId="77777777" w:rsidR="005A4C82" w:rsidRPr="006459E9" w:rsidRDefault="005A4C82" w:rsidP="001A7BFF">
      <w:pPr>
        <w:spacing w:before="240" w:after="240" w:line="360" w:lineRule="auto"/>
        <w:rPr>
          <w:rFonts w:ascii="Times New Roman" w:hAnsi="Times New Roman" w:cs="Times New Roman"/>
          <w:sz w:val="24"/>
          <w:szCs w:val="24"/>
        </w:rPr>
      </w:pPr>
    </w:p>
    <w:p w14:paraId="7BFCCC6B" w14:textId="77777777" w:rsidR="005A4C82" w:rsidRPr="006459E9" w:rsidRDefault="005A4C82" w:rsidP="001A7BFF">
      <w:pPr>
        <w:spacing w:before="240" w:after="240" w:line="360" w:lineRule="auto"/>
        <w:rPr>
          <w:rFonts w:ascii="Times New Roman" w:hAnsi="Times New Roman" w:cs="Times New Roman"/>
          <w:sz w:val="24"/>
          <w:szCs w:val="24"/>
        </w:rPr>
      </w:pPr>
    </w:p>
    <w:p w14:paraId="5C1D0587" w14:textId="5344DDF5" w:rsidR="00143118" w:rsidRDefault="00A61603" w:rsidP="001A7BFF">
      <w:pPr>
        <w:spacing w:before="240" w:after="240"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403EBFB" wp14:editId="73C05F79">
            <wp:extent cx="6779851" cy="4983480"/>
            <wp:effectExtent l="0" t="0" r="2540" b="7620"/>
            <wp:docPr id="193"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ggplot2save-Val.Phe-Taforalt-S4.11.jpe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782574" cy="4985482"/>
                    </a:xfrm>
                    <a:prstGeom prst="rect">
                      <a:avLst/>
                    </a:prstGeom>
                  </pic:spPr>
                </pic:pic>
              </a:graphicData>
            </a:graphic>
          </wp:inline>
        </w:drawing>
      </w:r>
    </w:p>
    <w:p w14:paraId="74D6F938" w14:textId="1B6AD5F9" w:rsidR="008178F5" w:rsidRPr="0056199B" w:rsidRDefault="008178F5" w:rsidP="001A7BFF">
      <w:pPr>
        <w:spacing w:before="240" w:after="240" w:line="360" w:lineRule="auto"/>
        <w:rPr>
          <w:rFonts w:ascii="Times New Roman" w:hAnsi="Times New Roman" w:cs="Times New Roman"/>
          <w:sz w:val="24"/>
          <w:szCs w:val="24"/>
        </w:rPr>
      </w:pPr>
      <w:bookmarkStart w:id="49" w:name="_Hlk137040290"/>
      <w:r w:rsidRPr="009E6BC9">
        <w:rPr>
          <w:rFonts w:ascii="Times New Roman" w:hAnsi="Times New Roman" w:cs="Times New Roman"/>
          <w:b/>
          <w:color w:val="2E2E2E"/>
          <w:sz w:val="24"/>
          <w:szCs w:val="24"/>
        </w:rPr>
        <w:t>Figure</w:t>
      </w:r>
      <w:r w:rsidR="00A63545" w:rsidRPr="009E6BC9">
        <w:rPr>
          <w:rFonts w:ascii="Times New Roman" w:hAnsi="Times New Roman" w:cs="Times New Roman"/>
          <w:b/>
          <w:color w:val="2E2E2E"/>
          <w:sz w:val="24"/>
          <w:szCs w:val="24"/>
        </w:rPr>
        <w:t xml:space="preserve"> S 4.</w:t>
      </w:r>
      <w:r w:rsidR="0007221D">
        <w:rPr>
          <w:rFonts w:ascii="Times New Roman" w:hAnsi="Times New Roman" w:cs="Times New Roman"/>
          <w:b/>
          <w:color w:val="2E2E2E"/>
          <w:sz w:val="24"/>
          <w:szCs w:val="24"/>
        </w:rPr>
        <w:t>10</w:t>
      </w:r>
      <w:r w:rsidRPr="009E6BC9">
        <w:rPr>
          <w:rFonts w:ascii="Times New Roman" w:hAnsi="Times New Roman" w:cs="Times New Roman"/>
          <w:b/>
          <w:color w:val="2E2E2E"/>
          <w:sz w:val="24"/>
          <w:szCs w:val="24"/>
        </w:rPr>
        <w:t>:</w:t>
      </w:r>
      <w:r w:rsidRPr="009E6BC9">
        <w:rPr>
          <w:rFonts w:ascii="Times New Roman" w:hAnsi="Times New Roman" w:cs="Times New Roman"/>
          <w:color w:val="2E2E2E"/>
          <w:sz w:val="24"/>
          <w:szCs w:val="24"/>
        </w:rPr>
        <w:t xml:space="preserve"> Bivariate plots of the </w:t>
      </w:r>
      <w:r w:rsidRPr="009E6BC9">
        <w:rPr>
          <w:rStyle w:val="mjxassistivemathml"/>
          <w:rFonts w:ascii="Times New Roman" w:hAnsi="Times New Roman" w:cs="Times New Roman"/>
          <w:color w:val="2E2E2E"/>
          <w:sz w:val="24"/>
          <w:szCs w:val="24"/>
          <w:bdr w:val="none" w:sz="0" w:space="0" w:color="auto" w:frame="1"/>
        </w:rPr>
        <w:t>δ</w:t>
      </w:r>
      <w:r w:rsidRPr="009E6BC9">
        <w:rPr>
          <w:rFonts w:ascii="Times New Roman" w:hAnsi="Times New Roman" w:cs="Times New Roman"/>
          <w:color w:val="2E2E2E"/>
          <w:sz w:val="24"/>
          <w:szCs w:val="24"/>
          <w:vertAlign w:val="superscript"/>
        </w:rPr>
        <w:t>13</w:t>
      </w:r>
      <w:r w:rsidRPr="009E6BC9">
        <w:rPr>
          <w:rFonts w:ascii="Times New Roman" w:hAnsi="Times New Roman" w:cs="Times New Roman"/>
          <w:color w:val="2E2E2E"/>
          <w:sz w:val="24"/>
          <w:szCs w:val="24"/>
        </w:rPr>
        <w:t>C</w:t>
      </w:r>
      <w:r w:rsidRPr="009E6BC9">
        <w:rPr>
          <w:rFonts w:ascii="Times New Roman" w:hAnsi="Times New Roman" w:cs="Times New Roman"/>
          <w:color w:val="2E2E2E"/>
          <w:sz w:val="24"/>
          <w:szCs w:val="24"/>
          <w:vertAlign w:val="subscript"/>
        </w:rPr>
        <w:t>Lys</w:t>
      </w:r>
      <w:r w:rsidRPr="009E6BC9">
        <w:rPr>
          <w:rFonts w:ascii="Times New Roman" w:hAnsi="Times New Roman" w:cs="Times New Roman"/>
          <w:color w:val="2E2E2E"/>
          <w:sz w:val="24"/>
          <w:szCs w:val="24"/>
        </w:rPr>
        <w:t> vs. </w:t>
      </w:r>
      <w:r w:rsidRPr="009E6BC9">
        <w:rPr>
          <w:rStyle w:val="mjxassistivemathml"/>
          <w:rFonts w:ascii="Times New Roman" w:hAnsi="Times New Roman" w:cs="Times New Roman"/>
          <w:color w:val="2E2E2E"/>
          <w:sz w:val="24"/>
          <w:szCs w:val="24"/>
          <w:bdr w:val="none" w:sz="0" w:space="0" w:color="auto" w:frame="1"/>
        </w:rPr>
        <w:t>Δ</w:t>
      </w:r>
      <w:r w:rsidRPr="009E6BC9">
        <w:rPr>
          <w:rFonts w:ascii="Times New Roman" w:hAnsi="Times New Roman" w:cs="Times New Roman"/>
          <w:color w:val="2E2E2E"/>
          <w:sz w:val="24"/>
          <w:szCs w:val="24"/>
          <w:vertAlign w:val="superscript"/>
        </w:rPr>
        <w:t>13</w:t>
      </w:r>
      <w:r w:rsidRPr="009E6BC9">
        <w:rPr>
          <w:rFonts w:ascii="Times New Roman" w:hAnsi="Times New Roman" w:cs="Times New Roman"/>
          <w:color w:val="2E2E2E"/>
          <w:sz w:val="24"/>
          <w:szCs w:val="24"/>
        </w:rPr>
        <w:t>C</w:t>
      </w:r>
      <w:r w:rsidR="0096598C" w:rsidRPr="009E6BC9">
        <w:rPr>
          <w:rFonts w:ascii="Times New Roman" w:hAnsi="Times New Roman" w:cs="Times New Roman"/>
          <w:color w:val="2E2E2E"/>
          <w:sz w:val="24"/>
          <w:szCs w:val="24"/>
          <w:vertAlign w:val="subscript"/>
        </w:rPr>
        <w:t>Val</w:t>
      </w:r>
      <w:r w:rsidRPr="009E6BC9">
        <w:rPr>
          <w:rFonts w:ascii="Times New Roman" w:hAnsi="Times New Roman" w:cs="Times New Roman"/>
          <w:color w:val="2E2E2E"/>
          <w:sz w:val="24"/>
          <w:szCs w:val="24"/>
          <w:vertAlign w:val="subscript"/>
        </w:rPr>
        <w:t>-Phe</w:t>
      </w:r>
      <w:r w:rsidRPr="009E6BC9">
        <w:rPr>
          <w:rFonts w:ascii="Times New Roman" w:hAnsi="Times New Roman" w:cs="Times New Roman"/>
          <w:color w:val="2E2E2E"/>
          <w:sz w:val="24"/>
          <w:szCs w:val="24"/>
        </w:rPr>
        <w:t> </w:t>
      </w:r>
      <w:r w:rsidR="0096598C" w:rsidRPr="009E6BC9">
        <w:rPr>
          <w:rFonts w:ascii="Times New Roman" w:hAnsi="Times New Roman" w:cs="Times New Roman"/>
          <w:color w:val="2E2E2E"/>
          <w:sz w:val="24"/>
          <w:szCs w:val="24"/>
        </w:rPr>
        <w:t>of the samples from Taforalt</w:t>
      </w:r>
      <w:r w:rsidR="0041434C" w:rsidRPr="009E6BC9">
        <w:rPr>
          <w:rFonts w:ascii="Times New Roman" w:hAnsi="Times New Roman" w:cs="Times New Roman"/>
          <w:color w:val="2E2E2E"/>
          <w:sz w:val="24"/>
          <w:szCs w:val="24"/>
        </w:rPr>
        <w:t xml:space="preserve"> and published data </w:t>
      </w:r>
      <w:r w:rsidR="0041434C" w:rsidRPr="009E6BC9">
        <w:rPr>
          <w:rStyle w:val="captions"/>
          <w:rFonts w:ascii="Times New Roman" w:hAnsi="Times New Roman" w:cs="Times New Roman"/>
        </w:rPr>
        <w:fldChar w:fldCharType="begin"/>
      </w:r>
      <w:r w:rsidR="000E7E53">
        <w:rPr>
          <w:rStyle w:val="captions"/>
          <w:rFonts w:ascii="Times New Roman" w:hAnsi="Times New Roman" w:cs="Times New Roman"/>
        </w:rPr>
        <w:instrText xml:space="preserve"> ADDIN ZOTERO_ITEM CSL_CITATION {"citationID":"FDs6ED9f","properties":{"formattedCitation":"\\super 20,45,66,75\\uc0\\u8211{}78,78\\nosupersub{}","plainCitation":"20,45,66,75–78,78","noteIndex":0},"citationItems":[{"id":748,"uris":["http://zotero.org/users/7125028/items/XKLAEQEP"],"itemData":{"id":748,"type":"article-journal","abstract":"Objectives A clear understanding of past weaning practices can provide invaluable insights into social issues such as infant care, fertility rate, and demographic patterns in past societies. This study presents the first archeological research employing compound specific isotope analysis (CSIA) for the reconstruction of past weaning practices. Methods Weaning practices of two Middle Neolithic communities in the Paris Basin region: Balloy (BLR) and Vignely (VPB), are evaluated by combining previously published bone collagen stable carbon, nitrogen, and sulfur (n = 66) isotope analysis with new compound specific carbon and nitrogen isotope compositions of bone collagen (n = 10). Results Our results demonstrate that the diets of individuals from BLR and VPB likely incorporated freshwater resources. The signals of freshwater resources consumption are even stronger among subadults, suggesting that freshwater resources were used as weaning food at these sites. Conclusions The implications of our result are threefold. Currently many CSIA studies in archeology only involve either carbon or nitrogen. Our data shows that it is important to conduct CSIA on both carbon and nitrogen for a more integrated picture. Secondly, our data demonstrates that the use of a protein-based weaning food—instead of a starch-based weaning food (such as cereal gruel)—was likely more prevalent among the Middle Neolithic communities in the Paris Basin Region than previously thought. The finding thus prompts a rethinking of the role of protein-based weaning food in other archeological contexts. Lastly, the common assumption that weaning foods and adult diets share similar isotopic compositions can be problematic, as the use of protein-based, high trophic-level weaning foods can skew the δ15N weaning curve and produce an erroneously late estimation for weaning ages.","container-title":"American Journal of Biological Anthropology","DOI":"10.1002/ajpa.24591","ISSN":"2692-7691","issue":"1","language":"en","note":"_eprint: https://onlinelibrary.wiley.com/doi/pdf/10.1002/ajpa.24591","page":"118-133","source":"Wiley Online Library","title":"Compound specific isotope evidence points to use of freshwater resources as weaning food in Middle Neolithic Paris Basin","volume":"179","author":[{"family":"Cheung","given":"Christina"},{"family":"Herrscher","given":"Estelle"},{"family":"Thomas","given":"Aline"}],"issued":{"date-parts":[["2022"]]}}},{"id":14,"uris":["http://zotero.org/users/7125028/items/JUZKGJJB"],"itemData":{"id":14,"type":"article-journal","abstract":"This research presents the individual amino acid δ13C values in bone collagen of humans (n=9) and animals (n=27) from two prehistoric shell midden sites in Korea. We obtained complete baseline separation of 16 of the 18 amino acids found in bone collagen by using liquid chromatography–isotope ratio mass spectrometry (LC–IRMS). The isotopic results reveal that the humans and animals in the two sites had similar patterns in essential amino acids (EAAs) and non-essential amino acids (NEAAs). The EAA and NEAA δ13C values in humans are intermediate between those in marine and terrestrial animals. However, the threonine δ13C values in humans and animals measured in this study are more highly enriched than those of other amino acids. At both sites, all amino acids in marine animals are 13C-enriched relative to those of the terrestrial animals. The isotopic evidence suggests that the Tongsamdong human had EAAs and NEAAs from marine food resources, while the Nukdo humans mainly had EAAs from terrestrial food resources but obtained NEAAs from both terrestrial and marine resources. The δ13C isotopic differences in amino acids between marine and terrestrial animals were the largest for glycine (NEAA) and histidine (EAA) and the smallest for tyrosine (NEAA) and phenylalanine (EAA). In addition, threonine among the EAAs also had a large difference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8‰) in δ13C values between marine and terrestrial animals, and has the potential to be used as an isotopic marker in palaeodietary studies. Threonine δ13C values were used in conjunction with the established Δ13CGlycine–phenylalanine values and produced three distinct dietary groups (terrestrial, omnivorous, and marine). In addition, threonine δ13C values and Δ13CSerine–phenylalanine values were discovered to separate between two dietary groups (terrestrial vs. marine), and these δ13C values may provide a potential new indicator for investigating the distinction between marine and terrestrial protein sources in human diets.","container-title":"Geochimica et Cosmochimica Acta","DOI":"10.1016/j.gca.2010.07.025","ISSN":"0016-7037","issue":"21","journalAbbreviation":"Geochimica et Cosmochimica Acta","language":"en","page":"6093-6111","source":"ScienceDirect","title":"Investigation of amino acid δ13C signatures in bone collagen to reconstruct human palaeodiets using liquid chromatography–isotope ratio mass spectrometry","volume":"74","author":[{"family":"Choy","given":"Kyungcheol"},{"family":"Smith","given":"Colin I."},{"family":"Fuller","given":"Benjamin T."},{"family":"Richards","given":"Michael P."}],"issued":{"date-parts":[["2010",11,1]]}}},{"id":134,"uris":["http://zotero.org/users/7125028/items/AJVBLTT4"],"itemData":{"id":134,"type":"article-journal","abstract":"We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M."}],"issued":{"date-parts":[["2012"]]}}},{"id":145,"uris":["http://zotero.org/users/7125028/items/6TY8YHIJ"],"itemData":{"id":145,"type":"article-journal","abstract":"Isotope and archeological analyses of Paleolithic food webs have suggested that Neandertal subsistence relied mainly on the consumption of large herbivores. This conclusion was primarily based on elevated nitrogen isotope ratios in Neandertal bone collagen and has been significantly debated. This discussion relies on the observation that similar high nitrogen isotopes values could also be the result of the consumption of mammoths, young animals, putrid meat, cooked food, freshwater fish, carnivores, or mushrooms. Recently, compound-specific C and N isotope analyses of bone collagen amino acids have been demonstrated to add significantly more information about trophic levels and aquatic food consumption. We undertook single amino acid C and N isotope analysis on two Neandertals, which were characterized by exceptionally high N isotope ratios in their bulk bone or tooth collagen. We report here both C and N isotope ratios on single amino acids of collagen samples for these two Neandertals and associated fauna. The samples come from two sites dating to the Middle to Upper Paleolithic transition period (Les Cottés and Grotte du Renne, France). Our results reinforce the interpretation of Neandertal dietary adaptations as successful top-level carnivores, even after the arrival of modern humans in Europe. They also demonstrate that high δ15N values of bone collagen can solely be explained by mammal meat consumption, as supported by archeological and zooarcheological evidence, without necessarily invoking explanations including the processing of food (cooking, fermenting), the consumption of mammoths or young mammals, or additional (freshwater fish, mushrooms) dietary protein sources.","container-title":"Proceedings of the National Academy of Sciences","DOI":"10.1073/pnas.1814087116","ISSN":"0027-8424, 1091-6490","issue":"11","journalAbbreviation":"PNAS","language":"en","license":"Copyright © 2019 the Author(s). Published by PNAS.. https://creativecommons.org/licenses/by-nc-nd/4.0/This open access article is distributed under Creative Commons Attribution-NonCommercial-NoDerivatives License 4.0 (CC BY-NC-ND).","note":"publisher: National Academy of Sciences\nsection: Biological Sciences\nPMID: 30782806","page":"4928-4933","source":"www.pnas.org","title":"Exceptionally high δ15N values in collagen single amino acids confirm Neandertals as high-trophic level carnivores","volume":"116","author":[{"family":"Jaouen","given":"Klervia"},{"family":"Richards","given":"Michael P."},{"family":"Cabec","given":"Adeline Le"},{"family":"Welker","given":"Frido"},{"family":"Rendu","given":"William"},{"family":"Hublin","given":"Jean-Jacques"},{"family":"Soressi","given":"Marie"},{"family":"Talamo","given":"Sahra"}],"issued":{"date-parts":[["2019",3,12]]}}},{"id":745,"uris":["http://zotero.org/users/7125028/items/7U9NSGUC"],"itemData":{"id":745,"type":"article-journal","abstract":"Stable isotope analysis of archaeological human remains is routinely applied to explore dietary habits and mobility patterns. The isotope information pertaining to the period prior to death may help in identifying locals and non-locals, especially when investigating individuals from the same funerary context but believed to have been highly mobile across the landscape. Based on the variety of the funerary goods in graves and what it is believed their diets comprised, it is thought that both local and non-local individuals were buried at the inland funerary site of Pica 8 (northern Chile, Late Intermediate Period,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1050–500 BP); however, uncertainties over the dietary intakes and mobility histories of these individuals still persist. The aim of this study is to refine the dietary characterization of a subset of Pica 8 individuals by increasing the temporal resolution of their dietary reconstructions, specifically throughout the last period of their life, and by identifying the multiple sources of food in their overall diets. This is achieved by analysing the amino acid carbon isotope composition of hair keratin and, for the first time, that of tendon collagen. This study proposes a new method for identifying the predominant food source (terrestrial or marine) in a mixed diet using phenylalanine, valine and leucine δ13C values measured in collagenous tissues. Herein, tendon is proven to be an ideal tissue for isotopically characterising the final year of an individual's life. Our results show that individuals previously identified as non-locals, based on long-term food consumption, had in reality abandoned their original dietary habits typical of distant regions many months before death, and hence had presumably relocated to the locality of Pica.","container-title":"Journal of Archaeological Science","DOI":"10.1016/j.jas.2018.03.002","ISSN":"0305-4403","journalAbbreviation":"Journal of Archaeological Science","language":"en","page":"94-109","source":"ScienceDirect","title":"Pica 8: Refining dietary reconstruction through amino acid δ13C analysis of tendon collagen and hair keratin","title-short":"Pica 8","volume":"93","author":[{"family":"Mora","given":"Alice"},{"family":"Pacheco","given":"Aryel"},{"family":"Roberts","given":"Charlotte"},{"family":"Smith","given":"Colin"}],"issued":{"date-parts":[["2018",5,1]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E."}],"issued":{"date-parts":[["2017",8,1]]}}},{"id":729,"uris":["http://zotero.org/users/7125028/items/8VEYJ8TT"],"itemData":{"id":729,"type":"article-journal","abstract":"Sulphur-isotope determinations are becoming increasingly useful for palaeodietary reconstruction, but knowledge of isotopic discrimination between diet and various tissues remains inadequate. In this study, we explore the sensitivity of δ34Stissue values to changes in δ34Sdiet values, sulphur isotopic discrimination between diet and consumer, and the potential impact of terrestrial vs. marine protein consumption on these discrimination offsets. We present new δ34S values of bone collagen, muscle, liver, hair, milk and faeces from ten mature sows, ten piglets and fifteen adolescent pigs from a controlled feeding study. The δ34Stissue values were found to co-vary with the δ34Sdiet values, the δ34Stissue – δ34Sdiet isotopic offsets (Δ34Stissue-diet) are small but consistent, and dietary protein source does not systematically alter the Δ34Stissue-diet isotopic discrimination. The outcomes of this study are of particular relevance to questions that are difficult to resolve using carbon and nitrogen stable isotopes alone, and will also be useful in regions where terrestrial, freshwater, and marine resources could have all potentially contributed to human diet.","container-title":"STAR: Science &amp; Technology of Archaeological Research","DOI":"10.1080/20548923.2017.1368821","ISSN":"null","issue":"1","note":"publisher: Routledge\n_eprint: https://doi.org/10.1080/20548923.2017.1368821","page":"71-79","source":"Taylor and Francis+NEJM","title":"Sulphur-isotope compositions of pig tissues from a controlled feeding study","volume":"3","author":[{"family":"Webb","given":"Emily C."},{"family":"Newton","given":"Jason"},{"family":"Lewis","given":"Jamie"},{"family":"Stewart","given":"Alan"},{"family":"Miller","given":"Bevis"},{"family":"Tarlton","given":"John F."},{"family":"Evershed","given":"Richard P."}],"issued":{"date-parts":[["2017",1,1]]}}}],"schema":"https://github.com/citation-style-language/schema/raw/master/csl-citation.json"} </w:instrText>
      </w:r>
      <w:r w:rsidR="0041434C" w:rsidRPr="009E6BC9">
        <w:rPr>
          <w:rStyle w:val="captions"/>
          <w:rFonts w:ascii="Times New Roman" w:hAnsi="Times New Roman" w:cs="Times New Roman"/>
        </w:rPr>
        <w:fldChar w:fldCharType="separate"/>
      </w:r>
      <w:r w:rsidR="000E7E53" w:rsidRPr="000E7E53">
        <w:rPr>
          <w:rFonts w:ascii="Times New Roman" w:hAnsi="Times New Roman" w:cs="Times New Roman"/>
          <w:szCs w:val="24"/>
          <w:vertAlign w:val="superscript"/>
        </w:rPr>
        <w:t>20,45,66,75–78,78</w:t>
      </w:r>
      <w:r w:rsidR="0041434C" w:rsidRPr="009E6BC9">
        <w:rPr>
          <w:rStyle w:val="captions"/>
          <w:rFonts w:ascii="Times New Roman" w:hAnsi="Times New Roman" w:cs="Times New Roman"/>
        </w:rPr>
        <w:fldChar w:fldCharType="end"/>
      </w:r>
    </w:p>
    <w:bookmarkEnd w:id="49"/>
    <w:p w14:paraId="7146FB76" w14:textId="2614B0BA" w:rsidR="005A4C82" w:rsidRDefault="005A4C82" w:rsidP="001A7BFF">
      <w:pPr>
        <w:spacing w:before="240" w:after="240" w:line="360" w:lineRule="auto"/>
        <w:rPr>
          <w:rFonts w:ascii="Times New Roman" w:hAnsi="Times New Roman" w:cs="Times New Roman"/>
          <w:noProof/>
          <w:sz w:val="24"/>
          <w:szCs w:val="24"/>
        </w:rPr>
      </w:pPr>
    </w:p>
    <w:p w14:paraId="02CC9508" w14:textId="06A901B2" w:rsidR="00227415" w:rsidRDefault="00227415" w:rsidP="001A7BFF">
      <w:pPr>
        <w:spacing w:before="240" w:after="240" w:line="360" w:lineRule="auto"/>
        <w:rPr>
          <w:rFonts w:ascii="Times New Roman" w:hAnsi="Times New Roman" w:cs="Times New Roman"/>
          <w:sz w:val="24"/>
          <w:szCs w:val="24"/>
        </w:rPr>
      </w:pPr>
    </w:p>
    <w:p w14:paraId="1CB2B25A" w14:textId="47FCD997" w:rsidR="00227415" w:rsidRDefault="00227415" w:rsidP="001A7BFF">
      <w:pPr>
        <w:spacing w:before="240" w:after="240" w:line="360" w:lineRule="auto"/>
        <w:rPr>
          <w:rFonts w:ascii="Times New Roman" w:hAnsi="Times New Roman" w:cs="Times New Roman"/>
          <w:sz w:val="24"/>
          <w:szCs w:val="24"/>
        </w:rPr>
      </w:pPr>
    </w:p>
    <w:p w14:paraId="4A3441C2" w14:textId="081F45B5" w:rsidR="00227415" w:rsidRDefault="00227415" w:rsidP="001A7BFF">
      <w:pPr>
        <w:spacing w:before="240" w:after="240" w:line="360" w:lineRule="auto"/>
        <w:rPr>
          <w:rFonts w:ascii="Times New Roman" w:hAnsi="Times New Roman" w:cs="Times New Roman"/>
          <w:sz w:val="24"/>
          <w:szCs w:val="24"/>
        </w:rPr>
      </w:pPr>
    </w:p>
    <w:p w14:paraId="32C1D911" w14:textId="18F31A20" w:rsidR="00227415" w:rsidRDefault="00227415" w:rsidP="001A7BFF">
      <w:pPr>
        <w:spacing w:before="240" w:after="240" w:line="360" w:lineRule="auto"/>
        <w:rPr>
          <w:rFonts w:ascii="Times New Roman" w:hAnsi="Times New Roman" w:cs="Times New Roman"/>
          <w:sz w:val="24"/>
          <w:szCs w:val="24"/>
        </w:rPr>
      </w:pPr>
    </w:p>
    <w:p w14:paraId="413DEC9B" w14:textId="435DAD0E" w:rsidR="00227415" w:rsidRDefault="00227415" w:rsidP="001A7BFF">
      <w:pPr>
        <w:spacing w:before="240" w:after="240" w:line="360" w:lineRule="auto"/>
        <w:rPr>
          <w:rFonts w:ascii="Times New Roman" w:hAnsi="Times New Roman" w:cs="Times New Roman"/>
          <w:sz w:val="24"/>
          <w:szCs w:val="24"/>
        </w:rPr>
      </w:pPr>
    </w:p>
    <w:p w14:paraId="71F84053" w14:textId="266B343C" w:rsidR="00227415" w:rsidRDefault="00227415" w:rsidP="001A7BFF">
      <w:pPr>
        <w:spacing w:before="240" w:after="240" w:line="360" w:lineRule="auto"/>
        <w:rPr>
          <w:rFonts w:ascii="Times New Roman" w:hAnsi="Times New Roman" w:cs="Times New Roman"/>
          <w:sz w:val="24"/>
          <w:szCs w:val="24"/>
        </w:rPr>
      </w:pPr>
    </w:p>
    <w:p w14:paraId="79BFBA6F" w14:textId="347166DB" w:rsidR="00227415" w:rsidRDefault="00227415" w:rsidP="001A7BFF">
      <w:pPr>
        <w:spacing w:before="240" w:after="240"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D83A936" wp14:editId="2EA3E6EB">
            <wp:extent cx="6826501" cy="5017770"/>
            <wp:effectExtent l="0" t="0" r="0" b="0"/>
            <wp:docPr id="194" name="Imag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ggplot2save-Gly.Phe-Taforalt-S4.12.jpe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829587" cy="5020038"/>
                    </a:xfrm>
                    <a:prstGeom prst="rect">
                      <a:avLst/>
                    </a:prstGeom>
                  </pic:spPr>
                </pic:pic>
              </a:graphicData>
            </a:graphic>
          </wp:inline>
        </w:drawing>
      </w:r>
    </w:p>
    <w:p w14:paraId="3534849C" w14:textId="2207CE5F" w:rsidR="0096598C" w:rsidRPr="002A4C6C" w:rsidRDefault="0096598C" w:rsidP="0096598C">
      <w:pPr>
        <w:spacing w:before="240" w:after="240" w:line="360" w:lineRule="auto"/>
        <w:rPr>
          <w:rFonts w:ascii="Times New Roman" w:hAnsi="Times New Roman" w:cs="Times New Roman"/>
          <w:sz w:val="24"/>
          <w:szCs w:val="24"/>
        </w:rPr>
      </w:pPr>
      <w:bookmarkStart w:id="50" w:name="_Hlk137040295"/>
      <w:r w:rsidRPr="004F3A31">
        <w:rPr>
          <w:rFonts w:ascii="Times New Roman" w:hAnsi="Times New Roman" w:cs="Times New Roman"/>
          <w:b/>
          <w:color w:val="2E2E2E"/>
          <w:sz w:val="24"/>
          <w:szCs w:val="24"/>
        </w:rPr>
        <w:t>Figure</w:t>
      </w:r>
      <w:r w:rsidR="00A63545" w:rsidRPr="004F3A31">
        <w:rPr>
          <w:rFonts w:ascii="Times New Roman" w:hAnsi="Times New Roman" w:cs="Times New Roman"/>
          <w:b/>
          <w:color w:val="2E2E2E"/>
          <w:sz w:val="24"/>
          <w:szCs w:val="24"/>
        </w:rPr>
        <w:t xml:space="preserve"> S4.1</w:t>
      </w:r>
      <w:r w:rsidR="0007221D">
        <w:rPr>
          <w:rFonts w:ascii="Times New Roman" w:hAnsi="Times New Roman" w:cs="Times New Roman"/>
          <w:b/>
          <w:color w:val="2E2E2E"/>
          <w:sz w:val="24"/>
          <w:szCs w:val="24"/>
        </w:rPr>
        <w:t>1</w:t>
      </w:r>
      <w:r w:rsidRPr="004F3A31">
        <w:rPr>
          <w:rFonts w:ascii="Times New Roman" w:hAnsi="Times New Roman" w:cs="Times New Roman"/>
          <w:b/>
          <w:color w:val="2E2E2E"/>
          <w:sz w:val="24"/>
          <w:szCs w:val="24"/>
        </w:rPr>
        <w:t>:</w:t>
      </w:r>
      <w:r w:rsidRPr="004F3A31">
        <w:rPr>
          <w:rFonts w:ascii="Times New Roman" w:hAnsi="Times New Roman" w:cs="Times New Roman"/>
          <w:color w:val="2E2E2E"/>
          <w:sz w:val="24"/>
          <w:szCs w:val="24"/>
        </w:rPr>
        <w:t xml:space="preserve"> Bivariate plots of the </w:t>
      </w:r>
      <w:r w:rsidRPr="004F3A31">
        <w:rPr>
          <w:rStyle w:val="mjxassistivemathml"/>
          <w:rFonts w:ascii="Times New Roman" w:hAnsi="Times New Roman" w:cs="Times New Roman"/>
          <w:color w:val="2E2E2E"/>
          <w:sz w:val="24"/>
          <w:szCs w:val="24"/>
          <w:bdr w:val="none" w:sz="0" w:space="0" w:color="auto" w:frame="1"/>
        </w:rPr>
        <w:t>δ</w:t>
      </w:r>
      <w:r w:rsidRPr="004F3A31">
        <w:rPr>
          <w:rFonts w:ascii="Times New Roman" w:hAnsi="Times New Roman" w:cs="Times New Roman"/>
          <w:color w:val="2E2E2E"/>
          <w:sz w:val="24"/>
          <w:szCs w:val="24"/>
          <w:vertAlign w:val="superscript"/>
        </w:rPr>
        <w:t>13</w:t>
      </w:r>
      <w:r w:rsidRPr="004F3A31">
        <w:rPr>
          <w:rFonts w:ascii="Times New Roman" w:hAnsi="Times New Roman" w:cs="Times New Roman"/>
          <w:color w:val="2E2E2E"/>
          <w:sz w:val="24"/>
          <w:szCs w:val="24"/>
        </w:rPr>
        <w:t>C</w:t>
      </w:r>
      <w:r w:rsidRPr="004F3A31">
        <w:rPr>
          <w:rFonts w:ascii="Times New Roman" w:hAnsi="Times New Roman" w:cs="Times New Roman"/>
          <w:color w:val="2E2E2E"/>
          <w:sz w:val="24"/>
          <w:szCs w:val="24"/>
          <w:vertAlign w:val="subscript"/>
        </w:rPr>
        <w:t>Lys</w:t>
      </w:r>
      <w:r w:rsidRPr="004F3A31">
        <w:rPr>
          <w:rFonts w:ascii="Times New Roman" w:hAnsi="Times New Roman" w:cs="Times New Roman"/>
          <w:color w:val="2E2E2E"/>
          <w:sz w:val="24"/>
          <w:szCs w:val="24"/>
        </w:rPr>
        <w:t> vs. </w:t>
      </w:r>
      <w:r w:rsidRPr="004F3A31">
        <w:rPr>
          <w:rStyle w:val="mjxassistivemathml"/>
          <w:rFonts w:ascii="Times New Roman" w:hAnsi="Times New Roman" w:cs="Times New Roman"/>
          <w:color w:val="2E2E2E"/>
          <w:sz w:val="24"/>
          <w:szCs w:val="24"/>
          <w:bdr w:val="none" w:sz="0" w:space="0" w:color="auto" w:frame="1"/>
        </w:rPr>
        <w:t>Δ</w:t>
      </w:r>
      <w:r w:rsidRPr="004F3A31">
        <w:rPr>
          <w:rFonts w:ascii="Times New Roman" w:hAnsi="Times New Roman" w:cs="Times New Roman"/>
          <w:color w:val="2E2E2E"/>
          <w:sz w:val="24"/>
          <w:szCs w:val="24"/>
          <w:vertAlign w:val="superscript"/>
        </w:rPr>
        <w:t>13</w:t>
      </w:r>
      <w:r w:rsidRPr="004F3A31">
        <w:rPr>
          <w:rFonts w:ascii="Times New Roman" w:hAnsi="Times New Roman" w:cs="Times New Roman"/>
          <w:color w:val="2E2E2E"/>
          <w:sz w:val="24"/>
          <w:szCs w:val="24"/>
        </w:rPr>
        <w:t>C</w:t>
      </w:r>
      <w:r w:rsidRPr="004F3A31">
        <w:rPr>
          <w:rFonts w:ascii="Times New Roman" w:hAnsi="Times New Roman" w:cs="Times New Roman"/>
          <w:color w:val="2E2E2E"/>
          <w:sz w:val="24"/>
          <w:szCs w:val="24"/>
          <w:vertAlign w:val="subscript"/>
        </w:rPr>
        <w:t>Gly-Phe</w:t>
      </w:r>
      <w:r w:rsidRPr="004F3A31">
        <w:rPr>
          <w:rFonts w:ascii="Times New Roman" w:hAnsi="Times New Roman" w:cs="Times New Roman"/>
          <w:color w:val="2E2E2E"/>
          <w:sz w:val="24"/>
          <w:szCs w:val="24"/>
        </w:rPr>
        <w:t> of the samples from Taforalt</w:t>
      </w:r>
      <w:r w:rsidR="0041434C" w:rsidRPr="004F3A31">
        <w:rPr>
          <w:rFonts w:ascii="Times New Roman" w:hAnsi="Times New Roman" w:cs="Times New Roman"/>
          <w:color w:val="2E2E2E"/>
          <w:sz w:val="24"/>
          <w:szCs w:val="24"/>
        </w:rPr>
        <w:t xml:space="preserve"> and published data </w:t>
      </w:r>
      <w:r w:rsidR="0041434C" w:rsidRPr="004F3A31">
        <w:rPr>
          <w:rStyle w:val="captions"/>
          <w:rFonts w:ascii="Times New Roman" w:hAnsi="Times New Roman" w:cs="Times New Roman"/>
        </w:rPr>
        <w:fldChar w:fldCharType="begin"/>
      </w:r>
      <w:r w:rsidR="000E7E53">
        <w:rPr>
          <w:rStyle w:val="captions"/>
          <w:rFonts w:ascii="Times New Roman" w:hAnsi="Times New Roman" w:cs="Times New Roman"/>
        </w:rPr>
        <w:instrText xml:space="preserve"> ADDIN ZOTERO_ITEM CSL_CITATION {"citationID":"oIre2UwZ","properties":{"formattedCitation":"\\super 20,45,66,75\\uc0\\u8211{}78,78\\nosupersub{}","plainCitation":"20,45,66,75–78,78","noteIndex":0},"citationItems":[{"id":748,"uris":["http://zotero.org/users/7125028/items/XKLAEQEP"],"itemData":{"id":748,"type":"article-journal","abstract":"Objectives A clear understanding of past weaning practices can provide invaluable insights into social issues such as infant care, fertility rate, and demographic patterns in past societies. This study presents the first archeological research employing compound specific isotope analysis (CSIA) for the reconstruction of past weaning practices. Methods Weaning practices of two Middle Neolithic communities in the Paris Basin region: Balloy (BLR) and Vignely (VPB), are evaluated by combining previously published bone collagen stable carbon, nitrogen, and sulfur (n = 66) isotope analysis with new compound specific carbon and nitrogen isotope compositions of bone collagen (n = 10). Results Our results demonstrate that the diets of individuals from BLR and VPB likely incorporated freshwater resources. The signals of freshwater resources consumption are even stronger among subadults, suggesting that freshwater resources were used as weaning food at these sites. Conclusions The implications of our result are threefold. Currently many CSIA studies in archeology only involve either carbon or nitrogen. Our data shows that it is important to conduct CSIA on both carbon and nitrogen for a more integrated picture. Secondly, our data demonstrates that the use of a protein-based weaning food—instead of a starch-based weaning food (such as cereal gruel)—was likely more prevalent among the Middle Neolithic communities in the Paris Basin Region than previously thought. The finding thus prompts a rethinking of the role of protein-based weaning food in other archeological contexts. Lastly, the common assumption that weaning foods and adult diets share similar isotopic compositions can be problematic, as the use of protein-based, high trophic-level weaning foods can skew the δ15N weaning curve and produce an erroneously late estimation for weaning ages.","container-title":"American Journal of Biological Anthropology","DOI":"10.1002/ajpa.24591","ISSN":"2692-7691","issue":"1","language":"en","note":"_eprint: https://onlinelibrary.wiley.com/doi/pdf/10.1002/ajpa.24591","page":"118-133","source":"Wiley Online Library","title":"Compound specific isotope evidence points to use of freshwater resources as weaning food in Middle Neolithic Paris Basin","volume":"179","author":[{"family":"Cheung","given":"Christina"},{"family":"Herrscher","given":"Estelle"},{"family":"Thomas","given":"Aline"}],"issued":{"date-parts":[["2022"]]}}},{"id":14,"uris":["http://zotero.org/users/7125028/items/JUZKGJJB"],"itemData":{"id":14,"type":"article-journal","abstract":"This research presents the individual amino acid δ13C values in bone collagen of humans (n=9) and animals (n=27) from two prehistoric shell midden sites in Korea. We obtained complete baseline separation of 16 of the 18 amino acids found in bone collagen by using liquid chromatography–isotope ratio mass spectrometry (LC–IRMS). The isotopic results reveal that the humans and animals in the two sites had similar patterns in essential amino acids (EAAs) and non-essential amino acids (NEAAs). The EAA and NEAA δ13C values in humans are intermediate between those in marine and terrestrial animals. However, the threonine δ13C values in humans and animals measured in this study are more highly enriched than those of other amino acids. At both sites, all amino acids in marine animals are 13C-enriched relative to those of the terrestrial animals. The isotopic evidence suggests that the Tongsamdong human had EAAs and NEAAs from marine food resources, while the Nukdo humans mainly had EAAs from terrestrial food resources but obtained NEAAs from both terrestrial and marine resources. The δ13C isotopic differences in amino acids between marine and terrestrial animals were the largest for glycine (NEAA) and histidine (EAA) and the smallest for tyrosine (NEAA) and phenylalanine (EAA). In addition, threonine among the EAAs also had a large difference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8‰) in δ13C values between marine and terrestrial animals, and has the potential to be used as an isotopic marker in palaeodietary studies. Threonine δ13C values were used in conjunction with the established Δ13CGlycine–phenylalanine values and produced three distinct dietary groups (terrestrial, omnivorous, and marine). In addition, threonine δ13C values and Δ13CSerine–phenylalanine values were discovered to separate between two dietary groups (terrestrial vs. marine), and these δ13C values may provide a potential new indicator for investigating the distinction between marine and terrestrial protein sources in human diets.","container-title":"Geochimica et Cosmochimica Acta","DOI":"10.1016/j.gca.2010.07.025","ISSN":"0016-7037","issue":"21","journalAbbreviation":"Geochimica et Cosmochimica Acta","language":"en","page":"6093-6111","source":"ScienceDirect","title":"Investigation of amino acid δ13C signatures in bone collagen to reconstruct human palaeodiets using liquid chromatography–isotope ratio mass spectrometry","volume":"74","author":[{"family":"Choy","given":"Kyungcheol"},{"family":"Smith","given":"Colin I."},{"family":"Fuller","given":"Benjamin T."},{"family":"Richards","given":"Michael P."}],"issued":{"date-parts":[["2010",11,1]]}}},{"id":134,"uris":["http://zotero.org/users/7125028/items/AJVBLTT4"],"itemData":{"id":134,"type":"article-journal","abstract":"We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M."}],"issued":{"date-parts":[["2012"]]}}},{"id":145,"uris":["http://zotero.org/users/7125028/items/6TY8YHIJ"],"itemData":{"id":145,"type":"article-journal","abstract":"Isotope and archeological analyses of Paleolithic food webs have suggested that Neandertal subsistence relied mainly on the consumption of large herbivores. This conclusion was primarily based on elevated nitrogen isotope ratios in Neandertal bone collagen and has been significantly debated. This discussion relies on the observation that similar high nitrogen isotopes values could also be the result of the consumption of mammoths, young animals, putrid meat, cooked food, freshwater fish, carnivores, or mushrooms. Recently, compound-specific C and N isotope analyses of bone collagen amino acids have been demonstrated to add significantly more information about trophic levels and aquatic food consumption. We undertook single amino acid C and N isotope analysis on two Neandertals, which were characterized by exceptionally high N isotope ratios in their bulk bone or tooth collagen. We report here both C and N isotope ratios on single amino acids of collagen samples for these two Neandertals and associated fauna. The samples come from two sites dating to the Middle to Upper Paleolithic transition period (Les Cottés and Grotte du Renne, France). Our results reinforce the interpretation of Neandertal dietary adaptations as successful top-level carnivores, even after the arrival of modern humans in Europe. They also demonstrate that high δ15N values of bone collagen can solely be explained by mammal meat consumption, as supported by archeological and zooarcheological evidence, without necessarily invoking explanations including the processing of food (cooking, fermenting), the consumption of mammoths or young mammals, or additional (freshwater fish, mushrooms) dietary protein sources.","container-title":"Proceedings of the National Academy of Sciences","DOI":"10.1073/pnas.1814087116","ISSN":"0027-8424, 1091-6490","issue":"11","journalAbbreviation":"PNAS","language":"en","license":"Copyright © 2019 the Author(s). Published by PNAS.. https://creativecommons.org/licenses/by-nc-nd/4.0/This open access article is distributed under Creative Commons Attribution-NonCommercial-NoDerivatives License 4.0 (CC BY-NC-ND).","note":"publisher: National Academy of Sciences\nsection: Biological Sciences\nPMID: 30782806","page":"4928-4933","source":"www.pnas.org","title":"Exceptionally high δ15N values in collagen single amino acids confirm Neandertals as high-trophic level carnivores","volume":"116","author":[{"family":"Jaouen","given":"Klervia"},{"family":"Richards","given":"Michael P."},{"family":"Cabec","given":"Adeline Le"},{"family":"Welker","given":"Frido"},{"family":"Rendu","given":"William"},{"family":"Hublin","given":"Jean-Jacques"},{"family":"Soressi","given":"Marie"},{"family":"Talamo","given":"Sahra"}],"issued":{"date-parts":[["2019",3,12]]}}},{"id":745,"uris":["http://zotero.org/users/7125028/items/7U9NSGUC"],"itemData":{"id":745,"type":"article-journal","abstract":"Stable isotope analysis of archaeological human remains is routinely applied to explore dietary habits and mobility patterns. The isotope information pertaining to the period prior to death may help in identifying locals and non-locals, especially when investigating individuals from the same funerary context but believed to have been highly mobile across the landscape. Based on the variety of the funerary goods in graves and what it is believed their diets comprised, it is thought that both local and non-local individuals were buried at the inland funerary site of Pica 8 (northern Chile, Late Intermediate Period,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1050–500 BP); however, uncertainties over the dietary intakes and mobility histories of these individuals still persist. The aim of this study is to refine the dietary characterization of a subset of Pica 8 individuals by increasing the temporal resolution of their dietary reconstructions, specifically throughout the last period of their life, and by identifying the multiple sources of food in their overall diets. This is achieved by analysing the amino acid carbon isotope composition of hair keratin and, for the first time, that of tendon collagen. This study proposes a new method for identifying the predominant food source (terrestrial or marine) in a mixed diet using phenylalanine, valine and leucine δ13C values measured in collagenous tissues. Herein, tendon is proven to be an ideal tissue for isotopically characterising the final year of an individual's life. Our results show that individuals previously identified as non-locals, based on long-term food consumption, had in reality abandoned their original dietary habits typical of distant regions many months before death, and hence had presumably relocated to the locality of Pica.","container-title":"Journal of Archaeological Science","DOI":"10.1016/j.jas.2018.03.002","ISSN":"0305-4403","journalAbbreviation":"Journal of Archaeological Science","language":"en","page":"94-109","source":"ScienceDirect","title":"Pica 8: Refining dietary reconstruction through amino acid δ13C analysis of tendon collagen and hair keratin","title-short":"Pica 8","volume":"93","author":[{"family":"Mora","given":"Alice"},{"family":"Pacheco","given":"Aryel"},{"family":"Roberts","given":"Charlotte"},{"family":"Smith","given":"Colin"}],"issued":{"date-parts":[["2018",5,1]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E."}],"issued":{"date-parts":[["2017",8,1]]}}},{"id":729,"uris":["http://zotero.org/users/7125028/items/8VEYJ8TT"],"itemData":{"id":729,"type":"article-journal","abstract":"Sulphur-isotope determinations are becoming increasingly useful for palaeodietary reconstruction, but knowledge of isotopic discrimination between diet and various tissues remains inadequate. In this study, we explore the sensitivity of δ34Stissue values to changes in δ34Sdiet values, sulphur isotopic discrimination between diet and consumer, and the potential impact of terrestrial vs. marine protein consumption on these discrimination offsets. We present new δ34S values of bone collagen, muscle, liver, hair, milk and faeces from ten mature sows, ten piglets and fifteen adolescent pigs from a controlled feeding study. The δ34Stissue values were found to co-vary with the δ34Sdiet values, the δ34Stissue – δ34Sdiet isotopic offsets (Δ34Stissue-diet) are small but consistent, and dietary protein source does not systematically alter the Δ34Stissue-diet isotopic discrimination. The outcomes of this study are of particular relevance to questions that are difficult to resolve using carbon and nitrogen stable isotopes alone, and will also be useful in regions where terrestrial, freshwater, and marine resources could have all potentially contributed to human diet.","container-title":"STAR: Science &amp; Technology of Archaeological Research","DOI":"10.1080/20548923.2017.1368821","ISSN":"null","issue":"1","note":"publisher: Routledge\n_eprint: https://doi.org/10.1080/20548923.2017.1368821","page":"71-79","source":"Taylor and Francis+NEJM","title":"Sulphur-isotope compositions of pig tissues from a controlled feeding study","volume":"3","author":[{"family":"Webb","given":"Emily C."},{"family":"Newton","given":"Jason"},{"family":"Lewis","given":"Jamie"},{"family":"Stewart","given":"Alan"},{"family":"Miller","given":"Bevis"},{"family":"Tarlton","given":"John F."},{"family":"Evershed","given":"Richard P."}],"issued":{"date-parts":[["2017",1,1]]}}}],"schema":"https://github.com/citation-style-language/schema/raw/master/csl-citation.json"} </w:instrText>
      </w:r>
      <w:r w:rsidR="0041434C" w:rsidRPr="004F3A31">
        <w:rPr>
          <w:rStyle w:val="captions"/>
          <w:rFonts w:ascii="Times New Roman" w:hAnsi="Times New Roman" w:cs="Times New Roman"/>
        </w:rPr>
        <w:fldChar w:fldCharType="separate"/>
      </w:r>
      <w:r w:rsidR="000E7E53" w:rsidRPr="000E7E53">
        <w:rPr>
          <w:rFonts w:ascii="Times New Roman" w:hAnsi="Times New Roman" w:cs="Times New Roman"/>
          <w:szCs w:val="24"/>
          <w:vertAlign w:val="superscript"/>
        </w:rPr>
        <w:t>20,45,66,75–78,78</w:t>
      </w:r>
      <w:r w:rsidR="0041434C" w:rsidRPr="004F3A31">
        <w:rPr>
          <w:rStyle w:val="captions"/>
          <w:rFonts w:ascii="Times New Roman" w:hAnsi="Times New Roman" w:cs="Times New Roman"/>
        </w:rPr>
        <w:fldChar w:fldCharType="end"/>
      </w:r>
    </w:p>
    <w:bookmarkEnd w:id="50"/>
    <w:p w14:paraId="399DC7FB" w14:textId="77037CA7" w:rsidR="005A4C82" w:rsidRDefault="005A4C82" w:rsidP="001A7BFF">
      <w:pPr>
        <w:spacing w:before="240" w:after="240" w:line="360" w:lineRule="auto"/>
        <w:rPr>
          <w:rFonts w:ascii="Times New Roman" w:hAnsi="Times New Roman" w:cs="Times New Roman"/>
          <w:sz w:val="24"/>
          <w:szCs w:val="24"/>
        </w:rPr>
      </w:pPr>
    </w:p>
    <w:p w14:paraId="5BD1FCB1" w14:textId="2920BAD0" w:rsidR="005A4C82" w:rsidRDefault="005A4C82" w:rsidP="001A7BFF">
      <w:pPr>
        <w:spacing w:before="240" w:after="240" w:line="360" w:lineRule="auto"/>
        <w:rPr>
          <w:rFonts w:ascii="Times New Roman" w:hAnsi="Times New Roman" w:cs="Times New Roman"/>
          <w:sz w:val="24"/>
          <w:szCs w:val="24"/>
        </w:rPr>
      </w:pPr>
    </w:p>
    <w:p w14:paraId="67AB8C63" w14:textId="49EFADC5" w:rsidR="005A4C82" w:rsidRDefault="00676E28" w:rsidP="001A7BFF">
      <w:pPr>
        <w:spacing w:before="240" w:after="240"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AEA47B2" wp14:editId="08A55ABA">
            <wp:extent cx="6826501" cy="5017770"/>
            <wp:effectExtent l="0" t="0" r="0" b="0"/>
            <wp:docPr id="195" name="Imag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ggplot2save-Val.vs.Phe-Taforalt-S4.13.jpe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831692" cy="5021586"/>
                    </a:xfrm>
                    <a:prstGeom prst="rect">
                      <a:avLst/>
                    </a:prstGeom>
                  </pic:spPr>
                </pic:pic>
              </a:graphicData>
            </a:graphic>
          </wp:inline>
        </w:drawing>
      </w:r>
    </w:p>
    <w:p w14:paraId="147F8200" w14:textId="1B77959B" w:rsidR="008F04D1" w:rsidRPr="0064579A" w:rsidRDefault="000875DB" w:rsidP="008F04D1">
      <w:pPr>
        <w:spacing w:before="240" w:after="240" w:line="360" w:lineRule="auto"/>
        <w:rPr>
          <w:rFonts w:ascii="Times New Roman" w:hAnsi="Times New Roman" w:cs="Times New Roman"/>
          <w:sz w:val="24"/>
          <w:szCs w:val="24"/>
        </w:rPr>
      </w:pPr>
      <w:bookmarkStart w:id="51" w:name="_Hlk137040300"/>
      <w:r w:rsidRPr="00676E28">
        <w:rPr>
          <w:rFonts w:ascii="Times New Roman" w:hAnsi="Times New Roman" w:cs="Times New Roman"/>
          <w:b/>
          <w:color w:val="2E2E2E"/>
          <w:sz w:val="24"/>
          <w:szCs w:val="24"/>
        </w:rPr>
        <w:t>Figure</w:t>
      </w:r>
      <w:r w:rsidR="00A63545" w:rsidRPr="00676E28">
        <w:rPr>
          <w:rFonts w:ascii="Times New Roman" w:hAnsi="Times New Roman" w:cs="Times New Roman"/>
          <w:b/>
          <w:color w:val="2E2E2E"/>
          <w:sz w:val="24"/>
          <w:szCs w:val="24"/>
        </w:rPr>
        <w:t xml:space="preserve"> 4.1</w:t>
      </w:r>
      <w:r w:rsidR="0007221D">
        <w:rPr>
          <w:rFonts w:ascii="Times New Roman" w:hAnsi="Times New Roman" w:cs="Times New Roman"/>
          <w:b/>
          <w:color w:val="2E2E2E"/>
          <w:sz w:val="24"/>
          <w:szCs w:val="24"/>
        </w:rPr>
        <w:t>2</w:t>
      </w:r>
      <w:r w:rsidRPr="00676E28">
        <w:rPr>
          <w:rFonts w:ascii="Times New Roman" w:hAnsi="Times New Roman" w:cs="Times New Roman"/>
          <w:b/>
          <w:color w:val="2E2E2E"/>
          <w:sz w:val="24"/>
          <w:szCs w:val="24"/>
        </w:rPr>
        <w:t xml:space="preserve">: </w:t>
      </w:r>
      <w:r w:rsidRPr="00676E28">
        <w:rPr>
          <w:rFonts w:ascii="Times New Roman" w:hAnsi="Times New Roman" w:cs="Times New Roman"/>
          <w:color w:val="2E2E2E"/>
          <w:sz w:val="24"/>
          <w:szCs w:val="24"/>
        </w:rPr>
        <w:t>Bivariate plot of the Taforalt </w:t>
      </w:r>
      <w:r w:rsidRPr="00676E28">
        <w:rPr>
          <w:rStyle w:val="mjxassistivemathml"/>
          <w:rFonts w:ascii="Times New Roman" w:hAnsi="Times New Roman" w:cs="Times New Roman"/>
          <w:color w:val="2E2E2E"/>
          <w:sz w:val="24"/>
          <w:szCs w:val="24"/>
          <w:bdr w:val="none" w:sz="0" w:space="0" w:color="auto" w:frame="1"/>
        </w:rPr>
        <w:t>δ</w:t>
      </w:r>
      <w:r w:rsidRPr="00676E28">
        <w:rPr>
          <w:rFonts w:ascii="Times New Roman" w:hAnsi="Times New Roman" w:cs="Times New Roman"/>
          <w:color w:val="2E2E2E"/>
          <w:sz w:val="24"/>
          <w:szCs w:val="24"/>
          <w:vertAlign w:val="superscript"/>
        </w:rPr>
        <w:t>13</w:t>
      </w:r>
      <w:r w:rsidRPr="00676E28">
        <w:rPr>
          <w:rFonts w:ascii="Times New Roman" w:hAnsi="Times New Roman" w:cs="Times New Roman"/>
          <w:color w:val="2E2E2E"/>
          <w:sz w:val="24"/>
          <w:szCs w:val="24"/>
        </w:rPr>
        <w:t>C</w:t>
      </w:r>
      <w:r w:rsidRPr="00676E28">
        <w:rPr>
          <w:rFonts w:ascii="Times New Roman" w:hAnsi="Times New Roman" w:cs="Times New Roman"/>
          <w:color w:val="2E2E2E"/>
          <w:sz w:val="24"/>
          <w:szCs w:val="24"/>
          <w:vertAlign w:val="subscript"/>
        </w:rPr>
        <w:t>Phe</w:t>
      </w:r>
      <w:r w:rsidRPr="00676E28">
        <w:rPr>
          <w:rFonts w:ascii="Times New Roman" w:hAnsi="Times New Roman" w:cs="Times New Roman"/>
          <w:color w:val="2E2E2E"/>
          <w:sz w:val="24"/>
          <w:szCs w:val="24"/>
        </w:rPr>
        <w:t> and </w:t>
      </w:r>
      <w:r w:rsidRPr="00676E28">
        <w:rPr>
          <w:rStyle w:val="mjxassistivemathml"/>
          <w:rFonts w:ascii="Times New Roman" w:hAnsi="Times New Roman" w:cs="Times New Roman"/>
          <w:color w:val="2E2E2E"/>
          <w:sz w:val="24"/>
          <w:szCs w:val="24"/>
          <w:bdr w:val="none" w:sz="0" w:space="0" w:color="auto" w:frame="1"/>
        </w:rPr>
        <w:t>δ</w:t>
      </w:r>
      <w:r w:rsidRPr="00676E28">
        <w:rPr>
          <w:rFonts w:ascii="Times New Roman" w:hAnsi="Times New Roman" w:cs="Times New Roman"/>
          <w:color w:val="2E2E2E"/>
          <w:sz w:val="24"/>
          <w:szCs w:val="24"/>
          <w:vertAlign w:val="superscript"/>
        </w:rPr>
        <w:t>13</w:t>
      </w:r>
      <w:r w:rsidRPr="00676E28">
        <w:rPr>
          <w:rFonts w:ascii="Times New Roman" w:hAnsi="Times New Roman" w:cs="Times New Roman"/>
          <w:color w:val="2E2E2E"/>
          <w:sz w:val="24"/>
          <w:szCs w:val="24"/>
        </w:rPr>
        <w:t>C</w:t>
      </w:r>
      <w:r w:rsidRPr="00676E28">
        <w:rPr>
          <w:rFonts w:ascii="Times New Roman" w:hAnsi="Times New Roman" w:cs="Times New Roman"/>
          <w:color w:val="2E2E2E"/>
          <w:sz w:val="24"/>
          <w:szCs w:val="24"/>
          <w:vertAlign w:val="subscript"/>
        </w:rPr>
        <w:t>Val</w:t>
      </w:r>
      <w:r w:rsidRPr="00676E28">
        <w:rPr>
          <w:rFonts w:ascii="Times New Roman" w:hAnsi="Times New Roman" w:cs="Times New Roman"/>
          <w:color w:val="2E2E2E"/>
          <w:sz w:val="24"/>
          <w:szCs w:val="24"/>
        </w:rPr>
        <w:t> results by dietary classification with known types of dietary consumers from</w:t>
      </w:r>
      <w:r w:rsidR="008F04D1" w:rsidRPr="00676E28">
        <w:rPr>
          <w:rFonts w:ascii="Times New Roman" w:hAnsi="Times New Roman" w:cs="Times New Roman"/>
          <w:color w:val="2E2E2E"/>
          <w:sz w:val="24"/>
          <w:szCs w:val="24"/>
        </w:rPr>
        <w:t xml:space="preserve"> </w:t>
      </w:r>
      <w:r w:rsidR="008F04D1" w:rsidRPr="00676E28">
        <w:rPr>
          <w:rStyle w:val="captions"/>
          <w:rFonts w:ascii="Times New Roman" w:hAnsi="Times New Roman" w:cs="Times New Roman"/>
          <w:sz w:val="24"/>
          <w:szCs w:val="24"/>
        </w:rPr>
        <w:t xml:space="preserve">published data </w:t>
      </w:r>
      <w:r w:rsidR="0041434C" w:rsidRPr="00676E28">
        <w:rPr>
          <w:rStyle w:val="captions"/>
          <w:rFonts w:ascii="Times New Roman" w:hAnsi="Times New Roman" w:cs="Times New Roman"/>
        </w:rPr>
        <w:fldChar w:fldCharType="begin"/>
      </w:r>
      <w:r w:rsidR="000E7E53">
        <w:rPr>
          <w:rStyle w:val="captions"/>
          <w:rFonts w:ascii="Times New Roman" w:hAnsi="Times New Roman" w:cs="Times New Roman"/>
        </w:rPr>
        <w:instrText xml:space="preserve"> ADDIN ZOTERO_ITEM CSL_CITATION {"citationID":"W4meuCwY","properties":{"formattedCitation":"\\super 20,45,66,75\\uc0\\u8211{}78,78\\nosupersub{}","plainCitation":"20,45,66,75–78,78","noteIndex":0},"citationItems":[{"id":748,"uris":["http://zotero.org/users/7125028/items/XKLAEQEP"],"itemData":{"id":748,"type":"article-journal","abstract":"Objectives A clear understanding of past weaning practices can provide invaluable insights into social issues such as infant care, fertility rate, and demographic patterns in past societies. This study presents the first archeological research employing compound specific isotope analysis (CSIA) for the reconstruction of past weaning practices. Methods Weaning practices of two Middle Neolithic communities in the Paris Basin region: Balloy (BLR) and Vignely (VPB), are evaluated by combining previously published bone collagen stable carbon, nitrogen, and sulfur (n = 66) isotope analysis with new compound specific carbon and nitrogen isotope compositions of bone collagen (n = 10). Results Our results demonstrate that the diets of individuals from BLR and VPB likely incorporated freshwater resources. The signals of freshwater resources consumption are even stronger among subadults, suggesting that freshwater resources were used as weaning food at these sites. Conclusions The implications of our result are threefold. Currently many CSIA studies in archeology only involve either carbon or nitrogen. Our data shows that it is important to conduct CSIA on both carbon and nitrogen for a more integrated picture. Secondly, our data demonstrates that the use of a protein-based weaning food—instead of a starch-based weaning food (such as cereal gruel)—was likely more prevalent among the Middle Neolithic communities in the Paris Basin Region than previously thought. The finding thus prompts a rethinking of the role of protein-based weaning food in other archeological contexts. Lastly, the common assumption that weaning foods and adult diets share similar isotopic compositions can be problematic, as the use of protein-based, high trophic-level weaning foods can skew the δ15N weaning curve and produce an erroneously late estimation for weaning ages.","container-title":"American Journal of Biological Anthropology","DOI":"10.1002/ajpa.24591","ISSN":"2692-7691","issue":"1","language":"en","note":"_eprint: https://onlinelibrary.wiley.com/doi/pdf/10.1002/ajpa.24591","page":"118-133","source":"Wiley Online Library","title":"Compound specific isotope evidence points to use of freshwater resources as weaning food in Middle Neolithic Paris Basin","volume":"179","author":[{"family":"Cheung","given":"Christina"},{"family":"Herrscher","given":"Estelle"},{"family":"Thomas","given":"Aline"}],"issued":{"date-parts":[["2022"]]}}},{"id":14,"uris":["http://zotero.org/users/7125028/items/JUZKGJJB"],"itemData":{"id":14,"type":"article-journal","abstract":"This research presents the individual amino acid δ13C values in bone collagen of humans (n=9) and animals (n=27) from two prehistoric shell midden sites in Korea. We obtained complete baseline separation of 16 of the 18 amino acids found in bone collagen by using liquid chromatography–isotope ratio mass spectrometry (LC–IRMS). The isotopic results reveal that the humans and animals in the two sites had similar patterns in essential amino acids (EAAs) and non-essential amino acids (NEAAs). The EAA and NEAA δ13C values in humans are intermediate between those in marine and terrestrial animals. However, the threonine δ13C values in humans and animals measured in this study are more highly enriched than those of other amino acids. At both sites, all amino acids in marine animals are 13C-enriched relative to those of the terrestrial animals. The isotopic evidence suggests that the Tongsamdong human had EAAs and NEAAs from marine food resources, while the Nukdo humans mainly had EAAs from terrestrial food resources but obtained NEAAs from both terrestrial and marine resources. The δ13C isotopic differences in amino acids between marine and terrestrial animals were the largest for glycine (NEAA) and histidine (EAA) and the smallest for tyrosine (NEAA) and phenylalanine (EAA). In addition, threonine among the EAAs also had a large difference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8‰) in δ13C values between marine and terrestrial animals, and has the potential to be used as an isotopic marker in palaeodietary studies. Threonine δ13C values were used in conjunction with the established Δ13CGlycine–phenylalanine values and produced three distinct dietary groups (terrestrial, omnivorous, and marine). In addition, threonine δ13C values and Δ13CSerine–phenylalanine values were discovered to separate between two dietary groups (terrestrial vs. marine), and these δ13C values may provide a potential new indicator for investigating the distinction between marine and terrestrial protein sources in human diets.","container-title":"Geochimica et Cosmochimica Acta","DOI":"10.1016/j.gca.2010.07.025","ISSN":"0016-7037","issue":"21","journalAbbreviation":"Geochimica et Cosmochimica Acta","language":"en","page":"6093-6111","source":"ScienceDirect","title":"Investigation of amino acid δ13C signatures in bone collagen to reconstruct human palaeodiets using liquid chromatography–isotope ratio mass spectrometry","volume":"74","author":[{"family":"Choy","given":"Kyungcheol"},{"family":"Smith","given":"Colin I."},{"family":"Fuller","given":"Benjamin T."},{"family":"Richards","given":"Michael P."}],"issued":{"date-parts":[["2010",11,1]]}}},{"id":134,"uris":["http://zotero.org/users/7125028/items/AJVBLTT4"],"itemData":{"id":134,"type":"article-journal","abstract":"We present bone collagen amino acid (AA) δ13C values for a range of archaeological samples representing four “benchmark” human diet groups (high marine protein consumers, high freshwater protein consumers, terrestrial C3 consumers, and terrestrial C4 consumers), a human population with an “unknown” diet, and ruminants. The aim is to establish an interpretive palaeodietary framework for bone collagen AA δ13C values, and to assess the extent to which AA δ13C values can provide additional dietary information to bulk collagen stable isotope analysis. Results are analyzed to determine the ability of those AAs for which we have a complete set, to discriminate between the diet groups. We show that very strong statistical discrimination is obtained for all interdiet group comparisons. This is often obvious from suitably chosen bivariate plots using δ113C values that have been normalized to compensate for interdiet group differences in bulk δ13C values. Bi-plots of non-normalized phenylalanine and valine δ13C values are useful for distinguishing aquatic diets (marine and freshwater) from terrestrial diets. Our interpretive framework uses multivariate statistics (e.g., discriminant analysis) to optimize the separation of the AA δ13C values of the “benchmark”’ diet groups, and is capable of accurately assigning external samples to their expected diet groups. With a growing body of AA δ13C values, this method is likely to enhance palaeodietary research by allowing the “unknown” diets of populations under investigation to be statistically defined relative to the well-characterized or “known” diets of previously investigated populations. Am J Phys Anthropol 2012. © 2012 Wiley Periodicals, Inc.","container-title":"American Journal of Physical Anthropology","DOI":"10.1002/ajpa.22065","ISSN":"1096-8644","issue":"4","language":"en","note":"_eprint: https://onlinelibrary.wiley.com/doi/pdf/10.1002/ajpa.22065","page":"495-511","source":"Wiley Online Library","title":"Variation of bone collagen amino acid δ13c values in archaeological humans and fauna with different dietary regimes: Developing frameworks of dietary discrimination","title-short":"Variation of bone collagen amino acid δ13c values in archaeological humans and fauna with different dietary regimes","volume":"148","author":[{"family":"Honch","given":"Noah V."},{"family":"McCullagh","given":"James S. O."},{"family":"Hedges","given":"Robert E. M."}],"issued":{"date-parts":[["2012"]]}}},{"id":145,"uris":["http://zotero.org/users/7125028/items/6TY8YHIJ"],"itemData":{"id":145,"type":"article-journal","abstract":"Isotope and archeological analyses of Paleolithic food webs have suggested that Neandertal subsistence relied mainly on the consumption of large herbivores. This conclusion was primarily based on elevated nitrogen isotope ratios in Neandertal bone collagen and has been significantly debated. This discussion relies on the observation that similar high nitrogen isotopes values could also be the result of the consumption of mammoths, young animals, putrid meat, cooked food, freshwater fish, carnivores, or mushrooms. Recently, compound-specific C and N isotope analyses of bone collagen amino acids have been demonstrated to add significantly more information about trophic levels and aquatic food consumption. We undertook single amino acid C and N isotope analysis on two Neandertals, which were characterized by exceptionally high N isotope ratios in their bulk bone or tooth collagen. We report here both C and N isotope ratios on single amino acids of collagen samples for these two Neandertals and associated fauna. The samples come from two sites dating to the Middle to Upper Paleolithic transition period (Les Cottés and Grotte du Renne, France). Our results reinforce the interpretation of Neandertal dietary adaptations as successful top-level carnivores, even after the arrival of modern humans in Europe. They also demonstrate that high δ15N values of bone collagen can solely be explained by mammal meat consumption, as supported by archeological and zooarcheological evidence, without necessarily invoking explanations including the processing of food (cooking, fermenting), the consumption of mammoths or young mammals, or additional (freshwater fish, mushrooms) dietary protein sources.","container-title":"Proceedings of the National Academy of Sciences","DOI":"10.1073/pnas.1814087116","ISSN":"0027-8424, 1091-6490","issue":"11","journalAbbreviation":"PNAS","language":"en","license":"Copyright © 2019 the Author(s). Published by PNAS.. https://creativecommons.org/licenses/by-nc-nd/4.0/This open access article is distributed under Creative Commons Attribution-NonCommercial-NoDerivatives License 4.0 (CC BY-NC-ND).","note":"publisher: National Academy of Sciences\nsection: Biological Sciences\nPMID: 30782806","page":"4928-4933","source":"www.pnas.org","title":"Exceptionally high δ15N values in collagen single amino acids confirm Neandertals as high-trophic level carnivores","volume":"116","author":[{"family":"Jaouen","given":"Klervia"},{"family":"Richards","given":"Michael P."},{"family":"Cabec","given":"Adeline Le"},{"family":"Welker","given":"Frido"},{"family":"Rendu","given":"William"},{"family":"Hublin","given":"Jean-Jacques"},{"family":"Soressi","given":"Marie"},{"family":"Talamo","given":"Sahra"}],"issued":{"date-parts":[["2019",3,12]]}}},{"id":745,"uris":["http://zotero.org/users/7125028/items/7U9NSGUC"],"itemData":{"id":745,"type":"article-journal","abstract":"Stable isotope analysis of archaeological human remains is routinely applied to explore dietary habits and mobility patterns. The isotope information pertaining to the period prior to death may help in identifying locals and non-locals, especially when investigating individuals from the same funerary context but believed to have been highly mobile across the landscape. Based on the variety of the funerary goods in graves and what it is believed their diets comprised, it is thought that both local and non-local individuals were buried at the inland funerary site of Pica 8 (northern Chile, Late Intermediate Period, </w:instrText>
      </w:r>
      <w:r w:rsidR="000E7E53">
        <w:rPr>
          <w:rStyle w:val="captions"/>
          <w:rFonts w:ascii="Cambria Math" w:hAnsi="Cambria Math" w:cs="Cambria Math"/>
        </w:rPr>
        <w:instrText>∼</w:instrText>
      </w:r>
      <w:r w:rsidR="000E7E53">
        <w:rPr>
          <w:rStyle w:val="captions"/>
          <w:rFonts w:ascii="Times New Roman" w:hAnsi="Times New Roman" w:cs="Times New Roman"/>
        </w:rPr>
        <w:instrText xml:space="preserve">1050–500 BP); however, uncertainties over the dietary intakes and mobility histories of these individuals still persist. The aim of this study is to refine the dietary characterization of a subset of Pica 8 individuals by increasing the temporal resolution of their dietary reconstructions, specifically throughout the last period of their life, and by identifying the multiple sources of food in their overall diets. This is achieved by analysing the amino acid carbon isotope composition of hair keratin and, for the first time, that of tendon collagen. This study proposes a new method for identifying the predominant food source (terrestrial or marine) in a mixed diet using phenylalanine, valine and leucine δ13C values measured in collagenous tissues. Herein, tendon is proven to be an ideal tissue for isotopically characterising the final year of an individual's life. Our results show that individuals previously identified as non-locals, based on long-term food consumption, had in reality abandoned their original dietary habits typical of distant regions many months before death, and hence had presumably relocated to the locality of Pica.","container-title":"Journal of Archaeological Science","DOI":"10.1016/j.jas.2018.03.002","ISSN":"0305-4403","journalAbbreviation":"Journal of Archaeological Science","language":"en","page":"94-109","source":"ScienceDirect","title":"Pica 8: Refining dietary reconstruction through amino acid δ13C analysis of tendon collagen and hair keratin","title-short":"Pica 8","volume":"93","author":[{"family":"Mora","given":"Alice"},{"family":"Pacheco","given":"Aryel"},{"family":"Roberts","given":"Charlotte"},{"family":"Smith","given":"Colin"}],"issued":{"date-parts":[["2018",5,1]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E."}],"issued":{"date-parts":[["2017",8,1]]}}},{"id":751,"uris":["http://zotero.org/users/7125028/items/EW26VXTP"],"itemData":{"id":751,"type":"article-journal","abstract":"A nearly 40-year debate on the origins of carbon supporting animal production in lotic systems has spawned numerous conceptual theories emphasizing the importance of autochthonous carbon, terrestrial carbon, or both (depending on river stage height). Testing theories has been hampered by lack of adequate analytical methods to distinguish in consumer tissue between ultimate autochthonous and allochthonous carbon. Investigators initially relied on assimilation efficiencies of gut contents and later on bulk tissue stable isotope analysis or fatty acid methods. The newest technique in amino acid, compound specific, stable isotope analysis (AA-CSIA), however, enables investigators to link consumers to food sources by tracing essential amino acids from producers to consumers. We used AA-CSIA to evaluate nutrient sources for 5 invertivorous and 6 piscivorous species in 2 hydrogeomorphically contrasting large rivers: the anastomosing Upper Mississippi River (UMR) and the mostly constricted lower Ohio River (LOR). Museum specimens we analyzed isotopically had been collected by other investigators over many decades (UMR: 1900–1969; LOR: 1931–1970). Our results demonstrate that on average algae contributed 58.5% (LOR) to 75.6% (UMR) of fish diets. The next highest estimated contributions of food sources were from C3 terrestrial plants (21.1 and 11.5% for the LOR and UMR, respectively). Moreover, results from 11 individually examined species consistently demonstrated the importance of algae for most fish species in these trophic guilds. Differences among rivers in relative food source availability resulting from contrasting hydrogeomorphic complexity may account for relative proportions of amino acids derived from algae.","container-title":"Ecosystems","DOI":"10.1007/s10021-016-0091-y","ISSN":"1435-0629","issue":"5","journalAbbreviation":"Ecosystems","language":"en","page":"1029-1041","source":"Springer Link","title":"Carbon Sources in Riverine Food Webs: New Evidence from Amino Acid Isotope Techniques","title-short":"Carbon Sources in Riverine Food Webs","volume":"20","author":[{"family":"Thorp","given":"James H."},{"family":"Bowes","given":"Rachel E."}],"issued":{"date-parts":[["2017",8,1]]}}},{"id":729,"uris":["http://zotero.org/users/7125028/items/8VEYJ8TT"],"itemData":{"id":729,"type":"article-journal","abstract":"Sulphur-isotope determinations are becoming increasingly useful for palaeodietary reconstruction, but knowledge of isotopic discrimination between diet and various tissues remains inadequate. In this study, we explore the sensitivity of δ34Stissue values to changes in δ34Sdiet values, sulphur isotopic discrimination between diet and consumer, and the potential impact of terrestrial vs. marine protein consumption on these discrimination offsets. We present new δ34S values of bone collagen, muscle, liver, hair, milk and faeces from ten mature sows, ten piglets and fifteen adolescent pigs from a controlled feeding study. The δ34Stissue values were found to co-vary with the δ34Sdiet values, the δ34Stissue – δ34Sdiet isotopic offsets (Δ34Stissue-diet) are small but consistent, and dietary protein source does not systematically alter the Δ34Stissue-diet isotopic discrimination. The outcomes of this study are of particular relevance to questions that are difficult to resolve using carbon and nitrogen stable isotopes alone, and will also be useful in regions where terrestrial, freshwater, and marine resources could have all potentially contributed to human diet.","container-title":"STAR: Science &amp; Technology of Archaeological Research","DOI":"10.1080/20548923.2017.1368821","ISSN":"null","issue":"1","note":"publisher: Routledge\n_eprint: https://doi.org/10.1080/20548923.2017.1368821","page":"71-79","source":"Taylor and Francis+NEJM","title":"Sulphur-isotope compositions of pig tissues from a controlled feeding study","volume":"3","author":[{"family":"Webb","given":"Emily C."},{"family":"Newton","given":"Jason"},{"family":"Lewis","given":"Jamie"},{"family":"Stewart","given":"Alan"},{"family":"Miller","given":"Bevis"},{"family":"Tarlton","given":"John F."},{"family":"Evershed","given":"Richard P."}],"issued":{"date-parts":[["2017",1,1]]}}}],"schema":"https://github.com/citation-style-language/schema/raw/master/csl-citation.json"} </w:instrText>
      </w:r>
      <w:r w:rsidR="0041434C" w:rsidRPr="00676E28">
        <w:rPr>
          <w:rStyle w:val="captions"/>
          <w:rFonts w:ascii="Times New Roman" w:hAnsi="Times New Roman" w:cs="Times New Roman"/>
        </w:rPr>
        <w:fldChar w:fldCharType="separate"/>
      </w:r>
      <w:r w:rsidR="000E7E53" w:rsidRPr="000E7E53">
        <w:rPr>
          <w:rFonts w:ascii="Times New Roman" w:hAnsi="Times New Roman" w:cs="Times New Roman"/>
          <w:szCs w:val="24"/>
          <w:vertAlign w:val="superscript"/>
        </w:rPr>
        <w:t>20,45,66,75–78,78</w:t>
      </w:r>
      <w:r w:rsidR="0041434C" w:rsidRPr="00676E28">
        <w:rPr>
          <w:rStyle w:val="captions"/>
          <w:rFonts w:ascii="Times New Roman" w:hAnsi="Times New Roman" w:cs="Times New Roman"/>
        </w:rPr>
        <w:fldChar w:fldCharType="end"/>
      </w:r>
    </w:p>
    <w:bookmarkEnd w:id="51"/>
    <w:p w14:paraId="3D533FA6" w14:textId="7372C1BE" w:rsidR="000875DB" w:rsidRPr="0056199B" w:rsidRDefault="000875DB" w:rsidP="001A7BFF">
      <w:pPr>
        <w:spacing w:before="240" w:after="240" w:line="360" w:lineRule="auto"/>
        <w:rPr>
          <w:rFonts w:ascii="Times New Roman" w:hAnsi="Times New Roman" w:cs="Times New Roman"/>
          <w:sz w:val="24"/>
          <w:szCs w:val="24"/>
        </w:rPr>
      </w:pPr>
    </w:p>
    <w:p w14:paraId="2C7F1A6B" w14:textId="77777777" w:rsidR="000875DB" w:rsidRPr="00D70D43" w:rsidRDefault="000875DB" w:rsidP="001A7BFF">
      <w:pPr>
        <w:spacing w:before="240" w:after="240" w:line="360" w:lineRule="auto"/>
        <w:rPr>
          <w:rFonts w:ascii="Times New Roman" w:hAnsi="Times New Roman" w:cs="Times New Roman"/>
          <w:sz w:val="24"/>
          <w:szCs w:val="24"/>
        </w:rPr>
      </w:pPr>
    </w:p>
    <w:p w14:paraId="0A8847F0" w14:textId="12A7135F" w:rsidR="001A7BFF" w:rsidRPr="0064579A" w:rsidRDefault="001925CC" w:rsidP="001A7BFF">
      <w:pPr>
        <w:rPr>
          <w:rFonts w:ascii="Times New Roman" w:hAnsi="Times New Roman" w:cs="Times New Roman"/>
          <w:b/>
          <w:szCs w:val="24"/>
        </w:rPr>
      </w:pPr>
      <w:bookmarkStart w:id="52" w:name="_Hlk121127797"/>
      <w:r w:rsidRPr="0064579A">
        <w:rPr>
          <w:rFonts w:ascii="Times New Roman" w:hAnsi="Times New Roman" w:cs="Times New Roman"/>
          <w:b/>
          <w:szCs w:val="24"/>
        </w:rPr>
        <w:t>4.4.2</w:t>
      </w:r>
      <w:r w:rsidR="001A7BFF" w:rsidRPr="0064579A">
        <w:rPr>
          <w:rFonts w:ascii="Times New Roman" w:hAnsi="Times New Roman" w:cs="Times New Roman"/>
          <w:b/>
          <w:szCs w:val="24"/>
        </w:rPr>
        <w:t xml:space="preserve">. The isotopic baseline assessment from </w:t>
      </w:r>
      <w:r w:rsidR="001A7BFF" w:rsidRPr="0064579A">
        <w:rPr>
          <w:rFonts w:ascii="Times New Roman" w:eastAsia="Times New Roman" w:hAnsi="Times New Roman" w:cs="Times New Roman"/>
          <w:b/>
          <w:szCs w:val="24"/>
          <w:highlight w:val="white"/>
        </w:rPr>
        <w:t>δ</w:t>
      </w:r>
      <w:r w:rsidR="001A7BFF" w:rsidRPr="0064579A">
        <w:rPr>
          <w:rFonts w:ascii="Times New Roman" w:eastAsia="Times New Roman" w:hAnsi="Times New Roman" w:cs="Times New Roman"/>
          <w:b/>
          <w:szCs w:val="24"/>
          <w:highlight w:val="white"/>
          <w:vertAlign w:val="superscript"/>
        </w:rPr>
        <w:t>15</w:t>
      </w:r>
      <w:r w:rsidR="001A7BFF" w:rsidRPr="0064579A">
        <w:rPr>
          <w:rFonts w:ascii="Times New Roman" w:eastAsia="Times New Roman" w:hAnsi="Times New Roman" w:cs="Times New Roman"/>
          <w:b/>
          <w:szCs w:val="24"/>
          <w:highlight w:val="white"/>
        </w:rPr>
        <w:t>N</w:t>
      </w:r>
      <w:r w:rsidR="001A7BFF" w:rsidRPr="0064579A">
        <w:rPr>
          <w:rFonts w:ascii="Times New Roman" w:eastAsia="Times New Roman" w:hAnsi="Times New Roman" w:cs="Times New Roman"/>
          <w:b/>
          <w:szCs w:val="24"/>
          <w:highlight w:val="white"/>
          <w:vertAlign w:val="subscript"/>
        </w:rPr>
        <w:t xml:space="preserve">Phe. </w:t>
      </w:r>
    </w:p>
    <w:bookmarkEnd w:id="52"/>
    <w:p w14:paraId="293C6A93" w14:textId="2C782FAC" w:rsidR="001A7BFF" w:rsidRPr="00D82CC5" w:rsidRDefault="001A7BFF" w:rsidP="00312D4F">
      <w:pPr>
        <w:spacing w:after="0" w:line="360" w:lineRule="auto"/>
        <w:ind w:firstLine="720"/>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highlight w:val="white"/>
        </w:rPr>
        <w:t>The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Phe</w:t>
      </w:r>
      <w:r w:rsidRPr="00D70D43">
        <w:rPr>
          <w:rFonts w:ascii="Times New Roman" w:eastAsia="Times New Roman" w:hAnsi="Times New Roman" w:cs="Times New Roman"/>
          <w:sz w:val="24"/>
          <w:szCs w:val="24"/>
          <w:highlight w:val="white"/>
        </w:rPr>
        <w:t xml:space="preserve"> usually reflect the local baseline. In the overall samples, there is no correlation between the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bulk</w:t>
      </w:r>
      <w:r w:rsidRPr="00D70D43">
        <w:rPr>
          <w:rFonts w:ascii="Times New Roman" w:eastAsia="Times New Roman" w:hAnsi="Times New Roman" w:cs="Times New Roman"/>
          <w:sz w:val="24"/>
          <w:szCs w:val="24"/>
          <w:highlight w:val="white"/>
        </w:rPr>
        <w:t xml:space="preserve"> and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Phe</w:t>
      </w:r>
      <w:r w:rsidRPr="00D70D43">
        <w:rPr>
          <w:rFonts w:ascii="Times New Roman" w:eastAsia="Times New Roman" w:hAnsi="Times New Roman" w:cs="Times New Roman"/>
          <w:sz w:val="24"/>
          <w:szCs w:val="24"/>
          <w:highlight w:val="white"/>
        </w:rPr>
        <w:t xml:space="preserve"> (r=0.17, R</w:t>
      </w:r>
      <w:r w:rsidRPr="00D70D43">
        <w:rPr>
          <w:rFonts w:ascii="Times New Roman" w:eastAsia="Times New Roman" w:hAnsi="Times New Roman" w:cs="Times New Roman"/>
          <w:sz w:val="24"/>
          <w:szCs w:val="24"/>
          <w:highlight w:val="white"/>
          <w:vertAlign w:val="superscript"/>
        </w:rPr>
        <w:t>2</w:t>
      </w:r>
      <w:r w:rsidRPr="00D70D43">
        <w:rPr>
          <w:rFonts w:ascii="Times New Roman" w:eastAsia="Times New Roman" w:hAnsi="Times New Roman" w:cs="Times New Roman"/>
          <w:sz w:val="24"/>
          <w:szCs w:val="24"/>
          <w:highlight w:val="white"/>
        </w:rPr>
        <w:t>= 0.04231, p-value: 0.1463) since this la</w:t>
      </w:r>
      <w:r w:rsidR="0066220C">
        <w:rPr>
          <w:rFonts w:ascii="Times New Roman" w:eastAsia="Times New Roman" w:hAnsi="Times New Roman" w:cs="Times New Roman"/>
          <w:sz w:val="24"/>
          <w:szCs w:val="24"/>
          <w:highlight w:val="white"/>
        </w:rPr>
        <w:t>t</w:t>
      </w:r>
      <w:r w:rsidRPr="00D70D43">
        <w:rPr>
          <w:rFonts w:ascii="Times New Roman" w:eastAsia="Times New Roman" w:hAnsi="Times New Roman" w:cs="Times New Roman"/>
          <w:sz w:val="24"/>
          <w:szCs w:val="24"/>
          <w:highlight w:val="white"/>
        </w:rPr>
        <w:t>ter is not affected by the trophic enrichment. The herbivores in Taforalt exhibit a wide range of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Phe</w:t>
      </w:r>
      <w:r w:rsidRPr="00D70D43">
        <w:rPr>
          <w:rFonts w:ascii="Times New Roman" w:eastAsia="Times New Roman" w:hAnsi="Times New Roman" w:cs="Times New Roman"/>
          <w:sz w:val="24"/>
          <w:szCs w:val="24"/>
          <w:highlight w:val="white"/>
        </w:rPr>
        <w:t xml:space="preserve"> (9.1- 16.7‰)</w:t>
      </w:r>
      <w:r w:rsidR="00621038">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implying Nitrogen isotope ratio variation at the baseline.</w:t>
      </w:r>
      <w:r w:rsidR="008B4920">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A</w:t>
      </w:r>
      <w:r w:rsidR="0066220C">
        <w:rPr>
          <w:rFonts w:ascii="Times New Roman" w:eastAsia="Times New Roman" w:hAnsi="Times New Roman" w:cs="Times New Roman"/>
          <w:sz w:val="24"/>
          <w:szCs w:val="24"/>
          <w:highlight w:val="white"/>
        </w:rPr>
        <w:t xml:space="preserve"> sample from</w:t>
      </w:r>
      <w:r w:rsidRPr="00D70D43">
        <w:rPr>
          <w:rFonts w:ascii="Times New Roman" w:eastAsia="Times New Roman" w:hAnsi="Times New Roman" w:cs="Times New Roman"/>
          <w:sz w:val="24"/>
          <w:szCs w:val="24"/>
          <w:highlight w:val="white"/>
        </w:rPr>
        <w:t xml:space="preserve"> Barbary sheep </w:t>
      </w:r>
      <w:r w:rsidRPr="00D70D43">
        <w:rPr>
          <w:rFonts w:ascii="Times New Roman" w:eastAsia="Times New Roman" w:hAnsi="Times New Roman" w:cs="Times New Roman"/>
          <w:sz w:val="24"/>
          <w:szCs w:val="24"/>
          <w:highlight w:val="white"/>
        </w:rPr>
        <w:lastRenderedPageBreak/>
        <w:t xml:space="preserve">and an </w:t>
      </w:r>
      <w:r w:rsidR="0066220C">
        <w:rPr>
          <w:rFonts w:ascii="Times New Roman" w:eastAsia="Times New Roman" w:hAnsi="Times New Roman" w:cs="Times New Roman"/>
          <w:sz w:val="24"/>
          <w:szCs w:val="24"/>
          <w:highlight w:val="white"/>
        </w:rPr>
        <w:t>e</w:t>
      </w:r>
      <w:r w:rsidRPr="00D70D43">
        <w:rPr>
          <w:rFonts w:ascii="Times New Roman" w:eastAsia="Times New Roman" w:hAnsi="Times New Roman" w:cs="Times New Roman"/>
          <w:sz w:val="24"/>
          <w:szCs w:val="24"/>
          <w:highlight w:val="white"/>
        </w:rPr>
        <w:t>quid have the highest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Phe</w:t>
      </w:r>
      <w:r w:rsidRPr="00D70D43">
        <w:rPr>
          <w:rFonts w:ascii="Times New Roman" w:eastAsia="Times New Roman" w:hAnsi="Times New Roman" w:cs="Times New Roman"/>
          <w:sz w:val="24"/>
          <w:szCs w:val="24"/>
          <w:highlight w:val="white"/>
        </w:rPr>
        <w:t xml:space="preserve"> values while the hare exhibits the lowest value</w:t>
      </w:r>
      <w:r w:rsidR="00A421B7">
        <w:rPr>
          <w:rFonts w:ascii="Times New Roman" w:eastAsia="Times New Roman" w:hAnsi="Times New Roman" w:cs="Times New Roman"/>
          <w:sz w:val="24"/>
          <w:szCs w:val="24"/>
          <w:highlight w:val="white"/>
        </w:rPr>
        <w:t xml:space="preserve"> (Figure </w:t>
      </w:r>
      <w:r w:rsidR="00533A4B">
        <w:rPr>
          <w:rFonts w:ascii="Times New Roman" w:eastAsia="Times New Roman" w:hAnsi="Times New Roman" w:cs="Times New Roman"/>
          <w:sz w:val="24"/>
          <w:szCs w:val="24"/>
          <w:highlight w:val="white"/>
        </w:rPr>
        <w:t xml:space="preserve">SI </w:t>
      </w:r>
      <w:r w:rsidR="00A421B7">
        <w:rPr>
          <w:rFonts w:ascii="Times New Roman" w:eastAsia="Times New Roman" w:hAnsi="Times New Roman" w:cs="Times New Roman"/>
          <w:sz w:val="24"/>
          <w:szCs w:val="24"/>
          <w:highlight w:val="white"/>
        </w:rPr>
        <w:t>4</w:t>
      </w:r>
      <w:r w:rsidR="00533A4B">
        <w:rPr>
          <w:rFonts w:ascii="Times New Roman" w:eastAsia="Times New Roman" w:hAnsi="Times New Roman" w:cs="Times New Roman"/>
          <w:sz w:val="24"/>
          <w:szCs w:val="24"/>
          <w:highlight w:val="white"/>
        </w:rPr>
        <w:t>.13</w:t>
      </w:r>
      <w:r w:rsidR="00A421B7">
        <w:rPr>
          <w:rFonts w:ascii="Times New Roman" w:eastAsia="Times New Roman" w:hAnsi="Times New Roman" w:cs="Times New Roman"/>
          <w:sz w:val="24"/>
          <w:szCs w:val="24"/>
          <w:highlight w:val="white"/>
        </w:rPr>
        <w:t>)</w:t>
      </w:r>
      <w:r w:rsidRPr="00D70D43">
        <w:rPr>
          <w:rFonts w:ascii="Times New Roman" w:eastAsia="Times New Roman" w:hAnsi="Times New Roman" w:cs="Times New Roman"/>
          <w:sz w:val="24"/>
          <w:szCs w:val="24"/>
          <w:highlight w:val="white"/>
        </w:rPr>
        <w:t>. There are also variations within species. The two Barbary sheep have distinctive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Phe</w:t>
      </w:r>
      <w:r w:rsidRPr="00D70D43">
        <w:rPr>
          <w:rFonts w:ascii="Times New Roman" w:eastAsia="Times New Roman" w:hAnsi="Times New Roman" w:cs="Times New Roman"/>
          <w:sz w:val="24"/>
          <w:szCs w:val="24"/>
          <w:highlight w:val="white"/>
        </w:rPr>
        <w:t xml:space="preserve"> values (16.7‰), (11.6‰). This indicates that the individuals had access to plants with different N isotopic signatures, which explains the difference in the bulk collagen</w:t>
      </w:r>
      <w:r w:rsidR="00B97494">
        <w:rPr>
          <w:rFonts w:ascii="Times New Roman" w:eastAsia="Times New Roman" w:hAnsi="Times New Roman" w:cs="Times New Roman"/>
          <w:sz w:val="24"/>
          <w:szCs w:val="24"/>
          <w:highlight w:val="white"/>
        </w:rPr>
        <w:t>, however, they have similar TP</w:t>
      </w:r>
      <w:r w:rsidR="00E46146">
        <w:rPr>
          <w:rFonts w:ascii="Times New Roman" w:eastAsia="Times New Roman" w:hAnsi="Times New Roman" w:cs="Times New Roman"/>
          <w:sz w:val="24"/>
          <w:szCs w:val="24"/>
          <w:highlight w:val="white"/>
        </w:rPr>
        <w:t xml:space="preserve"> (2.1)</w:t>
      </w:r>
      <w:r w:rsidRPr="00D70D43">
        <w:rPr>
          <w:rFonts w:ascii="Times New Roman" w:eastAsia="Times New Roman" w:hAnsi="Times New Roman" w:cs="Times New Roman"/>
          <w:sz w:val="24"/>
          <w:szCs w:val="24"/>
          <w:highlight w:val="white"/>
        </w:rPr>
        <w:t xml:space="preserve">. </w:t>
      </w:r>
      <w:r w:rsidR="001925CC">
        <w:rPr>
          <w:rFonts w:ascii="Times New Roman" w:eastAsia="Times New Roman" w:hAnsi="Times New Roman" w:cs="Times New Roman"/>
          <w:noProof/>
          <w:sz w:val="24"/>
          <w:szCs w:val="24"/>
          <w:highlight w:val="white"/>
        </w:rPr>
        <w:t xml:space="preserve">The humans </w:t>
      </w:r>
      <w:r w:rsidR="001925CC" w:rsidRPr="00D70D43">
        <w:rPr>
          <w:rFonts w:ascii="Times New Roman" w:eastAsia="Times New Roman" w:hAnsi="Times New Roman" w:cs="Times New Roman"/>
          <w:sz w:val="24"/>
          <w:szCs w:val="24"/>
          <w:highlight w:val="white"/>
        </w:rPr>
        <w:t>δ</w:t>
      </w:r>
      <w:r w:rsidR="001925CC" w:rsidRPr="00D70D43">
        <w:rPr>
          <w:rFonts w:ascii="Times New Roman" w:eastAsia="Times New Roman" w:hAnsi="Times New Roman" w:cs="Times New Roman"/>
          <w:sz w:val="24"/>
          <w:szCs w:val="24"/>
          <w:highlight w:val="white"/>
          <w:vertAlign w:val="superscript"/>
        </w:rPr>
        <w:t>15</w:t>
      </w:r>
      <w:r w:rsidR="001925CC" w:rsidRPr="00D70D43">
        <w:rPr>
          <w:rFonts w:ascii="Times New Roman" w:eastAsia="Times New Roman" w:hAnsi="Times New Roman" w:cs="Times New Roman"/>
          <w:sz w:val="24"/>
          <w:szCs w:val="24"/>
          <w:highlight w:val="white"/>
        </w:rPr>
        <w:t>N</w:t>
      </w:r>
      <w:r w:rsidR="001925CC" w:rsidRPr="00D70D43">
        <w:rPr>
          <w:rFonts w:ascii="Times New Roman" w:eastAsia="Times New Roman" w:hAnsi="Times New Roman" w:cs="Times New Roman"/>
          <w:sz w:val="24"/>
          <w:szCs w:val="24"/>
          <w:highlight w:val="white"/>
          <w:vertAlign w:val="subscript"/>
        </w:rPr>
        <w:t>Phe</w:t>
      </w:r>
      <w:r w:rsidR="001925CC">
        <w:rPr>
          <w:rFonts w:ascii="Times New Roman" w:eastAsia="Times New Roman" w:hAnsi="Times New Roman" w:cs="Times New Roman"/>
          <w:sz w:val="24"/>
          <w:szCs w:val="24"/>
          <w:highlight w:val="white"/>
          <w:vertAlign w:val="subscript"/>
        </w:rPr>
        <w:t xml:space="preserve"> </w:t>
      </w:r>
      <w:r w:rsidR="001925CC">
        <w:rPr>
          <w:rFonts w:ascii="Times New Roman" w:eastAsia="Times New Roman" w:hAnsi="Times New Roman" w:cs="Times New Roman"/>
          <w:sz w:val="24"/>
          <w:szCs w:val="24"/>
          <w:highlight w:val="white"/>
        </w:rPr>
        <w:t>values</w:t>
      </w:r>
      <w:r w:rsidR="00E46146">
        <w:rPr>
          <w:rFonts w:ascii="Times New Roman" w:eastAsia="Times New Roman" w:hAnsi="Times New Roman" w:cs="Times New Roman"/>
          <w:sz w:val="24"/>
          <w:szCs w:val="24"/>
          <w:highlight w:val="white"/>
        </w:rPr>
        <w:t xml:space="preserve"> fall</w:t>
      </w:r>
      <w:r w:rsidR="001925CC">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within the range of herbivores (10.4-13.7‰</w:t>
      </w:r>
      <w:r w:rsidR="001925CC">
        <w:rPr>
          <w:rFonts w:ascii="Times New Roman" w:eastAsia="Times New Roman" w:hAnsi="Times New Roman" w:cs="Times New Roman"/>
          <w:sz w:val="24"/>
          <w:szCs w:val="24"/>
          <w:highlight w:val="white"/>
        </w:rPr>
        <w:t>, mean= 12.23</w:t>
      </w:r>
      <w:r w:rsidR="001925CC" w:rsidRPr="00D70D43">
        <w:rPr>
          <w:rFonts w:ascii="Times New Roman" w:eastAsia="Times New Roman" w:hAnsi="Times New Roman" w:cs="Times New Roman"/>
          <w:sz w:val="24"/>
          <w:szCs w:val="24"/>
          <w:highlight w:val="white"/>
        </w:rPr>
        <w:t>‰</w:t>
      </w:r>
      <w:r w:rsidR="001925CC">
        <w:rPr>
          <w:rFonts w:ascii="Times New Roman" w:eastAsia="Times New Roman" w:hAnsi="Times New Roman" w:cs="Times New Roman"/>
          <w:sz w:val="24"/>
          <w:szCs w:val="24"/>
          <w:highlight w:val="white"/>
        </w:rPr>
        <w:t>, Figure S4.</w:t>
      </w:r>
      <w:r w:rsidR="00D870BC">
        <w:rPr>
          <w:rFonts w:ascii="Times New Roman" w:eastAsia="Times New Roman" w:hAnsi="Times New Roman" w:cs="Times New Roman"/>
          <w:sz w:val="24"/>
          <w:szCs w:val="24"/>
          <w:highlight w:val="white"/>
        </w:rPr>
        <w:t>13</w:t>
      </w:r>
      <w:r w:rsidRPr="00D70D43">
        <w:rPr>
          <w:rFonts w:ascii="Times New Roman" w:eastAsia="Times New Roman" w:hAnsi="Times New Roman" w:cs="Times New Roman"/>
          <w:sz w:val="24"/>
          <w:szCs w:val="24"/>
          <w:highlight w:val="white"/>
        </w:rPr>
        <w:t>). The low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Phe</w:t>
      </w:r>
      <w:r w:rsidRPr="00D70D43">
        <w:rPr>
          <w:rFonts w:ascii="Times New Roman" w:eastAsia="Times New Roman" w:hAnsi="Times New Roman" w:cs="Times New Roman"/>
          <w:sz w:val="24"/>
          <w:szCs w:val="24"/>
          <w:highlight w:val="white"/>
        </w:rPr>
        <w:t xml:space="preserve"> of the carnivores (n= 2; </w:t>
      </w:r>
      <w:r w:rsidR="00E46146">
        <w:rPr>
          <w:rFonts w:ascii="Times New Roman" w:eastAsia="Times New Roman" w:hAnsi="Times New Roman" w:cs="Times New Roman"/>
          <w:sz w:val="24"/>
          <w:szCs w:val="24"/>
          <w:highlight w:val="white"/>
        </w:rPr>
        <w:t>mean</w:t>
      </w:r>
      <w:r w:rsidRPr="00D70D43">
        <w:rPr>
          <w:rFonts w:ascii="Times New Roman" w:eastAsia="Times New Roman" w:hAnsi="Times New Roman" w:cs="Times New Roman"/>
          <w:sz w:val="24"/>
          <w:szCs w:val="24"/>
          <w:highlight w:val="white"/>
        </w:rPr>
        <w:t>: 10.8±0.9‰) compared to the other species indicates that they prey on animals with low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Phe</w:t>
      </w:r>
      <w:r w:rsidRPr="00D70D43">
        <w:rPr>
          <w:rFonts w:ascii="Times New Roman" w:eastAsia="Times New Roman" w:hAnsi="Times New Roman" w:cs="Times New Roman"/>
          <w:sz w:val="24"/>
          <w:szCs w:val="24"/>
          <w:highlight w:val="white"/>
        </w:rPr>
        <w:t xml:space="preserve"> values, in this case</w:t>
      </w:r>
      <w:r w:rsidR="0066220C">
        <w:rPr>
          <w:rFonts w:ascii="Times New Roman" w:eastAsia="Times New Roman" w:hAnsi="Times New Roman" w:cs="Times New Roman"/>
          <w:sz w:val="24"/>
          <w:szCs w:val="24"/>
          <w:highlight w:val="white"/>
        </w:rPr>
        <w:t>,</w:t>
      </w:r>
      <w:r w:rsidRPr="00D70D43">
        <w:rPr>
          <w:rFonts w:ascii="Times New Roman" w:eastAsia="Times New Roman" w:hAnsi="Times New Roman" w:cs="Times New Roman"/>
          <w:sz w:val="24"/>
          <w:szCs w:val="24"/>
          <w:highlight w:val="white"/>
        </w:rPr>
        <w:t xml:space="preserve"> probably the hare. This lat</w:t>
      </w:r>
      <w:r w:rsidR="0066220C">
        <w:rPr>
          <w:rFonts w:ascii="Times New Roman" w:eastAsia="Times New Roman" w:hAnsi="Times New Roman" w:cs="Times New Roman"/>
          <w:sz w:val="24"/>
          <w:szCs w:val="24"/>
          <w:highlight w:val="white"/>
        </w:rPr>
        <w:t>t</w:t>
      </w:r>
      <w:r w:rsidRPr="00D70D43">
        <w:rPr>
          <w:rFonts w:ascii="Times New Roman" w:eastAsia="Times New Roman" w:hAnsi="Times New Roman" w:cs="Times New Roman"/>
          <w:sz w:val="24"/>
          <w:szCs w:val="24"/>
          <w:highlight w:val="white"/>
        </w:rPr>
        <w:t xml:space="preserve">er </w:t>
      </w:r>
      <w:proofErr w:type="gramStart"/>
      <w:r w:rsidRPr="00D70D43">
        <w:rPr>
          <w:rFonts w:ascii="Times New Roman" w:eastAsia="Times New Roman" w:hAnsi="Times New Roman" w:cs="Times New Roman"/>
          <w:sz w:val="24"/>
          <w:szCs w:val="24"/>
          <w:highlight w:val="white"/>
        </w:rPr>
        <w:t>have</w:t>
      </w:r>
      <w:proofErr w:type="gramEnd"/>
      <w:r w:rsidRPr="00D70D43">
        <w:rPr>
          <w:rFonts w:ascii="Times New Roman" w:eastAsia="Times New Roman" w:hAnsi="Times New Roman" w:cs="Times New Roman"/>
          <w:sz w:val="24"/>
          <w:szCs w:val="24"/>
          <w:highlight w:val="white"/>
        </w:rPr>
        <w:t xml:space="preserve"> also a low nitrogen value from bulk collagen, this explains why the canids overlapped with humans in the δ</w:t>
      </w:r>
      <w:r w:rsidRPr="00D70D43">
        <w:rPr>
          <w:rFonts w:ascii="Times New Roman" w:eastAsia="Times New Roman" w:hAnsi="Times New Roman" w:cs="Times New Roman"/>
          <w:sz w:val="24"/>
          <w:szCs w:val="24"/>
          <w:highlight w:val="white"/>
          <w:vertAlign w:val="superscript"/>
        </w:rPr>
        <w:t>15</w:t>
      </w:r>
      <w:r w:rsidRPr="00D70D43">
        <w:rPr>
          <w:rFonts w:ascii="Times New Roman" w:eastAsia="Times New Roman" w:hAnsi="Times New Roman" w:cs="Times New Roman"/>
          <w:sz w:val="24"/>
          <w:szCs w:val="24"/>
          <w:highlight w:val="white"/>
        </w:rPr>
        <w:t>N</w:t>
      </w:r>
      <w:r w:rsidRPr="00D70D43">
        <w:rPr>
          <w:rFonts w:ascii="Times New Roman" w:eastAsia="Times New Roman" w:hAnsi="Times New Roman" w:cs="Times New Roman"/>
          <w:sz w:val="24"/>
          <w:szCs w:val="24"/>
          <w:highlight w:val="white"/>
          <w:vertAlign w:val="subscript"/>
        </w:rPr>
        <w:t>bulk</w:t>
      </w:r>
      <w:r w:rsidRPr="00D70D43">
        <w:rPr>
          <w:rFonts w:ascii="Times New Roman" w:eastAsia="Times New Roman" w:hAnsi="Times New Roman" w:cs="Times New Roman"/>
          <w:sz w:val="24"/>
          <w:szCs w:val="24"/>
          <w:highlight w:val="white"/>
        </w:rPr>
        <w:t>.</w:t>
      </w:r>
      <w:r w:rsidR="00FB728B">
        <w:rPr>
          <w:rFonts w:ascii="Times New Roman" w:eastAsia="Times New Roman" w:hAnsi="Times New Roman" w:cs="Times New Roman"/>
          <w:sz w:val="24"/>
          <w:szCs w:val="24"/>
          <w:highlight w:val="white"/>
        </w:rPr>
        <w:t xml:space="preserve"> </w:t>
      </w:r>
      <w:r w:rsidR="00FB728B" w:rsidRPr="00D82CC5">
        <w:rPr>
          <w:rFonts w:ascii="Times New Roman" w:eastAsia="Times New Roman" w:hAnsi="Times New Roman" w:cs="Times New Roman"/>
          <w:sz w:val="24"/>
          <w:szCs w:val="24"/>
        </w:rPr>
        <w:t>There is a moder</w:t>
      </w:r>
      <w:r w:rsidR="00544668" w:rsidRPr="00D82CC5">
        <w:rPr>
          <w:rFonts w:ascii="Times New Roman" w:eastAsia="Times New Roman" w:hAnsi="Times New Roman" w:cs="Times New Roman"/>
          <w:sz w:val="24"/>
          <w:szCs w:val="24"/>
        </w:rPr>
        <w:t xml:space="preserve">ate to strong </w:t>
      </w:r>
      <w:r w:rsidR="006E3C59" w:rsidRPr="00D82CC5">
        <w:rPr>
          <w:rFonts w:ascii="Times New Roman" w:eastAsia="Times New Roman" w:hAnsi="Times New Roman" w:cs="Times New Roman"/>
          <w:sz w:val="24"/>
          <w:szCs w:val="24"/>
        </w:rPr>
        <w:t>correlation</w:t>
      </w:r>
      <w:r w:rsidR="00544668" w:rsidRPr="00D82CC5">
        <w:rPr>
          <w:rFonts w:ascii="Times New Roman" w:eastAsia="Times New Roman" w:hAnsi="Times New Roman" w:cs="Times New Roman"/>
          <w:sz w:val="24"/>
          <w:szCs w:val="24"/>
        </w:rPr>
        <w:t xml:space="preserve"> between the TP and δ</w:t>
      </w:r>
      <w:r w:rsidR="00544668" w:rsidRPr="00D82CC5">
        <w:rPr>
          <w:rFonts w:ascii="Times New Roman" w:eastAsia="Times New Roman" w:hAnsi="Times New Roman" w:cs="Times New Roman"/>
          <w:sz w:val="24"/>
          <w:szCs w:val="24"/>
          <w:vertAlign w:val="superscript"/>
        </w:rPr>
        <w:t>15</w:t>
      </w:r>
      <w:r w:rsidR="00544668" w:rsidRPr="00D82CC5">
        <w:rPr>
          <w:rFonts w:ascii="Times New Roman" w:eastAsia="Times New Roman" w:hAnsi="Times New Roman" w:cs="Times New Roman"/>
          <w:sz w:val="24"/>
          <w:szCs w:val="24"/>
        </w:rPr>
        <w:t>N</w:t>
      </w:r>
      <w:r w:rsidR="00544668" w:rsidRPr="00D82CC5">
        <w:rPr>
          <w:rFonts w:ascii="Times New Roman" w:eastAsia="Times New Roman" w:hAnsi="Times New Roman" w:cs="Times New Roman"/>
          <w:sz w:val="24"/>
          <w:szCs w:val="24"/>
          <w:vertAlign w:val="subscript"/>
        </w:rPr>
        <w:t xml:space="preserve">Phe </w:t>
      </w:r>
      <w:r w:rsidR="006A1D01" w:rsidRPr="00D82CC5">
        <w:rPr>
          <w:rFonts w:ascii="Times New Roman" w:eastAsia="Times New Roman" w:hAnsi="Times New Roman" w:cs="Times New Roman"/>
          <w:sz w:val="24"/>
          <w:szCs w:val="24"/>
        </w:rPr>
        <w:t>for the human samples (r= -0.693558,</w:t>
      </w:r>
      <w:r w:rsidR="006A1D01" w:rsidRPr="00D82CC5">
        <w:t xml:space="preserve"> </w:t>
      </w:r>
      <w:r w:rsidR="006A1D01" w:rsidRPr="00D82CC5">
        <w:rPr>
          <w:rFonts w:ascii="Times New Roman" w:eastAsia="Times New Roman" w:hAnsi="Times New Roman" w:cs="Times New Roman"/>
          <w:sz w:val="24"/>
          <w:szCs w:val="24"/>
        </w:rPr>
        <w:t>p-value = 0.005943)</w:t>
      </w:r>
      <w:r w:rsidR="006E3C59" w:rsidRPr="00D82CC5">
        <w:rPr>
          <w:rFonts w:ascii="Times New Roman" w:eastAsia="Times New Roman" w:hAnsi="Times New Roman" w:cs="Times New Roman"/>
          <w:sz w:val="24"/>
          <w:szCs w:val="24"/>
        </w:rPr>
        <w:t xml:space="preserve">. The humans with a lower trophic position </w:t>
      </w:r>
      <w:r w:rsidR="00BC0FCE" w:rsidRPr="00D82CC5">
        <w:rPr>
          <w:rFonts w:ascii="Times New Roman" w:eastAsia="Times New Roman" w:hAnsi="Times New Roman" w:cs="Times New Roman"/>
          <w:sz w:val="24"/>
          <w:szCs w:val="24"/>
        </w:rPr>
        <w:t>seem</w:t>
      </w:r>
      <w:r w:rsidR="006E3C59" w:rsidRPr="00D82CC5">
        <w:rPr>
          <w:rFonts w:ascii="Times New Roman" w:eastAsia="Times New Roman" w:hAnsi="Times New Roman" w:cs="Times New Roman"/>
          <w:sz w:val="24"/>
          <w:szCs w:val="24"/>
        </w:rPr>
        <w:t xml:space="preserve"> to have a relatively higher δ</w:t>
      </w:r>
      <w:r w:rsidR="006E3C59" w:rsidRPr="00D82CC5">
        <w:rPr>
          <w:rFonts w:ascii="Times New Roman" w:eastAsia="Times New Roman" w:hAnsi="Times New Roman" w:cs="Times New Roman"/>
          <w:sz w:val="24"/>
          <w:szCs w:val="24"/>
          <w:vertAlign w:val="superscript"/>
        </w:rPr>
        <w:t>15</w:t>
      </w:r>
      <w:r w:rsidR="006E3C59" w:rsidRPr="00D82CC5">
        <w:rPr>
          <w:rFonts w:ascii="Times New Roman" w:eastAsia="Times New Roman" w:hAnsi="Times New Roman" w:cs="Times New Roman"/>
          <w:sz w:val="24"/>
          <w:szCs w:val="24"/>
        </w:rPr>
        <w:t>N</w:t>
      </w:r>
      <w:r w:rsidR="006E3C59" w:rsidRPr="00D82CC5">
        <w:rPr>
          <w:rFonts w:ascii="Times New Roman" w:eastAsia="Times New Roman" w:hAnsi="Times New Roman" w:cs="Times New Roman"/>
          <w:sz w:val="24"/>
          <w:szCs w:val="24"/>
          <w:vertAlign w:val="subscript"/>
        </w:rPr>
        <w:t xml:space="preserve">Phe. </w:t>
      </w:r>
    </w:p>
    <w:p w14:paraId="1D0B6139" w14:textId="625B7FB5" w:rsidR="006F6E32" w:rsidRDefault="006F6E32" w:rsidP="0063777E">
      <w:pPr>
        <w:spacing w:after="0" w:line="360" w:lineRule="auto"/>
        <w:rPr>
          <w:rFonts w:ascii="Times New Roman" w:hAnsi="Times New Roman" w:cs="Times New Roman"/>
          <w:i/>
          <w:noProof/>
          <w:sz w:val="24"/>
          <w:szCs w:val="24"/>
        </w:rPr>
      </w:pPr>
    </w:p>
    <w:p w14:paraId="6B3F2AAD" w14:textId="0BE3D230" w:rsidR="0063777E" w:rsidRDefault="0063777E" w:rsidP="0063777E">
      <w:pPr>
        <w:spacing w:after="0" w:line="360" w:lineRule="auto"/>
        <w:rPr>
          <w:rFonts w:ascii="Times New Roman" w:hAnsi="Times New Roman" w:cs="Times New Roman"/>
          <w:i/>
          <w:sz w:val="24"/>
          <w:szCs w:val="24"/>
        </w:rPr>
      </w:pPr>
    </w:p>
    <w:p w14:paraId="3E032253" w14:textId="0550DCFD" w:rsidR="0063777E" w:rsidRDefault="0063777E" w:rsidP="0063777E">
      <w:pPr>
        <w:spacing w:after="0" w:line="360" w:lineRule="auto"/>
        <w:rPr>
          <w:rFonts w:ascii="Times New Roman" w:hAnsi="Times New Roman" w:cs="Times New Roman"/>
          <w:i/>
          <w:sz w:val="24"/>
          <w:szCs w:val="24"/>
        </w:rPr>
      </w:pPr>
    </w:p>
    <w:p w14:paraId="0A3A7695" w14:textId="21FBB7F9" w:rsidR="0063777E" w:rsidRDefault="0063777E" w:rsidP="0063777E">
      <w:pPr>
        <w:spacing w:after="0" w:line="360" w:lineRule="auto"/>
        <w:rPr>
          <w:rFonts w:ascii="Times New Roman" w:hAnsi="Times New Roman" w:cs="Times New Roman"/>
          <w:i/>
          <w:sz w:val="24"/>
          <w:szCs w:val="24"/>
        </w:rPr>
      </w:pPr>
    </w:p>
    <w:p w14:paraId="50CD89DF" w14:textId="26E80429" w:rsidR="0063777E" w:rsidRDefault="0063777E" w:rsidP="0063777E">
      <w:pPr>
        <w:spacing w:after="0" w:line="360" w:lineRule="auto"/>
        <w:rPr>
          <w:rFonts w:ascii="Times New Roman" w:hAnsi="Times New Roman" w:cs="Times New Roman"/>
          <w:i/>
          <w:sz w:val="24"/>
          <w:szCs w:val="24"/>
        </w:rPr>
      </w:pPr>
    </w:p>
    <w:p w14:paraId="2DF44FF8" w14:textId="683272B9" w:rsidR="0063777E" w:rsidRDefault="0063777E" w:rsidP="0063777E">
      <w:pPr>
        <w:spacing w:after="0" w:line="360" w:lineRule="auto"/>
        <w:rPr>
          <w:rFonts w:ascii="Times New Roman" w:hAnsi="Times New Roman" w:cs="Times New Roman"/>
          <w:i/>
          <w:sz w:val="24"/>
          <w:szCs w:val="24"/>
        </w:rPr>
      </w:pPr>
    </w:p>
    <w:p w14:paraId="726812C6" w14:textId="50B583D6" w:rsidR="0063777E" w:rsidRDefault="0063777E" w:rsidP="0063777E">
      <w:pPr>
        <w:spacing w:after="0" w:line="360" w:lineRule="auto"/>
        <w:rPr>
          <w:rFonts w:ascii="Times New Roman" w:hAnsi="Times New Roman" w:cs="Times New Roman"/>
          <w:i/>
          <w:sz w:val="24"/>
          <w:szCs w:val="24"/>
        </w:rPr>
      </w:pPr>
    </w:p>
    <w:p w14:paraId="5E8F7E02" w14:textId="3685B92C" w:rsidR="0063777E" w:rsidRDefault="0063777E" w:rsidP="0063777E">
      <w:pPr>
        <w:spacing w:after="0" w:line="360" w:lineRule="auto"/>
        <w:rPr>
          <w:rFonts w:ascii="Times New Roman" w:hAnsi="Times New Roman" w:cs="Times New Roman"/>
          <w:i/>
          <w:sz w:val="24"/>
          <w:szCs w:val="24"/>
        </w:rPr>
      </w:pPr>
    </w:p>
    <w:p w14:paraId="431DA58D" w14:textId="610538CC" w:rsidR="0063777E" w:rsidRDefault="0063777E" w:rsidP="0063777E">
      <w:pPr>
        <w:spacing w:after="0" w:line="360" w:lineRule="auto"/>
        <w:rPr>
          <w:rFonts w:ascii="Times New Roman" w:hAnsi="Times New Roman" w:cs="Times New Roman"/>
          <w:i/>
          <w:sz w:val="24"/>
          <w:szCs w:val="24"/>
        </w:rPr>
      </w:pPr>
    </w:p>
    <w:p w14:paraId="2060E046" w14:textId="51399466" w:rsidR="0063777E" w:rsidRDefault="0063777E" w:rsidP="0063777E">
      <w:pPr>
        <w:spacing w:after="0" w:line="360" w:lineRule="auto"/>
        <w:rPr>
          <w:rFonts w:ascii="Times New Roman" w:hAnsi="Times New Roman" w:cs="Times New Roman"/>
          <w:i/>
          <w:sz w:val="24"/>
          <w:szCs w:val="24"/>
        </w:rPr>
      </w:pPr>
    </w:p>
    <w:p w14:paraId="28FEE1BA" w14:textId="5B2C178D" w:rsidR="0063777E" w:rsidRDefault="0063777E" w:rsidP="0063777E">
      <w:pPr>
        <w:spacing w:after="0" w:line="360" w:lineRule="auto"/>
        <w:rPr>
          <w:rFonts w:ascii="Times New Roman" w:hAnsi="Times New Roman" w:cs="Times New Roman"/>
          <w:i/>
          <w:sz w:val="24"/>
          <w:szCs w:val="24"/>
        </w:rPr>
      </w:pPr>
    </w:p>
    <w:p w14:paraId="459067E5" w14:textId="2A1D6799" w:rsidR="0063777E" w:rsidRDefault="0063777E" w:rsidP="0063777E">
      <w:pPr>
        <w:spacing w:after="0" w:line="360" w:lineRule="auto"/>
        <w:rPr>
          <w:rFonts w:ascii="Times New Roman" w:hAnsi="Times New Roman" w:cs="Times New Roman"/>
          <w:i/>
          <w:sz w:val="24"/>
          <w:szCs w:val="24"/>
        </w:rPr>
      </w:pPr>
    </w:p>
    <w:p w14:paraId="451C193F" w14:textId="4381D504" w:rsidR="0063777E" w:rsidRDefault="0063777E" w:rsidP="0063777E">
      <w:pPr>
        <w:spacing w:after="0" w:line="360" w:lineRule="auto"/>
        <w:rPr>
          <w:rFonts w:ascii="Times New Roman" w:hAnsi="Times New Roman" w:cs="Times New Roman"/>
          <w:i/>
          <w:sz w:val="24"/>
          <w:szCs w:val="24"/>
        </w:rPr>
      </w:pPr>
    </w:p>
    <w:p w14:paraId="66D5CFA6" w14:textId="22594433" w:rsidR="0063777E" w:rsidRDefault="0063777E" w:rsidP="0063777E">
      <w:pPr>
        <w:spacing w:after="0" w:line="360" w:lineRule="auto"/>
        <w:rPr>
          <w:rFonts w:ascii="Times New Roman" w:hAnsi="Times New Roman" w:cs="Times New Roman"/>
          <w:i/>
          <w:sz w:val="24"/>
          <w:szCs w:val="24"/>
        </w:rPr>
      </w:pPr>
    </w:p>
    <w:p w14:paraId="559A0B2E" w14:textId="1636D316" w:rsidR="0063777E" w:rsidRDefault="0063777E" w:rsidP="0063777E">
      <w:pPr>
        <w:spacing w:after="0" w:line="360" w:lineRule="auto"/>
        <w:rPr>
          <w:rFonts w:ascii="Times New Roman" w:hAnsi="Times New Roman" w:cs="Times New Roman"/>
          <w:i/>
          <w:sz w:val="24"/>
          <w:szCs w:val="24"/>
        </w:rPr>
      </w:pPr>
    </w:p>
    <w:p w14:paraId="504CAC76" w14:textId="7501F103" w:rsidR="0063777E" w:rsidRDefault="0063777E" w:rsidP="0063777E">
      <w:pPr>
        <w:spacing w:after="0" w:line="360" w:lineRule="auto"/>
        <w:rPr>
          <w:rFonts w:ascii="Times New Roman" w:hAnsi="Times New Roman" w:cs="Times New Roman"/>
          <w:i/>
          <w:sz w:val="24"/>
          <w:szCs w:val="24"/>
        </w:rPr>
      </w:pPr>
    </w:p>
    <w:p w14:paraId="6687EF5B" w14:textId="03D08035" w:rsidR="0063777E" w:rsidRDefault="0063777E" w:rsidP="0063777E">
      <w:pPr>
        <w:spacing w:after="0" w:line="360" w:lineRule="auto"/>
        <w:rPr>
          <w:rFonts w:ascii="Times New Roman" w:hAnsi="Times New Roman" w:cs="Times New Roman"/>
          <w:i/>
          <w:sz w:val="24"/>
          <w:szCs w:val="24"/>
        </w:rPr>
      </w:pPr>
    </w:p>
    <w:p w14:paraId="70D3130B" w14:textId="46810844" w:rsidR="0063777E" w:rsidRDefault="0063777E" w:rsidP="0063777E">
      <w:pPr>
        <w:spacing w:after="0" w:line="360" w:lineRule="auto"/>
        <w:rPr>
          <w:rFonts w:ascii="Times New Roman" w:hAnsi="Times New Roman" w:cs="Times New Roman"/>
          <w:i/>
          <w:sz w:val="24"/>
          <w:szCs w:val="24"/>
        </w:rPr>
      </w:pPr>
    </w:p>
    <w:p w14:paraId="5F26E7AD" w14:textId="2B2C5D5D" w:rsidR="0063777E" w:rsidRDefault="0063777E" w:rsidP="0063777E">
      <w:pPr>
        <w:spacing w:after="0" w:line="360" w:lineRule="auto"/>
        <w:rPr>
          <w:rFonts w:ascii="Times New Roman" w:hAnsi="Times New Roman" w:cs="Times New Roman"/>
          <w:i/>
          <w:sz w:val="24"/>
          <w:szCs w:val="24"/>
        </w:rPr>
      </w:pPr>
    </w:p>
    <w:p w14:paraId="60068656" w14:textId="3715031B" w:rsidR="0063777E" w:rsidRDefault="0063777E" w:rsidP="0063777E">
      <w:pPr>
        <w:spacing w:after="0" w:line="360" w:lineRule="auto"/>
        <w:rPr>
          <w:rFonts w:ascii="Times New Roman" w:hAnsi="Times New Roman" w:cs="Times New Roman"/>
          <w:i/>
          <w:sz w:val="24"/>
          <w:szCs w:val="24"/>
        </w:rPr>
      </w:pPr>
    </w:p>
    <w:p w14:paraId="6FC34BBB" w14:textId="77777777" w:rsidR="0063777E" w:rsidRDefault="0063777E" w:rsidP="0063777E">
      <w:pPr>
        <w:spacing w:after="0" w:line="360" w:lineRule="auto"/>
        <w:rPr>
          <w:rFonts w:ascii="Times New Roman" w:hAnsi="Times New Roman" w:cs="Times New Roman"/>
          <w:i/>
          <w:sz w:val="24"/>
          <w:szCs w:val="24"/>
        </w:rPr>
        <w:sectPr w:rsidR="0063777E" w:rsidSect="00493174">
          <w:pgSz w:w="12240" w:h="15840"/>
          <w:pgMar w:top="1440" w:right="1440" w:bottom="1440" w:left="1440" w:header="720" w:footer="720" w:gutter="0"/>
          <w:lnNumType w:countBy="1" w:restart="continuous"/>
          <w:pgNumType w:start="1"/>
          <w:cols w:space="720"/>
          <w:docGrid w:linePitch="299"/>
        </w:sectPr>
      </w:pPr>
    </w:p>
    <w:p w14:paraId="7B6C39D3" w14:textId="318FF717" w:rsidR="0063777E" w:rsidRDefault="006759D1" w:rsidP="0063777E">
      <w:pPr>
        <w:spacing w:after="0" w:line="360" w:lineRule="auto"/>
        <w:rPr>
          <w:rFonts w:ascii="Times New Roman" w:hAnsi="Times New Roman" w:cs="Times New Roman"/>
          <w:i/>
          <w:sz w:val="24"/>
          <w:szCs w:val="24"/>
        </w:rPr>
      </w:pPr>
      <w:r>
        <w:rPr>
          <w:rFonts w:ascii="Times New Roman" w:hAnsi="Times New Roman" w:cs="Times New Roman"/>
          <w:i/>
          <w:noProof/>
          <w:sz w:val="24"/>
          <w:szCs w:val="24"/>
        </w:rPr>
        <w:lastRenderedPageBreak/>
        <w:drawing>
          <wp:inline distT="0" distB="0" distL="0" distR="0" wp14:anchorId="202E24A8" wp14:editId="4804BA0B">
            <wp:extent cx="8805211" cy="6644906"/>
            <wp:effectExtent l="0" t="0" r="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gplot2save-figure-S4-14_1605_ink.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8815942" cy="6653004"/>
                    </a:xfrm>
                    <a:prstGeom prst="rect">
                      <a:avLst/>
                    </a:prstGeom>
                  </pic:spPr>
                </pic:pic>
              </a:graphicData>
            </a:graphic>
          </wp:inline>
        </w:drawing>
      </w:r>
    </w:p>
    <w:p w14:paraId="2A568C1A" w14:textId="1538D918" w:rsidR="003777DA" w:rsidRPr="0025134F" w:rsidRDefault="003777DA" w:rsidP="001A7BFF">
      <w:pPr>
        <w:spacing w:after="0" w:line="360" w:lineRule="auto"/>
        <w:rPr>
          <w:rFonts w:ascii="Times New Roman" w:eastAsia="Times New Roman" w:hAnsi="Times New Roman" w:cs="Times New Roman"/>
          <w:sz w:val="24"/>
          <w:szCs w:val="24"/>
        </w:rPr>
      </w:pPr>
      <w:bookmarkStart w:id="53" w:name="_Hlk137040317"/>
      <w:r w:rsidRPr="0025134F">
        <w:rPr>
          <w:rFonts w:ascii="Times New Roman" w:eastAsia="Times New Roman" w:hAnsi="Times New Roman" w:cs="Times New Roman"/>
          <w:b/>
          <w:sz w:val="24"/>
          <w:szCs w:val="24"/>
        </w:rPr>
        <w:lastRenderedPageBreak/>
        <w:t xml:space="preserve">Figure </w:t>
      </w:r>
      <w:r w:rsidR="001925CC" w:rsidRPr="0025134F">
        <w:rPr>
          <w:rFonts w:ascii="Times New Roman" w:eastAsia="Times New Roman" w:hAnsi="Times New Roman" w:cs="Times New Roman"/>
          <w:b/>
          <w:sz w:val="24"/>
          <w:szCs w:val="24"/>
        </w:rPr>
        <w:t>S4.</w:t>
      </w:r>
      <w:r w:rsidR="00E76B9C" w:rsidRPr="0025134F">
        <w:rPr>
          <w:rFonts w:ascii="Times New Roman" w:eastAsia="Times New Roman" w:hAnsi="Times New Roman" w:cs="Times New Roman"/>
          <w:b/>
          <w:sz w:val="24"/>
          <w:szCs w:val="24"/>
        </w:rPr>
        <w:t>1</w:t>
      </w:r>
      <w:r w:rsidR="0007221D">
        <w:rPr>
          <w:rFonts w:ascii="Times New Roman" w:eastAsia="Times New Roman" w:hAnsi="Times New Roman" w:cs="Times New Roman"/>
          <w:b/>
          <w:sz w:val="24"/>
          <w:szCs w:val="24"/>
        </w:rPr>
        <w:t>3</w:t>
      </w:r>
      <w:r w:rsidRPr="0025134F">
        <w:rPr>
          <w:rFonts w:ascii="Times New Roman" w:eastAsia="Times New Roman" w:hAnsi="Times New Roman" w:cs="Times New Roman"/>
          <w:sz w:val="24"/>
          <w:szCs w:val="24"/>
        </w:rPr>
        <w:t>: The δ</w:t>
      </w:r>
      <w:r w:rsidRPr="0025134F">
        <w:rPr>
          <w:rFonts w:ascii="Times New Roman" w:eastAsia="Times New Roman" w:hAnsi="Times New Roman" w:cs="Times New Roman"/>
          <w:sz w:val="24"/>
          <w:szCs w:val="24"/>
          <w:vertAlign w:val="superscript"/>
        </w:rPr>
        <w:t>15</w:t>
      </w:r>
      <w:r w:rsidRPr="0025134F">
        <w:rPr>
          <w:rFonts w:ascii="Times New Roman" w:eastAsia="Times New Roman" w:hAnsi="Times New Roman" w:cs="Times New Roman"/>
          <w:sz w:val="24"/>
          <w:szCs w:val="24"/>
        </w:rPr>
        <w:t>N</w:t>
      </w:r>
      <w:r w:rsidRPr="0025134F">
        <w:rPr>
          <w:rFonts w:ascii="Times New Roman" w:eastAsia="Times New Roman" w:hAnsi="Times New Roman" w:cs="Times New Roman"/>
          <w:sz w:val="24"/>
          <w:szCs w:val="24"/>
          <w:vertAlign w:val="subscript"/>
        </w:rPr>
        <w:t xml:space="preserve">Phe </w:t>
      </w:r>
      <w:r w:rsidRPr="0025134F">
        <w:rPr>
          <w:rFonts w:ascii="Times New Roman" w:eastAsia="Times New Roman" w:hAnsi="Times New Roman" w:cs="Times New Roman"/>
          <w:sz w:val="24"/>
          <w:szCs w:val="24"/>
        </w:rPr>
        <w:t xml:space="preserve">values </w:t>
      </w:r>
      <w:r w:rsidR="0025134F">
        <w:rPr>
          <w:rFonts w:ascii="Times New Roman" w:eastAsia="Times New Roman" w:hAnsi="Times New Roman" w:cs="Times New Roman"/>
          <w:sz w:val="24"/>
          <w:szCs w:val="24"/>
        </w:rPr>
        <w:t xml:space="preserve">from the collagen </w:t>
      </w:r>
      <w:r w:rsidRPr="0025134F">
        <w:rPr>
          <w:rFonts w:ascii="Times New Roman" w:eastAsia="Times New Roman" w:hAnsi="Times New Roman" w:cs="Times New Roman"/>
          <w:sz w:val="24"/>
          <w:szCs w:val="24"/>
        </w:rPr>
        <w:t xml:space="preserve">of </w:t>
      </w:r>
      <w:r w:rsidR="00A421B7" w:rsidRPr="0025134F">
        <w:rPr>
          <w:rFonts w:ascii="Times New Roman" w:eastAsia="Times New Roman" w:hAnsi="Times New Roman" w:cs="Times New Roman"/>
          <w:sz w:val="24"/>
          <w:szCs w:val="24"/>
        </w:rPr>
        <w:t xml:space="preserve">the </w:t>
      </w:r>
      <w:r w:rsidRPr="0025134F">
        <w:rPr>
          <w:rFonts w:ascii="Times New Roman" w:eastAsia="Times New Roman" w:hAnsi="Times New Roman" w:cs="Times New Roman"/>
          <w:sz w:val="24"/>
          <w:szCs w:val="24"/>
        </w:rPr>
        <w:t>different animal species analyzed from Ta</w:t>
      </w:r>
      <w:r w:rsidR="00A421B7" w:rsidRPr="0025134F">
        <w:rPr>
          <w:rFonts w:ascii="Times New Roman" w:eastAsia="Times New Roman" w:hAnsi="Times New Roman" w:cs="Times New Roman"/>
          <w:sz w:val="24"/>
          <w:szCs w:val="24"/>
        </w:rPr>
        <w:t>f</w:t>
      </w:r>
      <w:r w:rsidRPr="0025134F">
        <w:rPr>
          <w:rFonts w:ascii="Times New Roman" w:eastAsia="Times New Roman" w:hAnsi="Times New Roman" w:cs="Times New Roman"/>
          <w:sz w:val="24"/>
          <w:szCs w:val="24"/>
        </w:rPr>
        <w:t xml:space="preserve">oralt </w:t>
      </w:r>
      <w:r w:rsidR="007F0EF7" w:rsidRPr="0025134F">
        <w:rPr>
          <w:rFonts w:ascii="Times New Roman" w:eastAsia="Times New Roman" w:hAnsi="Times New Roman" w:cs="Times New Roman"/>
          <w:sz w:val="24"/>
          <w:szCs w:val="24"/>
        </w:rPr>
        <w:t>in comparison with the human individuals.</w:t>
      </w:r>
    </w:p>
    <w:bookmarkEnd w:id="53"/>
    <w:p w14:paraId="6CF45AEB" w14:textId="77777777" w:rsidR="0063777E" w:rsidRDefault="0063777E" w:rsidP="001A7BFF">
      <w:pPr>
        <w:spacing w:after="0" w:line="360" w:lineRule="auto"/>
        <w:rPr>
          <w:rFonts w:ascii="Times New Roman" w:eastAsia="Times New Roman" w:hAnsi="Times New Roman" w:cs="Times New Roman"/>
          <w:sz w:val="24"/>
          <w:szCs w:val="24"/>
          <w:highlight w:val="magenta"/>
        </w:rPr>
        <w:sectPr w:rsidR="0063777E" w:rsidSect="0063777E">
          <w:pgSz w:w="15840" w:h="12240" w:orient="landscape"/>
          <w:pgMar w:top="1440" w:right="1440" w:bottom="1440" w:left="1440" w:header="720" w:footer="720" w:gutter="0"/>
          <w:lnNumType w:countBy="1" w:restart="continuous"/>
          <w:pgNumType w:start="1"/>
          <w:cols w:space="720"/>
          <w:docGrid w:linePitch="299"/>
        </w:sectPr>
      </w:pPr>
    </w:p>
    <w:p w14:paraId="1116D659" w14:textId="77777777" w:rsidR="00545730" w:rsidRPr="00D70D43" w:rsidRDefault="00545730" w:rsidP="001A7BFF">
      <w:pPr>
        <w:spacing w:after="0" w:line="360" w:lineRule="auto"/>
        <w:rPr>
          <w:rFonts w:ascii="Times New Roman" w:eastAsia="Times New Roman" w:hAnsi="Times New Roman" w:cs="Times New Roman"/>
          <w:sz w:val="24"/>
          <w:szCs w:val="24"/>
          <w:highlight w:val="white"/>
        </w:rPr>
      </w:pPr>
    </w:p>
    <w:p w14:paraId="344C3989" w14:textId="040C7AF8" w:rsidR="001A7BFF" w:rsidRPr="004D0B64" w:rsidRDefault="004D0B64" w:rsidP="001A7BFF">
      <w:pPr>
        <w:rPr>
          <w:rFonts w:ascii="Times New Roman" w:hAnsi="Times New Roman" w:cs="Times New Roman"/>
          <w:sz w:val="24"/>
          <w:szCs w:val="24"/>
        </w:rPr>
      </w:pPr>
      <w:bookmarkStart w:id="54" w:name="_Hlk121127801"/>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p>
    <w:bookmarkEnd w:id="54"/>
    <w:p w14:paraId="1A4129EF" w14:textId="3D879172" w:rsidR="00F345F1" w:rsidRPr="001925CC" w:rsidRDefault="004A5CF6" w:rsidP="001925CC">
      <w:pPr>
        <w:ind w:firstLine="720"/>
        <w:rPr>
          <w:rFonts w:ascii="Times New Roman" w:eastAsia="Times New Roman" w:hAnsi="Times New Roman" w:cs="Times New Roman"/>
          <w:i/>
          <w:sz w:val="24"/>
          <w:szCs w:val="24"/>
          <w:u w:val="single"/>
        </w:rPr>
      </w:pPr>
      <w:r w:rsidRPr="001925CC">
        <w:rPr>
          <w:rFonts w:ascii="Times New Roman" w:eastAsia="Times New Roman" w:hAnsi="Times New Roman" w:cs="Times New Roman"/>
          <w:i/>
          <w:sz w:val="24"/>
          <w:szCs w:val="24"/>
          <w:u w:val="single"/>
        </w:rPr>
        <w:t xml:space="preserve">a. </w:t>
      </w:r>
      <w:r w:rsidR="0066220C">
        <w:rPr>
          <w:rFonts w:ascii="Times New Roman" w:eastAsia="Times New Roman" w:hAnsi="Times New Roman" w:cs="Times New Roman"/>
          <w:i/>
          <w:sz w:val="24"/>
          <w:szCs w:val="24"/>
          <w:u w:val="single"/>
        </w:rPr>
        <w:t>T</w:t>
      </w:r>
      <w:r w:rsidR="001925CC" w:rsidRPr="001925CC">
        <w:rPr>
          <w:rFonts w:ascii="Times New Roman" w:eastAsia="Times New Roman" w:hAnsi="Times New Roman" w:cs="Times New Roman"/>
          <w:i/>
          <w:sz w:val="24"/>
          <w:szCs w:val="24"/>
          <w:u w:val="single"/>
        </w:rPr>
        <w:t>rophic levels</w:t>
      </w:r>
      <w:r w:rsidR="0066220C">
        <w:rPr>
          <w:rFonts w:ascii="Times New Roman" w:eastAsia="Times New Roman" w:hAnsi="Times New Roman" w:cs="Times New Roman"/>
          <w:i/>
          <w:sz w:val="24"/>
          <w:szCs w:val="24"/>
          <w:u w:val="single"/>
        </w:rPr>
        <w:t xml:space="preserve"> of the animals</w:t>
      </w:r>
    </w:p>
    <w:p w14:paraId="6B47F9E9" w14:textId="7D9E4DA1" w:rsidR="001A7BFF" w:rsidRDefault="00F345F1" w:rsidP="001925C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estimated the trophic position of animals using </w:t>
      </w:r>
      <w:bookmarkStart w:id="55" w:name="_Hlk122435614"/>
      <w:r>
        <w:rPr>
          <w:rFonts w:ascii="Times New Roman" w:eastAsia="Times New Roman" w:hAnsi="Times New Roman" w:cs="Times New Roman"/>
          <w:sz w:val="24"/>
          <w:szCs w:val="24"/>
        </w:rPr>
        <w:t>δ</w:t>
      </w:r>
      <w:r>
        <w:rPr>
          <w:rFonts w:ascii="Times New Roman" w:eastAsia="Times New Roman" w:hAnsi="Times New Roman" w:cs="Times New Roman"/>
          <w:sz w:val="24"/>
          <w:szCs w:val="24"/>
          <w:vertAlign w:val="superscript"/>
        </w:rPr>
        <w:t>66</w:t>
      </w:r>
      <w:r>
        <w:rPr>
          <w:rFonts w:ascii="Times New Roman" w:eastAsia="Times New Roman" w:hAnsi="Times New Roman" w:cs="Times New Roman"/>
          <w:sz w:val="24"/>
          <w:szCs w:val="24"/>
        </w:rPr>
        <w:t>Zn</w:t>
      </w:r>
      <w:bookmarkEnd w:id="55"/>
      <w:r>
        <w:rPr>
          <w:rFonts w:ascii="Times New Roman" w:eastAsia="Times New Roman" w:hAnsi="Times New Roman" w:cs="Times New Roman"/>
          <w:sz w:val="24"/>
          <w:szCs w:val="24"/>
        </w:rPr>
        <w:t xml:space="preserve">, </w:t>
      </w:r>
      <w:bookmarkStart w:id="56" w:name="_Hlk122435605"/>
      <w:r>
        <w:rPr>
          <w:rFonts w:ascii="Times New Roman" w:eastAsia="Times New Roman" w:hAnsi="Times New Roman" w:cs="Times New Roman"/>
          <w:sz w:val="24"/>
          <w:szCs w:val="24"/>
        </w:rPr>
        <w:t>δ</w:t>
      </w:r>
      <w:r>
        <w:rPr>
          <w:rFonts w:ascii="Times New Roman" w:eastAsia="Times New Roman" w:hAnsi="Times New Roman" w:cs="Times New Roman"/>
          <w:sz w:val="24"/>
          <w:szCs w:val="24"/>
          <w:vertAlign w:val="superscript"/>
        </w:rPr>
        <w:t>15</w:t>
      </w:r>
      <w:r>
        <w:rPr>
          <w:rFonts w:ascii="Times New Roman" w:eastAsia="Times New Roman" w:hAnsi="Times New Roman" w:cs="Times New Roman"/>
          <w:sz w:val="24"/>
          <w:szCs w:val="24"/>
        </w:rPr>
        <w:t xml:space="preserve">N on bulk collagen </w:t>
      </w:r>
      <w:bookmarkEnd w:id="56"/>
      <w:r>
        <w:rPr>
          <w:rFonts w:ascii="Times New Roman" w:eastAsia="Times New Roman" w:hAnsi="Times New Roman" w:cs="Times New Roman"/>
          <w:sz w:val="24"/>
          <w:szCs w:val="24"/>
        </w:rPr>
        <w:t>and on amino acids.</w:t>
      </w:r>
    </w:p>
    <w:p w14:paraId="7ED57F9B" w14:textId="0AE93D3D" w:rsidR="00F345F1" w:rsidRPr="003C7995" w:rsidRDefault="00F345F1" w:rsidP="001925CC">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δ</w:t>
      </w:r>
      <w:r>
        <w:rPr>
          <w:rFonts w:ascii="Times New Roman" w:eastAsia="Times New Roman" w:hAnsi="Times New Roman" w:cs="Times New Roman"/>
          <w:sz w:val="24"/>
          <w:szCs w:val="24"/>
          <w:vertAlign w:val="superscript"/>
        </w:rPr>
        <w:t>15</w:t>
      </w:r>
      <w:r>
        <w:rPr>
          <w:rFonts w:ascii="Times New Roman" w:eastAsia="Times New Roman" w:hAnsi="Times New Roman" w:cs="Times New Roman"/>
          <w:sz w:val="24"/>
          <w:szCs w:val="24"/>
        </w:rPr>
        <w:t>N</w:t>
      </w:r>
      <w:r>
        <w:rPr>
          <w:rFonts w:ascii="Times New Roman" w:eastAsia="Times New Roman" w:hAnsi="Times New Roman" w:cs="Times New Roman"/>
          <w:sz w:val="24"/>
          <w:szCs w:val="24"/>
          <w:vertAlign w:val="subscript"/>
        </w:rPr>
        <w:t>bulk</w:t>
      </w:r>
      <w:r>
        <w:rPr>
          <w:rFonts w:ascii="Times New Roman" w:eastAsia="Times New Roman" w:hAnsi="Times New Roman" w:cs="Times New Roman"/>
          <w:sz w:val="24"/>
          <w:szCs w:val="24"/>
        </w:rPr>
        <w:t xml:space="preserve"> values of the herbivores display a wide range of variation (5.5 to 11.7 ‰) (Figure 2</w:t>
      </w:r>
      <w:r w:rsidR="00517687">
        <w:rPr>
          <w:rFonts w:ascii="Times New Roman" w:eastAsia="Times New Roman" w:hAnsi="Times New Roman" w:cs="Times New Roman"/>
          <w:sz w:val="24"/>
          <w:szCs w:val="24"/>
        </w:rPr>
        <w:t>, Main paper</w:t>
      </w:r>
      <w:r>
        <w:rPr>
          <w:rFonts w:ascii="Times New Roman" w:eastAsia="Times New Roman" w:hAnsi="Times New Roman" w:cs="Times New Roman"/>
          <w:sz w:val="24"/>
          <w:szCs w:val="24"/>
        </w:rPr>
        <w:t>).</w:t>
      </w:r>
      <w:r w:rsidR="008B492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We suggest that the highest δ</w:t>
      </w:r>
      <w:r>
        <w:rPr>
          <w:rFonts w:ascii="Times New Roman" w:eastAsia="Times New Roman" w:hAnsi="Times New Roman" w:cs="Times New Roman"/>
          <w:sz w:val="24"/>
          <w:szCs w:val="24"/>
          <w:vertAlign w:val="superscript"/>
        </w:rPr>
        <w:t>15</w:t>
      </w:r>
      <w:r>
        <w:rPr>
          <w:rFonts w:ascii="Times New Roman" w:eastAsia="Times New Roman" w:hAnsi="Times New Roman" w:cs="Times New Roman"/>
          <w:sz w:val="24"/>
          <w:szCs w:val="24"/>
        </w:rPr>
        <w:t>N values are related to either 1) a metabolic adaptation of drought-tolerant herbivores to the lack of water in arid regions</w:t>
      </w:r>
      <w:r w:rsidR="000829A5">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{"citationID":"P4AJ1bVR","properties":{"formattedCitation":"\\super 79\\nosupersub{}","plainCitation":"79","noteIndex":0},"citationItems":[{"id":107,"uris":["http://zotero.org/users/7125028/items/PMJHR4J2"],"itemData":{"id":107,"type":"article-journal","abstract":"Behavioural modifications associated with the exploitation of new food resources have been linked to major steps in hominid evolution and in subsequent human cultural development1,2. Testing of specific hypotheses concerning the influence of dietary change on these processes would be facilitated by quantitative estimates of early hominid and human diets. Although most methods of obtaining such evidence provide only qualitative information2, the stable carbon and nitrogen isotope ratios of animal tissues, and in particular, bone collagen, can be used to quantify the consumption of foods having different isotopic compositions3–5. As reported here, analysis of the collagen of historic and prehistoric African human populations from Kenya, Tanzania and South Africa that have reasonably well-known diets shows that stable carbon and nitrogen isotope ratios in bone collagen can distinguish marine foragers from populations consuming terrestrial resources, pastoralists from farmers, farmers consuming grains from those consuming non-grain crops, and camel pastoralists from capri-bovine pastoralists.","container-title":"Nature","DOI":"10.1038/319321a0","ISSN":"1476-4687","issue":"6051","language":"en","license":"1986 Nature Publishing Group","note":"Bandiera_abtest: a\nCg_type: Nature Research Journals\nnumber: 6051\nPrimary_atype: Research\npublisher: Nature Publishing Group","page":"321-324","source":"www.nature.com","title":"Reconstruction of African human diet using bone collagen carbon and nitrogen isotope ratios","volume":"319","author":[{"family":"Ambrose","given":"Stanley H."},{"family":"DeNiro","given":"Michael J."}],"issued":{"date-parts":[["1986",1]]}}}],"schema":"https://github.com/citation-style-language/schema/raw/master/csl-citation.json"} </w:instrText>
      </w:r>
      <w:r w:rsidR="000829A5">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79</w:t>
      </w:r>
      <w:r w:rsidR="000829A5">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for an Equid, Hartebeest</w:t>
      </w:r>
      <w:r w:rsidR="00E22655">
        <w:rPr>
          <w:rFonts w:ascii="Times New Roman" w:eastAsia="Times New Roman" w:hAnsi="Times New Roman" w:cs="Times New Roman"/>
          <w:sz w:val="24"/>
          <w:szCs w:val="24"/>
        </w:rPr>
        <w:t>s</w:t>
      </w:r>
      <w:r>
        <w:rPr>
          <w:rFonts w:ascii="Times New Roman" w:eastAsia="Times New Roman" w:hAnsi="Times New Roman" w:cs="Times New Roman"/>
          <w:sz w:val="24"/>
          <w:szCs w:val="24"/>
        </w:rPr>
        <w:t>. and 2) to a suckling effect for a Barbary sheep and Equid; For the δ</w:t>
      </w:r>
      <w:r>
        <w:rPr>
          <w:rFonts w:ascii="Times New Roman" w:eastAsia="Times New Roman" w:hAnsi="Times New Roman" w:cs="Times New Roman"/>
          <w:sz w:val="24"/>
          <w:szCs w:val="24"/>
          <w:vertAlign w:val="superscript"/>
        </w:rPr>
        <w:t>15</w:t>
      </w:r>
      <w:r>
        <w:rPr>
          <w:rFonts w:ascii="Times New Roman" w:eastAsia="Times New Roman" w:hAnsi="Times New Roman" w:cs="Times New Roman"/>
          <w:sz w:val="24"/>
          <w:szCs w:val="24"/>
        </w:rPr>
        <w:t xml:space="preserve">N on the bulk collagen the Trophic level spacing between carnivores and herbivores is only of 2.4 ‰ higher in contrast with the expected 3-5 </w:t>
      </w:r>
      <w:r w:rsidR="00826D96">
        <w:rPr>
          <w:rFonts w:ascii="Times New Roman" w:eastAsia="Times New Roman" w:hAnsi="Times New Roman" w:cs="Times New Roman"/>
          <w:sz w:val="24"/>
          <w:szCs w:val="24"/>
        </w:rPr>
        <w:t>‰</w:t>
      </w:r>
      <w:r w:rsidR="000829A5">
        <w:rPr>
          <w:rFonts w:ascii="Times New Roman" w:eastAsia="Times New Roman" w:hAnsi="Times New Roman" w:cs="Times New Roman"/>
          <w:sz w:val="24"/>
          <w:szCs w:val="24"/>
        </w:rPr>
        <w:t xml:space="preserve"> </w:t>
      </w:r>
      <w:r w:rsidR="000829A5">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{"citationID":"oqDrmhek","properties":{"formattedCitation":"\\super 17,80\\uc0\\u8211{}82\\nosupersub{}","plainCitation":"17,80–82","noteIndex":0},"citationItems":[{"id":753,"uris":["http://zotero.org/users/7125028/items/V7EETML7"],"itemData":{"id":753,"type":"article-journal","container-title":"International Journal of osteoarchaeology","issue":"1-2","note":"publisher: Wiley Online Library","page":"46–53","source":"Google Scholar","title":"Trophic level isotopic enrichment of carbon and nitrogen in bone collagen: case studies from recent and ancient terrestrial ecosystems","title-short":"Trophic level isotopic enrichment of carbon and nitrogen in bone collagen","volume":"13","author":[{"family":"Bocherens","given":"Hervé"},{"family":"Drucker","given":"Dorothée"}],"issued":{"date-parts":[["2003"]]}}},{"id":88,"uris":["http://zotero.org/users/7125028/items/IZI5QPZW"],"itemData":{"id":88,"type":"article-journal","abstract":"The influence of diet on the distribution of nitrogen isotopes in animals was investigated by analyzing animals grown in the laboratory on diets of constant nitrogen isotopic composition. The isotopic composition of the nitrogen in an animal reflects the nitrogen isotopic composition of its diet. The δ15N values of the whole bodies of animals are usually more positive than those of their diets. Different individuals of a species raised on the same diet can have significantly different δ15N values. The variability of the relationship between the δ15N values of animals and their diets is greater for different species raised on the same diet than for the same species raised on different diets. Different tissues of mice are also enriched in 15N relative to the diet, with the difference between the δ15N values of a tissue and the diet depending on both the kind of tissue and the diet involved. The δ15N values ofcollagen and chitin. biochemical components that are often preserved in fossil animal remains, are also related to the δ15N value of the diet. The dependence of the δ15N values of whole animals and their tissues and biochemical components on the δ15N value of diet indicates that the isotopic composition of animal nitrogen can be used to obtain information about an animal's diet if its potential food sources had different δ15N values. The nitrogen isotopic method of dietary analysis probably can be used to estimate the relative use of legumes vs non-legumes or of aquatic vs terrestrial organisms as food sources for extant and fossil animals. However, the method probably will not be applicable in those modern ecosystems in which the use of chemical fertilizers has influenced the distribution of nitrogen isotopes in food sources. The isotopic method of dietary analysis was used to reconstruct changes in the diet of the human population that occupied the Tehuacan Valley of Mexico over a 7000 yr span. Variations in the δ15C and δ15N values of bone collagen suggest that C4 and/or CAM plants (presumably mostly corn) and legumes (presumably mostly beans) were introduced into the diet much earlier than suggested by conventional archaeological analysis.","container-title":"Geochimica et Cosmochimica Acta","DOI":"10.1016/0016-7037(81)90244-1","ISSN":"0016-7037","issue":"3","journalAbbreviation":"Geochimica et Cosmochimica Acta","language":"en","page":"341-351","source":"ScienceDirect","title":"Influence of diet on the distribution of nitrogen isotopes in animals","volume":"45","author":[{"family":"Deniro","given":"Michael J"},{"family":"Epstein","given":"Samuel"}],"issued":{"date-parts":[["1981",3,1]]}}},{"id":105,"uris":["http://zotero.org/users/7125028/items/JFY6WVPX"],"itemData":{"id":105,"type":"article-journal","abstract":"The isotopic composition of nitrogen was measured in marine and fresh-water animals from the East China Sea, The Bering Sea, Lake Ashinoko and Usujiri intertidal zone. Primary producers, showed average δ15Nversus atmospheric nitrogen of +5.0%. (+3.4 to +7.5) in the Bering Sea and Lake Ashinoko, and +6.8%. (+6.0 to +7.6) in Usujiri intertidal zone. Blue green algae from the East China Sea show an average −0.55%. (−0.8 to +1.2). All consumers, Zooplankton, fish and bird exhibited Stepwise enrichment of 15N with increasing trophic level. The 15N enrichment at a single feeding process ranged from +1.3 to +5.3 averaging +3.4 ± 1.1%.. This isotopic fractionation seems to be independent of habitat. The effect of age in animals was obtained by analyzing two marine mussels. The soft tissue nitrogen showed +2.0%. enrichment relative to that of primary producers, and the magnitude was almost constant with shell ages ranging from 0 to 8 years. A similar 15N enrichment occurs in all Molluscs, Crustaceans, Insecta, Amphibia, Fish, Ave and Mammal species regardless of the difference in the form of excreted nitrogen and in laboratory cultured fish, brine shrimp and mice (+2.9 to +4.9%.). The excreted ammonia from guppy was sufficiently light to balance the concentration of 15N to animal body.","container-title":"Geochimica et Cosmochimica Acta","DOI":"10.1016/0016-7037(84)90204-7","ISSN":"0016-7037","issue":"5","journalAbbreviation":"Geochimica et Cosmochimica Acta","language":"en","page":"1135-1140","source":"ScienceDirect","title":"Stepwise enrichment of 15N along food chains: Further evidence and the relation between δ15N and animal age","title-short":"Stepwise enrichment of 15N along food chains","volume":"48","author":[{"family":"Minagawa","given":"Masao"},{"family":"Wada","given":"Eitaro"}],"issued":{"date-parts":[["1984",5,1]]}}},{"id":104,"uris":["http://zotero.org/users/7125028/items/RFM9RBT2"],"itemData":{"id":104,"type":"article-journal","abstract":"The stable nitrogen and carbon isotope ratios of bone collagen prepared from more than 100 animals representing 66 species of birds, fish, and mammals are presented. The δ15N values of bone collagen from animals that fed exclusively in the marine environment are, on average, 9%. more positive than those from animals that fed exclusively in the terrestrial environment; ranges for the two groups overlap by less than 1%. Bone collagen δ15N values also serve to separate marine fish from the small number of freshwater fish we analyzed. The bone collagen δ15N values of birds and fish that spent part of their life cycles feeding in the marine environment and part in the freshwater environment are intermediate between those of animals that fed exclusively in one or the other system. Further, animals that fed at successive trophic levels in the marine and terrestrial environment are separated, on average, by a 3%. difference in the δ15N values of their bone collagen. Specifically, carnivorous and herbivorous terrestrial animals have mean δ15N values for bone collagen of + 8.0 and + 5.3%., respectively. Among marine animals, those that fed on fish have a mean δ15N value for bone collagen of + 16.5%., whereas those that fed on invertebrates have a mean δ15N value of + 13.3%. These results support previous suggestions of a 3%. enrichment in δ15N values at each successively higher trophic level. In contrast to the results for δ15N values, the ranges of bone collagen δ13C values from marine and terrestrial feeders overlap to a great extent. Additionally, bone collagen δ13C values do not reflect the trophic levels at which the animals fed. These results indicate that bone collagen δ15N values will be useful in determining relative dependence on marine and terrestrial food sources and in investigating trophic level relationships among different animal species within an ecosystem. This approach should be applicable to animals represented by prehistoric or fossilized bone in which collagen is preserved.","container-title":"Geochimica et Cosmochimica Acta","DOI":"10.1016/0016-7037(84)90091-7","ISSN":"0016-7037","issue":"4","journalAbbreviation":"Geochimica et Cosmochimica Acta","language":"en","page":"625-639","source":"ScienceDirect","title":"Nitrogen and carbon isotopic composition of bone collagen from marine and terrestrial animals","volume":"48","author":[{"family":"Schoeninger","given":"Margaret J"},{"family":"DeNiro","given":"Michael J"}],"issued":{"date-parts":[["1984",4,1]]}}}],"schema":"https://github.com/citation-style-language/schema/raw/master/csl-citation.json"} </w:instrText>
      </w:r>
      <w:r w:rsidR="000829A5">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17,80–82</w:t>
      </w:r>
      <w:r w:rsidR="000829A5">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t>
      </w:r>
    </w:p>
    <w:p w14:paraId="7AAEC1F2" w14:textId="077E313A" w:rsidR="00981E8C" w:rsidRDefault="001A7BFF" w:rsidP="001925CC">
      <w:pPr>
        <w:spacing w:after="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The </w:t>
      </w:r>
      <w:r w:rsidRPr="00D70D43">
        <w:rPr>
          <w:rFonts w:ascii="Times New Roman" w:eastAsia="Times New Roman" w:hAnsi="Times New Roman" w:cs="Times New Roman"/>
          <w:sz w:val="24"/>
          <w:szCs w:val="24"/>
          <w:highlight w:val="white"/>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 on amino acids generally shows the trophic position (TP) of an individual regardless the baseline variation effect</w:t>
      </w:r>
      <w:r w:rsidR="009B0390">
        <w:rPr>
          <w:rFonts w:ascii="Times New Roman" w:eastAsia="Times New Roman" w:hAnsi="Times New Roman" w:cs="Times New Roman"/>
          <w:sz w:val="24"/>
          <w:szCs w:val="24"/>
        </w:rPr>
        <w:t>. Thanks to our carbon isotope ratios, we know that there is no aquatic food consumption at Taforalt, and we can then use the C3 equation for the evaluation of the trophic positions of the animals and humans. Th</w:t>
      </w:r>
      <w:r w:rsidR="004D0B64">
        <w:rPr>
          <w:rFonts w:ascii="Times New Roman" w:eastAsia="Times New Roman" w:hAnsi="Times New Roman" w:cs="Times New Roman"/>
          <w:sz w:val="24"/>
          <w:szCs w:val="24"/>
        </w:rPr>
        <w:t>ese</w:t>
      </w:r>
      <w:r w:rsidR="009B0390">
        <w:rPr>
          <w:rFonts w:ascii="Times New Roman" w:eastAsia="Times New Roman" w:hAnsi="Times New Roman" w:cs="Times New Roman"/>
          <w:sz w:val="24"/>
          <w:szCs w:val="24"/>
        </w:rPr>
        <w:t xml:space="preserve"> equations </w:t>
      </w:r>
      <w:r w:rsidR="00FB5D99">
        <w:rPr>
          <w:rFonts w:ascii="Times New Roman" w:eastAsia="Times New Roman" w:hAnsi="Times New Roman" w:cs="Times New Roman"/>
          <w:sz w:val="24"/>
          <w:szCs w:val="24"/>
        </w:rPr>
        <w:t>show</w:t>
      </w:r>
      <w:r w:rsidR="009B0390">
        <w:rPr>
          <w:rFonts w:ascii="Times New Roman" w:eastAsia="Times New Roman" w:hAnsi="Times New Roman" w:cs="Times New Roman"/>
          <w:sz w:val="24"/>
          <w:szCs w:val="24"/>
        </w:rPr>
        <w:t xml:space="preserve"> a range of </w:t>
      </w:r>
      <w:r w:rsidRPr="00D70D43">
        <w:rPr>
          <w:rFonts w:ascii="Times New Roman" w:eastAsia="Times New Roman" w:hAnsi="Times New Roman" w:cs="Times New Roman"/>
          <w:sz w:val="24"/>
          <w:szCs w:val="24"/>
        </w:rPr>
        <w:t xml:space="preserve">1.7 to 2.3 </w:t>
      </w:r>
      <w:r w:rsidR="00826D96">
        <w:rPr>
          <w:rFonts w:ascii="Times New Roman" w:eastAsia="Times New Roman" w:hAnsi="Times New Roman" w:cs="Times New Roman"/>
          <w:sz w:val="24"/>
          <w:szCs w:val="24"/>
        </w:rPr>
        <w:t xml:space="preserve">for herbivores </w:t>
      </w:r>
      <w:r w:rsidRPr="00D70D43">
        <w:rPr>
          <w:rFonts w:ascii="Times New Roman" w:eastAsia="Times New Roman" w:hAnsi="Times New Roman" w:cs="Times New Roman"/>
          <w:sz w:val="24"/>
          <w:szCs w:val="24"/>
        </w:rPr>
        <w:t xml:space="preserve">with an average of 2.1, which is close to the theoretical value </w:t>
      </w:r>
      <w:r w:rsidR="007776AE">
        <w:rPr>
          <w:rFonts w:ascii="Times New Roman" w:eastAsia="Times New Roman" w:hAnsi="Times New Roman" w:cs="Times New Roman"/>
          <w:sz w:val="24"/>
          <w:szCs w:val="24"/>
        </w:rPr>
        <w:t xml:space="preserve">of </w:t>
      </w:r>
      <w:r w:rsidRPr="00D70D43">
        <w:rPr>
          <w:rFonts w:ascii="Times New Roman" w:eastAsia="Times New Roman" w:hAnsi="Times New Roman" w:cs="Times New Roman"/>
          <w:sz w:val="24"/>
          <w:szCs w:val="24"/>
        </w:rPr>
        <w:t>2</w:t>
      </w:r>
      <w:r w:rsidR="007776AE">
        <w:rPr>
          <w:rFonts w:ascii="Times New Roman" w:eastAsia="Times New Roman" w:hAnsi="Times New Roman" w:cs="Times New Roman"/>
          <w:sz w:val="24"/>
          <w:szCs w:val="24"/>
        </w:rPr>
        <w:t>. This type of variation around the value of 2 has been previously observed</w:t>
      </w:r>
      <w:r w:rsidR="007B1507">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{"citationID":"2AevHLPV","properties":{"formattedCitation":"\\super 66,83,84\\nosupersub{}","plainCitation":"66,83,84","noteIndex":0},"citationItems":[{"id":147,"uris":["http://zotero.org/users/7125028/items/ZH37JT23"],"itemData":{"id":147,"type":"article-journal","abstract":"Relatively high 15N abundances in bone collagen of early anatomically modern humans in Europe have often been interpreted as a specific consumption of freshwater resources, even if mammoth is an alternative high 15N prey. At Buran-Kaya III, access to associated fauna in a secured archaeological context and application of recently developed isotopic analyses of individuals amino acids offer the opportunity to further examine this hypothesis. The site of Buran-Kaya III is located in south Crimea and has provided a rich archaeological sequence including two Upper Palaeolithic layers, from which human fossils were retrieved and directly dated as from 37.8 to 33.1 ka cal BP. Results from bulk collagen of three human remains suggests the consumption of a high 15N prey besides the contribution of saiga, red deer, horse and hare, whose butchered remains were present at the site. In contrast to bulk collagen, phenylalanine and glutamic acid 15N abundances reflect not only animal but also plant protein contributions to omnivorous diet, and allow disentangling aquatic from terrestrial resource consumption. The inferred human trophic position values point to terrestrial-based diet, meaning a significant contribution of mammoth meat, in addition to a clear intake of plant protein.","container-title":"Scientific Reports","DOI":"10.1038/s41598-017-07065-3","ISSN":"2045-2322","issue":"1","journalAbbreviation":"Sci Rep","language":"en","license":"2017 The Author(s)","note":"Bandiera_abtest: a\nCc_license_type: cc_by\nCg_type: Nature Research Journals\nnumber: 1\nPrimary_atype: Research\npublisher: Nature Publishing Group\nSubject_term: Archaeology;Stable isotope analysis\nSubject_term_id: archaeology;stable-isotopes","page":"6833","source":"www.nature.com","title":"Isotopic analyses suggest mammoth and plant in the diet of the oldest anatomically modern humans from far southeast Europe","volume":"7","author":[{"family":"Drucker","given":"Dorothée G."},{"family":"Naito","given":"Yuichi I."},{"family":"Péan","given":"Stéphane"},{"family":"Prat","given":"Sandrine"},{"family":"Crépin","given":"Laurent"},{"family":"Chikaraishi","given":"Yoshito"},{"family":"Ohkouchi","given":"Naohiko"},{"family":"Puaud","given":"Simon"},{"family":"Lázničková-Galetová","given":"Martina"},{"family":"Patou-Mathis","given":"Marylène"},{"family":"Yanevich","given":"Aleksandr"},{"family":"Bocherens","given":"Hervé"}],"issued":{"date-parts":[["2017",7,28]]}}},{"id":145,"uris":["http://zotero.org/users/7125028/items/6TY8YHIJ"],"itemData":{"id":145,"type":"article-journal","abstract":"Isotope and archeological analyses of Paleolithic food webs have suggested that Neandertal subsistence relied mainly on the consumption of large herbivores. This conclusion was primarily based on elevated nitrogen isotope ratios in Neandertal bone collagen and has been significantly debated. This discussion relies on the observation that similar high nitrogen isotopes values could also be the result of the consumption of mammoths, young animals, putrid meat, cooked food, freshwater fish, carnivores, or mushrooms. Recently, compound-specific C and N isotope analyses of bone collagen amino acids have been demonstrated to add significantly more information about trophic levels and aquatic food consumption. We undertook single amino acid C and N isotope analysis on two Neandertals, which were characterized by exceptionally high N isotope ratios in their bulk bone or tooth collagen. We report here both C and N isotope ratios on single amino acids of collagen samples for these two Neandertals and associated fauna. The samples come from two sites dating to the Middle to Upper Paleolithic transition period (Les Cottés and Grotte du Renne, France). Our results reinforce the interpretation of Neandertal dietary adaptations as successful top-level carnivores, even after the arrival of modern humans in Europe. They also demonstrate that high δ15N values of bone collagen can solely be explained by mammal meat consumption, as supported by archeological and zooarcheological evidence, without necessarily invoking explanations including the processing of food (cooking, fermenting), the consumption of mammoths or young mammals, or additional (freshwater fish, mushrooms) dietary protein sources.","container-title":"Proceedings of the National Academy of Sciences","DOI":"10.1073/pnas.1814087116","ISSN":"0027-8424, 1091-6490","issue":"11","journalAbbreviation":"PNAS","language":"en","license":"Copyright © 2019 the Author(s). Published by PNAS.. https://creativecommons.org/licenses/by-nc-nd/4.0/This open access article is distributed under Creative Commons Attribution-NonCommercial-NoDerivatives License 4.0 (CC BY-NC-ND).","note":"publisher: National Academy of Sciences\nsection: Biological Sciences\nPMID: 30782806","page":"4928-4933","source":"www.pnas.org","title":"Exceptionally high δ15N values in collagen single amino acids confirm Neandertals as high-trophic level carnivores","volume":"116","author":[{"family":"Jaouen","given":"Klervia"},{"family":"Richards","given":"Michael P."},{"family":"Cabec","given":"Adeline Le"},{"family":"Welker","given":"Frido"},{"family":"Rendu","given":"William"},{"family":"Hublin","given":"Jean-Jacques"},{"family":"Soressi","given":"Marie"},{"family":"Talamo","given":"Sahra"}],"issued":{"date-parts":[["2019",3,12]]}}},{"id":86,"uris":["http://zotero.org/users/7125028/items/I74ZTZ8K"],"itemData":{"id":86,"type":"article-journal","abstract":"This study provides a refined view on the diet and ecological niche of Neanderthals. The traditional view is that Neanderthals obtained most of their dietary protein from terrestrial animals, especially from large herbivores that roamed the open landscapes. Evidence based on the conventional carbon and nitrogen isotopic composition of bulk collagen has supported this view, although recent findings based on plant remains in the tooth calculus, microwear analyses, and small game and marine animal remains from archaeological sites have raised some questions regarding this assumption. However, the lack of a protein source other than meat in the Neanderthal diet may be due to methodological difficulties in defining the isotopic composition of plants. Based on the nitrogen isotopic composition of glutamic acid and phenylalanine in collagen for Neanderthals from Spy Cave (Belgium), we show that i) there was an inter-individual dietary heterogeneity even within one archaeological site that has not been evident in bulk collagen isotopic compositions, ii) they occupied an ecological niche different from those of hyenas, and iii) they could rely on plants for up to </w:instrText>
      </w:r>
      <w:r w:rsidR="000E7E53">
        <w:rPr>
          <w:rFonts w:ascii="Cambria Math" w:eastAsia="Times New Roman" w:hAnsi="Cambria Math" w:cs="Cambria Math"/>
          <w:sz w:val="24"/>
          <w:szCs w:val="24"/>
        </w:rPr>
        <w:instrText>∼</w:instrText>
      </w:r>
      <w:r w:rsidR="000E7E53">
        <w:rPr>
          <w:rFonts w:ascii="Times New Roman" w:eastAsia="Times New Roman" w:hAnsi="Times New Roman" w:cs="Times New Roman"/>
          <w:sz w:val="24"/>
          <w:szCs w:val="24"/>
        </w:rPr>
        <w:instrText xml:space="preserve">20% of their protein source. These results are consistent with the evidence found of plant consumption by the Spy Neanderthals, suggesting a broader subsistence strategy than previously considered.","container-title":"Journal of Human Evolution","DOI":"10.1016/j.jhevol.2016.01.009","ISSN":"0047-2484","journalAbbreviation":"Journal of Human Evolution","language":"en","page":"82-90","source":"ScienceDirect","title":"Ecological niche of Neanderthals from Spy Cave revealed by nitrogen isotopes of individual amino acids in collagen","volume":"93","author":[{"family":"Naito","given":"Yuichi I."},{"family":"Chikaraishi","given":"Yoshito"},{"family":"Drucker","given":"Dorothée G."},{"family":"Ohkouchi","given":"Naohiko"},{"family":"Semal","given":"Patrick"},{"family":"Wißing","given":"Christoph"},{"family":"Bocherens","given":"Hervé"}],"issued":{"date-parts":[["2016",4,1]]}}}],"schema":"https://github.com/citation-style-language/schema/raw/master/csl-citation.json"} </w:instrText>
      </w:r>
      <w:r w:rsidR="007B1507">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66,83,84</w:t>
      </w:r>
      <w:r w:rsidR="007B1507">
        <w:rPr>
          <w:rFonts w:ascii="Times New Roman" w:eastAsia="Times New Roman" w:hAnsi="Times New Roman" w:cs="Times New Roman"/>
          <w:sz w:val="24"/>
          <w:szCs w:val="24"/>
        </w:rPr>
        <w:fldChar w:fldCharType="end"/>
      </w:r>
      <w:r w:rsidR="007B1507" w:rsidRPr="0064579A">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Both Barbary sheep have the same TP (=2.1) expected for herbivores, even the deciduous tooth. This indicates that there is no effect of breastfeeding on this lat</w:t>
      </w:r>
      <w:r w:rsidR="004F4DEF">
        <w:rPr>
          <w:rFonts w:ascii="Times New Roman" w:eastAsia="Times New Roman" w:hAnsi="Times New Roman" w:cs="Times New Roman"/>
          <w:sz w:val="24"/>
          <w:szCs w:val="24"/>
        </w:rPr>
        <w:t>t</w:t>
      </w:r>
      <w:r w:rsidRPr="00D70D43">
        <w:rPr>
          <w:rFonts w:ascii="Times New Roman" w:eastAsia="Times New Roman" w:hAnsi="Times New Roman" w:cs="Times New Roman"/>
          <w:sz w:val="24"/>
          <w:szCs w:val="24"/>
        </w:rPr>
        <w:t>er and that the high 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on enamel and high </w:t>
      </w:r>
      <w:r w:rsidRPr="00D70D43">
        <w:rPr>
          <w:rFonts w:ascii="Times New Roman" w:eastAsia="Times New Roman" w:hAnsi="Times New Roman" w:cs="Times New Roman"/>
          <w:sz w:val="24"/>
          <w:szCs w:val="24"/>
          <w:highlight w:val="white"/>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 xml:space="preserve">N in the bulk collagen of this tooth is related to the diet and not to breastfeeding. </w:t>
      </w:r>
    </w:p>
    <w:p w14:paraId="659DDBA5" w14:textId="02FCDB5C" w:rsidR="00981E8C" w:rsidRDefault="00981E8C" w:rsidP="001925CC">
      <w:pPr>
        <w:spacing w:line="360" w:lineRule="auto"/>
        <w:jc w:val="both"/>
        <w:rPr>
          <w:rFonts w:ascii="Times New Roman" w:eastAsia="Times New Roman" w:hAnsi="Times New Roman" w:cs="Times New Roman"/>
          <w:sz w:val="24"/>
          <w:szCs w:val="24"/>
        </w:rPr>
      </w:pPr>
      <w:bookmarkStart w:id="57" w:name="_Hlk122435854"/>
      <w:r>
        <w:rPr>
          <w:rFonts w:ascii="Times New Roman" w:eastAsia="Times New Roman" w:hAnsi="Times New Roman" w:cs="Times New Roman"/>
          <w:sz w:val="24"/>
          <w:szCs w:val="24"/>
        </w:rPr>
        <w:t>Drought-tolerant herbivores show an average TP of 2.1 and the other herbivores of 2.0. This means that the metabolic adaptation to drought do not impact the TP estimation from amino acids. We reject the possibility of suckling as an explanation for the high δ</w:t>
      </w:r>
      <w:r>
        <w:rPr>
          <w:rFonts w:ascii="Times New Roman" w:eastAsia="Times New Roman" w:hAnsi="Times New Roman" w:cs="Times New Roman"/>
          <w:sz w:val="24"/>
          <w:szCs w:val="24"/>
          <w:vertAlign w:val="superscript"/>
        </w:rPr>
        <w:t>15</w:t>
      </w:r>
      <w:r>
        <w:rPr>
          <w:rFonts w:ascii="Times New Roman" w:eastAsia="Times New Roman" w:hAnsi="Times New Roman" w:cs="Times New Roman"/>
          <w:sz w:val="24"/>
          <w:szCs w:val="24"/>
        </w:rPr>
        <w:t>N</w:t>
      </w:r>
      <w:r>
        <w:rPr>
          <w:rFonts w:ascii="Times New Roman" w:eastAsia="Times New Roman" w:hAnsi="Times New Roman" w:cs="Times New Roman"/>
          <w:sz w:val="24"/>
          <w:szCs w:val="24"/>
          <w:vertAlign w:val="subscript"/>
        </w:rPr>
        <w:t xml:space="preserve">bulk </w:t>
      </w:r>
      <w:r>
        <w:rPr>
          <w:rFonts w:ascii="Times New Roman" w:eastAsia="Times New Roman" w:hAnsi="Times New Roman" w:cs="Times New Roman"/>
          <w:sz w:val="24"/>
          <w:szCs w:val="24"/>
        </w:rPr>
        <w:t xml:space="preserve">values for the barbary sheep and the Equid. Some herbivores have a TP above 2.1 it includes a </w:t>
      </w:r>
      <w:r w:rsidR="00E22655">
        <w:rPr>
          <w:rFonts w:ascii="Times New Roman" w:eastAsia="Times New Roman" w:hAnsi="Times New Roman" w:cs="Times New Roman"/>
          <w:sz w:val="24"/>
          <w:szCs w:val="24"/>
        </w:rPr>
        <w:t>Hartebeest</w:t>
      </w:r>
      <w:r>
        <w:rPr>
          <w:rFonts w:ascii="Times New Roman" w:eastAsia="Times New Roman" w:hAnsi="Times New Roman" w:cs="Times New Roman"/>
          <w:sz w:val="24"/>
          <w:szCs w:val="24"/>
        </w:rPr>
        <w:t>, hare, the Hartebeest and the Rhinoceros. This could be that this species consumed plants with distinctive β factor</w:t>
      </w:r>
      <w:r w:rsidR="00517687">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{"citationID":"a1dhstvb8nl","properties":{"formattedCitation":"\\super 84\\nosupersub{}","plainCitation":"84","noteIndex":0},"citationItems":[{"id":86,"uris":["http://zotero.org/users/7125028/items/I74ZTZ8K"],"itemData":{"id":86,"type":"article-journal","abstract":"This study provides a refined view on the diet and ecological niche of Neanderthals. The traditional view is that Neanderthals obtained most of their dietary protein from terrestrial animals, especially from large herbivores that roamed the open landscapes. Evidence based on the conventional carbon and nitrogen isotopic composition of bulk collagen has supported this view, although recent findings based on plant remains in the tooth calculus, microwear analyses, and small game and marine animal remains from archaeological sites have raised some questions regarding this assumption. However, the lack of a protein source other than meat in the Neanderthal diet may be due to methodological difficulties in defining the isotopic composition of plants. Based on the nitrogen isotopic composition of glutamic acid and phenylalanine in collagen for Neanderthals from Spy Cave (Belgium), we show that i) there was an inter-individual dietary heterogeneity even within one archaeological site that has not been evident in bulk collagen isotopic compositions, ii) they occupied an ecological niche different from those of hyenas, and iii) they could rely on plants for up to </w:instrText>
      </w:r>
      <w:r w:rsidR="000E7E53">
        <w:rPr>
          <w:rFonts w:ascii="Cambria Math" w:eastAsia="Times New Roman" w:hAnsi="Cambria Math" w:cs="Cambria Math"/>
          <w:sz w:val="24"/>
          <w:szCs w:val="24"/>
        </w:rPr>
        <w:instrText>∼</w:instrText>
      </w:r>
      <w:r w:rsidR="000E7E53">
        <w:rPr>
          <w:rFonts w:ascii="Times New Roman" w:eastAsia="Times New Roman" w:hAnsi="Times New Roman" w:cs="Times New Roman"/>
          <w:sz w:val="24"/>
          <w:szCs w:val="24"/>
        </w:rPr>
        <w:instrText xml:space="preserve">20% of their protein source. These results are consistent with the evidence found of plant consumption by the Spy Neanderthals, suggesting a broader subsistence strategy than previously considered.","container-title":"Journal of Human Evolution","DOI":"10.1016/j.jhevol.2016.01.009","ISSN":"0047-2484","journalAbbreviation":"Journal of Human Evolution","language":"en","page":"82-90","source":"ScienceDirect","title":"Ecological niche of Neanderthals from Spy Cave revealed by nitrogen isotopes of individual amino acids in collagen","volume":"93","author":[{"family":"Naito","given":"Yuichi I."},{"family":"Chikaraishi","given":"Yoshito"},{"family":"Drucker","given":"Dorothée G."},{"family":"Ohkouchi","given":"Naohiko"},{"family":"Semal","given":"Patrick"},{"family":"Wißing","given":"Christoph"},{"family":"Bocherens","given":"Hervé"}],"issued":{"date-parts":[["2016",4,1]]}}}],"schema":"https://github.com/citation-style-language/schema/raw/master/csl-citation.json"} </w:instrText>
      </w:r>
      <w:r w:rsidR="00517687">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84</w:t>
      </w:r>
      <w:r w:rsidR="00517687">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It is unlikely that the TP of 2.3 represents suckling effect especially for the hare with a δ</w:t>
      </w:r>
      <w:r>
        <w:rPr>
          <w:rFonts w:ascii="Times New Roman" w:eastAsia="Times New Roman" w:hAnsi="Times New Roman" w:cs="Times New Roman"/>
          <w:sz w:val="24"/>
          <w:szCs w:val="24"/>
          <w:vertAlign w:val="superscript"/>
        </w:rPr>
        <w:t>15</w:t>
      </w:r>
      <w:r>
        <w:rPr>
          <w:rFonts w:ascii="Times New Roman" w:eastAsia="Times New Roman" w:hAnsi="Times New Roman" w:cs="Times New Roman"/>
          <w:sz w:val="24"/>
          <w:szCs w:val="24"/>
        </w:rPr>
        <w:t>N</w:t>
      </w:r>
      <w:r>
        <w:rPr>
          <w:rFonts w:ascii="Times New Roman" w:eastAsia="Times New Roman" w:hAnsi="Times New Roman" w:cs="Times New Roman"/>
          <w:sz w:val="24"/>
          <w:szCs w:val="24"/>
          <w:vertAlign w:val="subscript"/>
        </w:rPr>
        <w:t>bulk</w:t>
      </w:r>
      <w:r>
        <w:rPr>
          <w:rFonts w:ascii="Times New Roman" w:eastAsia="Times New Roman" w:hAnsi="Times New Roman" w:cs="Times New Roman"/>
          <w:sz w:val="24"/>
          <w:szCs w:val="24"/>
        </w:rPr>
        <w:t xml:space="preserve"> of 6‰. </w:t>
      </w:r>
      <w:bookmarkEnd w:id="57"/>
    </w:p>
    <w:p w14:paraId="210F811A" w14:textId="77777777" w:rsidR="00981E8C" w:rsidRDefault="00981E8C" w:rsidP="001A7BFF">
      <w:pPr>
        <w:spacing w:after="0" w:line="360" w:lineRule="auto"/>
        <w:rPr>
          <w:rFonts w:ascii="Times New Roman" w:eastAsia="Times New Roman" w:hAnsi="Times New Roman" w:cs="Times New Roman"/>
          <w:sz w:val="24"/>
          <w:szCs w:val="24"/>
        </w:rPr>
      </w:pPr>
    </w:p>
    <w:p w14:paraId="434B41E0" w14:textId="30DEFFAA" w:rsidR="001A7BFF" w:rsidRDefault="001A7BFF" w:rsidP="001925CC">
      <w:pPr>
        <w:spacing w:after="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The TP of the canid</w:t>
      </w:r>
      <w:r w:rsidR="00D3144A">
        <w:rPr>
          <w:rFonts w:ascii="Times New Roman" w:eastAsia="Times New Roman" w:hAnsi="Times New Roman" w:cs="Times New Roman"/>
          <w:sz w:val="24"/>
          <w:szCs w:val="24"/>
        </w:rPr>
        <w:t xml:space="preserve"> and the fox</w:t>
      </w:r>
      <w:r w:rsidRPr="00D70D43">
        <w:rPr>
          <w:rFonts w:ascii="Times New Roman" w:eastAsia="Times New Roman" w:hAnsi="Times New Roman" w:cs="Times New Roman"/>
          <w:sz w:val="24"/>
          <w:szCs w:val="24"/>
        </w:rPr>
        <w:t xml:space="preserve"> are</w:t>
      </w:r>
      <w:r w:rsidR="00D3144A">
        <w:rPr>
          <w:rFonts w:ascii="Times New Roman" w:eastAsia="Times New Roman" w:hAnsi="Times New Roman" w:cs="Times New Roman"/>
          <w:sz w:val="24"/>
          <w:szCs w:val="24"/>
        </w:rPr>
        <w:t xml:space="preserve"> respectively</w:t>
      </w:r>
      <w:r w:rsidRPr="00D70D43">
        <w:rPr>
          <w:rFonts w:ascii="Times New Roman" w:eastAsia="Times New Roman" w:hAnsi="Times New Roman" w:cs="Times New Roman"/>
          <w:sz w:val="24"/>
          <w:szCs w:val="24"/>
        </w:rPr>
        <w:t xml:space="preserve"> 2.9 and 2.7 (av=2.8) which is a little below the theoretical value of pure carnivores (TP=3) and could be explained by the opportunistic feeding </w:t>
      </w:r>
      <w:r w:rsidRPr="00D70D43">
        <w:rPr>
          <w:rFonts w:ascii="Times New Roman" w:eastAsia="Times New Roman" w:hAnsi="Times New Roman" w:cs="Times New Roman"/>
          <w:sz w:val="24"/>
          <w:szCs w:val="24"/>
        </w:rPr>
        <w:lastRenderedPageBreak/>
        <w:t xml:space="preserve">habits of </w:t>
      </w:r>
      <w:r w:rsidR="00D3144A">
        <w:rPr>
          <w:rFonts w:ascii="Times New Roman" w:eastAsia="Times New Roman" w:hAnsi="Times New Roman" w:cs="Times New Roman"/>
          <w:sz w:val="24"/>
          <w:szCs w:val="24"/>
        </w:rPr>
        <w:t>foxes</w:t>
      </w:r>
      <w:r w:rsidR="00082FE2">
        <w:rPr>
          <w:rFonts w:ascii="Times New Roman" w:eastAsia="Times New Roman" w:hAnsi="Times New Roman" w:cs="Times New Roman"/>
          <w:sz w:val="24"/>
          <w:szCs w:val="24"/>
        </w:rPr>
        <w:t xml:space="preserve">. </w:t>
      </w:r>
      <w:r w:rsidR="00BE6CCC">
        <w:rPr>
          <w:rFonts w:ascii="Times New Roman" w:eastAsia="Times New Roman" w:hAnsi="Times New Roman" w:cs="Times New Roman"/>
          <w:sz w:val="24"/>
          <w:szCs w:val="24"/>
        </w:rPr>
        <w:t xml:space="preserve">The second carnivore was only identified using traditional zooarchaeology as a canid. </w:t>
      </w:r>
      <w:r w:rsidR="001C6C7B" w:rsidRPr="00F26517">
        <w:rPr>
          <w:rFonts w:ascii="Times New Roman" w:eastAsia="Times New Roman" w:hAnsi="Times New Roman" w:cs="Times New Roman"/>
          <w:sz w:val="24"/>
          <w:szCs w:val="24"/>
        </w:rPr>
        <w:t xml:space="preserve">We should mention that </w:t>
      </w:r>
      <w:r w:rsidR="001C6C7B">
        <w:rPr>
          <w:rFonts w:ascii="Times New Roman" w:eastAsia="Times New Roman" w:hAnsi="Times New Roman" w:cs="Times New Roman"/>
          <w:sz w:val="24"/>
          <w:szCs w:val="24"/>
        </w:rPr>
        <w:t xml:space="preserve">the golden </w:t>
      </w:r>
      <w:r w:rsidR="001C6C7B" w:rsidRPr="000653E0">
        <w:rPr>
          <w:rFonts w:asciiTheme="majorBidi" w:eastAsia="Times New Roman" w:hAnsiTheme="majorBidi" w:cstheme="majorBidi"/>
          <w:sz w:val="24"/>
          <w:szCs w:val="24"/>
        </w:rPr>
        <w:t>jackal (</w:t>
      </w:r>
      <w:proofErr w:type="spellStart"/>
      <w:r w:rsidR="001C6C7B" w:rsidRPr="000653E0">
        <w:rPr>
          <w:rFonts w:asciiTheme="majorBidi" w:hAnsiTheme="majorBidi" w:cstheme="majorBidi"/>
          <w:i/>
        </w:rPr>
        <w:t>Canis</w:t>
      </w:r>
      <w:proofErr w:type="spellEnd"/>
      <w:r w:rsidR="001C6C7B" w:rsidRPr="000653E0">
        <w:rPr>
          <w:rFonts w:asciiTheme="majorBidi" w:hAnsiTheme="majorBidi" w:cstheme="majorBidi"/>
          <w:i/>
        </w:rPr>
        <w:t xml:space="preserve"> aureus</w:t>
      </w:r>
      <w:r w:rsidR="001C6C7B" w:rsidRPr="000653E0">
        <w:rPr>
          <w:rFonts w:asciiTheme="majorBidi" w:eastAsia="Times New Roman" w:hAnsiTheme="majorBidi" w:cstheme="majorBidi"/>
          <w:sz w:val="24"/>
          <w:szCs w:val="24"/>
        </w:rPr>
        <w:t>) is</w:t>
      </w:r>
      <w:r w:rsidR="001C6C7B">
        <w:rPr>
          <w:rFonts w:ascii="Times New Roman" w:eastAsia="Times New Roman" w:hAnsi="Times New Roman" w:cs="Times New Roman"/>
          <w:sz w:val="24"/>
          <w:szCs w:val="24"/>
        </w:rPr>
        <w:t xml:space="preserve"> the most common Canidae in North Africa. Therefore, we </w:t>
      </w:r>
      <w:r w:rsidR="008B704D">
        <w:rPr>
          <w:rFonts w:ascii="Times New Roman" w:eastAsia="Times New Roman" w:hAnsi="Times New Roman" w:cs="Times New Roman"/>
          <w:sz w:val="24"/>
          <w:szCs w:val="24"/>
        </w:rPr>
        <w:t xml:space="preserve">assume </w:t>
      </w:r>
      <w:r w:rsidR="001C6C7B">
        <w:rPr>
          <w:rFonts w:ascii="Times New Roman" w:eastAsia="Times New Roman" w:hAnsi="Times New Roman" w:cs="Times New Roman"/>
          <w:sz w:val="24"/>
          <w:szCs w:val="24"/>
        </w:rPr>
        <w:t xml:space="preserve">that our specimen corresponds to this species. </w:t>
      </w:r>
      <w:r w:rsidR="00BE6CCC">
        <w:rPr>
          <w:rFonts w:ascii="Times New Roman" w:eastAsia="Times New Roman" w:hAnsi="Times New Roman" w:cs="Times New Roman"/>
          <w:sz w:val="24"/>
          <w:szCs w:val="24"/>
        </w:rPr>
        <w:t xml:space="preserve">The diet of the golden jackal </w:t>
      </w:r>
      <w:r w:rsidR="00BE6CCC" w:rsidRPr="00F26517">
        <w:rPr>
          <w:rFonts w:ascii="Times New Roman" w:eastAsia="Times New Roman" w:hAnsi="Times New Roman" w:cs="Times New Roman"/>
          <w:sz w:val="24"/>
          <w:szCs w:val="24"/>
        </w:rPr>
        <w:t xml:space="preserve">consists primarily </w:t>
      </w:r>
      <w:r w:rsidR="00807640">
        <w:rPr>
          <w:rFonts w:ascii="Times New Roman" w:eastAsia="Times New Roman" w:hAnsi="Times New Roman" w:cs="Times New Roman"/>
          <w:sz w:val="24"/>
          <w:szCs w:val="24"/>
        </w:rPr>
        <w:t>of</w:t>
      </w:r>
      <w:r w:rsidR="00BE6CCC" w:rsidRPr="00F26517">
        <w:rPr>
          <w:rFonts w:ascii="Times New Roman" w:eastAsia="Times New Roman" w:hAnsi="Times New Roman" w:cs="Times New Roman"/>
          <w:sz w:val="24"/>
          <w:szCs w:val="24"/>
        </w:rPr>
        <w:t xml:space="preserve"> small games (</w:t>
      </w:r>
      <w:proofErr w:type="spellStart"/>
      <w:r w:rsidR="00BE6CCC" w:rsidRPr="00F26517">
        <w:rPr>
          <w:rFonts w:ascii="Times New Roman" w:eastAsia="Times New Roman" w:hAnsi="Times New Roman" w:cs="Times New Roman"/>
          <w:sz w:val="24"/>
          <w:szCs w:val="24"/>
        </w:rPr>
        <w:t>e.g</w:t>
      </w:r>
      <w:proofErr w:type="spellEnd"/>
      <w:r w:rsidR="00BE6CCC" w:rsidRPr="00F26517">
        <w:rPr>
          <w:rFonts w:ascii="Times New Roman" w:eastAsia="Times New Roman" w:hAnsi="Times New Roman" w:cs="Times New Roman"/>
          <w:sz w:val="24"/>
          <w:szCs w:val="24"/>
        </w:rPr>
        <w:t xml:space="preserve"> rodents, birds, hares</w:t>
      </w:r>
      <w:r w:rsidR="00BE6CCC">
        <w:rPr>
          <w:rFonts w:ascii="Times New Roman" w:eastAsia="Times New Roman" w:hAnsi="Times New Roman" w:cs="Times New Roman"/>
          <w:sz w:val="24"/>
          <w:szCs w:val="24"/>
        </w:rPr>
        <w:t>..</w:t>
      </w:r>
      <w:proofErr w:type="spellStart"/>
      <w:r w:rsidR="00BE6CCC">
        <w:rPr>
          <w:rFonts w:ascii="Times New Roman" w:eastAsia="Times New Roman" w:hAnsi="Times New Roman" w:cs="Times New Roman"/>
          <w:sz w:val="24"/>
          <w:szCs w:val="24"/>
        </w:rPr>
        <w:t>etc</w:t>
      </w:r>
      <w:proofErr w:type="spellEnd"/>
      <w:r w:rsidR="00BE6CCC" w:rsidRPr="00F26517">
        <w:rPr>
          <w:rFonts w:ascii="Times New Roman" w:eastAsia="Times New Roman" w:hAnsi="Times New Roman" w:cs="Times New Roman"/>
          <w:sz w:val="24"/>
          <w:szCs w:val="24"/>
        </w:rPr>
        <w:t xml:space="preserve">) </w:t>
      </w:r>
      <w:r w:rsidR="00BE6CCC">
        <w:rPr>
          <w:rFonts w:ascii="Times New Roman" w:eastAsia="Times New Roman" w:hAnsi="Times New Roman" w:cs="Times New Roman"/>
          <w:sz w:val="24"/>
          <w:szCs w:val="24"/>
        </w:rPr>
        <w:t>and occasionally include fruits</w:t>
      </w:r>
      <w:r w:rsidR="007B1507">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{"citationID":"drGEoLEb","properties":{"formattedCitation":"\\super 47,85\\nosupersub{}","plainCitation":"47,85","noteIndex":0},"citationItems":[{"id":754,"uris":["http://zotero.org/users/7125028/items/2CBMR3ED"],"itemData":{"id":754,"type":"article-journal","container-title":"Canids: Foxes, Wolves, Jackals and Dogs","journalAbbreviation":"Canids: Foxes, Wolves, Jackals and Dogs","page":"156-161","source":"ResearchGate","title":"Golden jackal (Canis aureus)","author":[{"family":"Jhala","given":"Yadvendradev"},{"family":"Moehlman","given":"Patricia"}],"issued":{"date-parts":[["2004",1,1]]}}},{"id":639,"uris":["http://zotero.org/users/7125028/items/CXS5YKHS"],"itemData":{"id":639,"type":"article-journal","abstract":"Species are characterized by physiological, behavioral, and ecological attributes that are all subject to varying evolutionary and ecological constraints and jointly determine species' role and function in ecosystems. Attributes such as diet, foraging strata, foraging time, and body size, in particular, characterize a large portion of the “Eltonian” niches of species. Here we present a global species-level compilation of these key attributes for all 9993 and 5400 extant bird and mammal species derived from key literature sources. Global handbooks and monographs allowed the consistent sourcing of attributes for most species. For diet and foraging stratum we followed a defined protocol to translate the verbal descriptions into standardized, semiquantitative information about relative importance of different categories. Together with body size (continuous) and activity time (categorical) this enables a much finer distinction of species' foraging ecology than typical categorical guild assignments allow. Attributes lacking information for specific species are flagged, and interpolated values based on taxonomy are provided instead. The presented data set is limited by, among others, these select cases missing observed data, by errors and uncertainty in the expert assessment as presented in the literature, and by the lack of intraspecific information. However, the standardized and transparent nature and complete global coverage of the data set should support an array of potential studies in biogeography, community ecology, macroevolution, global change biology, and conservation. Potential uses include comparative work involving these traits as focal or secondary variables, ecological research on the trait or trophic structure of communities, or conservation science concerned with the loss of function among species or in ecosystems in a changing world. We hope that this publication will spur the sharing, collaborative curation, and extension of data to the benefit of a more integrative, rigorous, and global biodiversity science.","container-title":"Ecology","DOI":"10.1890/13-1917.1","journalAbbreviation":"Ecology","page":"2027-2027","source":"ResearchGate","title":"EltonTraits 1.0: Species-level foraging attributes of the world's birds and mammals","title-short":"EltonTraits 1.0","volume":"95","author":[{"family":"Wilman","given":"Hamish"},{"family":"Belmaker","given":"Jonathan"},{"family":"Simpson","given":"Jennifer"},{"family":"Rosa","given":"Carolina"},{"family":"Rivadeneira","given":"Marcelo"},{"family":"Jetz","given":"Walter"}],"issued":{"date-parts":[["2014",7,1]]}}}],"schema":"https://github.com/citation-style-language/schema/raw/master/csl-citation.json"} </w:instrText>
      </w:r>
      <w:r w:rsidR="007B1507">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47,85</w:t>
      </w:r>
      <w:r w:rsidR="007B1507">
        <w:rPr>
          <w:rFonts w:ascii="Times New Roman" w:eastAsia="Times New Roman" w:hAnsi="Times New Roman" w:cs="Times New Roman"/>
          <w:sz w:val="24"/>
          <w:szCs w:val="24"/>
        </w:rPr>
        <w:fldChar w:fldCharType="end"/>
      </w:r>
      <w:r w:rsidR="00BE6CCC">
        <w:rPr>
          <w:rFonts w:ascii="Times New Roman" w:eastAsia="Times New Roman" w:hAnsi="Times New Roman" w:cs="Times New Roman"/>
          <w:sz w:val="24"/>
          <w:szCs w:val="24"/>
        </w:rPr>
        <w:t xml:space="preserve"> </w:t>
      </w:r>
    </w:p>
    <w:p w14:paraId="1967D749" w14:textId="77777777" w:rsidR="007E5A6F" w:rsidRDefault="007E5A6F" w:rsidP="001A7BFF">
      <w:pPr>
        <w:spacing w:after="0" w:line="360" w:lineRule="auto"/>
        <w:rPr>
          <w:rFonts w:ascii="Times New Roman" w:eastAsia="Times New Roman" w:hAnsi="Times New Roman" w:cs="Times New Roman"/>
          <w:sz w:val="24"/>
          <w:szCs w:val="24"/>
        </w:rPr>
      </w:pPr>
    </w:p>
    <w:p w14:paraId="685C3403" w14:textId="2F6CA4EA" w:rsidR="004A5CF6" w:rsidRPr="003C7995" w:rsidRDefault="004A5CF6" w:rsidP="001925CC">
      <w:pPr>
        <w:spacing w:after="0" w:line="360" w:lineRule="auto"/>
        <w:ind w:firstLine="720"/>
        <w:rPr>
          <w:rFonts w:ascii="Times New Roman" w:eastAsia="Times New Roman" w:hAnsi="Times New Roman" w:cs="Times New Roman"/>
          <w:i/>
          <w:sz w:val="24"/>
          <w:szCs w:val="24"/>
          <w:u w:val="single"/>
        </w:rPr>
      </w:pPr>
      <w:r w:rsidRPr="003C7995">
        <w:rPr>
          <w:rFonts w:ascii="Times New Roman" w:eastAsia="Times New Roman" w:hAnsi="Times New Roman" w:cs="Times New Roman"/>
          <w:i/>
          <w:sz w:val="24"/>
          <w:szCs w:val="24"/>
          <w:u w:val="single"/>
        </w:rPr>
        <w:t xml:space="preserve">b. </w:t>
      </w:r>
      <w:r w:rsidR="00807640">
        <w:rPr>
          <w:rFonts w:ascii="Times New Roman" w:eastAsia="Times New Roman" w:hAnsi="Times New Roman" w:cs="Times New Roman"/>
          <w:i/>
          <w:sz w:val="24"/>
          <w:szCs w:val="24"/>
          <w:u w:val="single"/>
        </w:rPr>
        <w:t>T</w:t>
      </w:r>
      <w:r w:rsidR="001925CC">
        <w:rPr>
          <w:rFonts w:ascii="Times New Roman" w:eastAsia="Times New Roman" w:hAnsi="Times New Roman" w:cs="Times New Roman"/>
          <w:i/>
          <w:sz w:val="24"/>
          <w:szCs w:val="24"/>
          <w:u w:val="single"/>
        </w:rPr>
        <w:t>rophic level</w:t>
      </w:r>
      <w:r w:rsidR="00807640">
        <w:rPr>
          <w:rFonts w:ascii="Times New Roman" w:eastAsia="Times New Roman" w:hAnsi="Times New Roman" w:cs="Times New Roman"/>
          <w:i/>
          <w:sz w:val="24"/>
          <w:szCs w:val="24"/>
          <w:u w:val="single"/>
        </w:rPr>
        <w:t>s of the humans</w:t>
      </w:r>
    </w:p>
    <w:p w14:paraId="392B0D4F" w14:textId="79D47070" w:rsidR="001A7BFF" w:rsidRPr="00D70D43" w:rsidRDefault="001A7BFF" w:rsidP="001925CC">
      <w:pPr>
        <w:spacing w:after="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The TP of human adults range from 2.7 to 2.2 (average 2.5</w:t>
      </w:r>
      <w:r w:rsidR="00C3164E">
        <w:rPr>
          <w:rFonts w:ascii="Times New Roman" w:eastAsia="Times New Roman" w:hAnsi="Times New Roman" w:cs="Times New Roman"/>
          <w:sz w:val="24"/>
          <w:szCs w:val="24"/>
        </w:rPr>
        <w:t>±0.2</w:t>
      </w:r>
      <w:r w:rsidRPr="00D70D43">
        <w:rPr>
          <w:rFonts w:ascii="Times New Roman" w:eastAsia="Times New Roman" w:hAnsi="Times New Roman" w:cs="Times New Roman"/>
          <w:sz w:val="24"/>
          <w:szCs w:val="24"/>
        </w:rPr>
        <w:t xml:space="preserve">), while the infants have higher TP values 2.9- 2.5. The Ind.1 bone and an unassigned I2 showed a surprisingly low TP (2.2), indicating an exclusive vegetarian diet and that only 20% of his dietary protein coming from meat. </w:t>
      </w:r>
    </w:p>
    <w:p w14:paraId="43AA6EDC" w14:textId="7602E091" w:rsidR="001A7BFF" w:rsidRDefault="001A7BFF" w:rsidP="001925CC">
      <w:pPr>
        <w:spacing w:after="0" w:line="360" w:lineRule="auto"/>
        <w:jc w:val="both"/>
        <w:rPr>
          <w:rFonts w:ascii="Times New Roman" w:eastAsia="Times New Roman" w:hAnsi="Times New Roman" w:cs="Times New Roman"/>
          <w:sz w:val="24"/>
          <w:szCs w:val="24"/>
          <w:highlight w:val="white"/>
        </w:rPr>
      </w:pPr>
      <w:r w:rsidRPr="00D70D43">
        <w:rPr>
          <w:rFonts w:ascii="Times New Roman" w:eastAsia="Times New Roman" w:hAnsi="Times New Roman" w:cs="Times New Roman"/>
          <w:sz w:val="24"/>
          <w:szCs w:val="24"/>
          <w:highlight w:val="white"/>
        </w:rPr>
        <w:t xml:space="preserve">There is a strong negative correlation between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w:t>
      </w:r>
      <w:r w:rsidRPr="00D70D43">
        <w:rPr>
          <w:rFonts w:ascii="Times New Roman" w:eastAsia="Times New Roman" w:hAnsi="Times New Roman" w:cs="Times New Roman"/>
          <w:sz w:val="24"/>
          <w:szCs w:val="24"/>
          <w:highlight w:val="white"/>
        </w:rPr>
        <w:t xml:space="preserve"> and trophic position (TP) (r = -0.73, R</w:t>
      </w:r>
      <w:r w:rsidRPr="00D70D43">
        <w:rPr>
          <w:rFonts w:ascii="Times New Roman" w:eastAsia="Times New Roman" w:hAnsi="Times New Roman" w:cs="Times New Roman"/>
          <w:sz w:val="24"/>
          <w:szCs w:val="24"/>
          <w:highlight w:val="white"/>
          <w:vertAlign w:val="superscript"/>
        </w:rPr>
        <w:t>2</w:t>
      </w:r>
      <w:r w:rsidRPr="00D70D43">
        <w:rPr>
          <w:rFonts w:ascii="Times New Roman" w:eastAsia="Times New Roman" w:hAnsi="Times New Roman" w:cs="Times New Roman"/>
          <w:sz w:val="24"/>
          <w:szCs w:val="24"/>
          <w:highlight w:val="white"/>
        </w:rPr>
        <w:t xml:space="preserve">= 0.51, p-value&lt;0.05). However, if we exclude the infants the correlation of TP with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w:t>
      </w:r>
      <w:r w:rsidRPr="00D70D43">
        <w:rPr>
          <w:rFonts w:ascii="Times New Roman" w:eastAsia="Times New Roman" w:hAnsi="Times New Roman" w:cs="Times New Roman"/>
          <w:sz w:val="24"/>
          <w:szCs w:val="24"/>
          <w:highlight w:val="white"/>
        </w:rPr>
        <w:t>(r = -0.78, R</w:t>
      </w:r>
      <w:r w:rsidRPr="00D70D43">
        <w:rPr>
          <w:rFonts w:ascii="Times New Roman" w:eastAsia="Times New Roman" w:hAnsi="Times New Roman" w:cs="Times New Roman"/>
          <w:sz w:val="24"/>
          <w:szCs w:val="24"/>
          <w:highlight w:val="white"/>
          <w:vertAlign w:val="superscript"/>
        </w:rPr>
        <w:t>2</w:t>
      </w:r>
      <w:r w:rsidRPr="00D70D43">
        <w:rPr>
          <w:rFonts w:ascii="Times New Roman" w:eastAsia="Times New Roman" w:hAnsi="Times New Roman" w:cs="Times New Roman"/>
          <w:sz w:val="24"/>
          <w:szCs w:val="24"/>
          <w:highlight w:val="white"/>
        </w:rPr>
        <w:t>= 0.59, p-value&lt;0.05) is even stronger than with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 xml:space="preserve">N </w:t>
      </w:r>
      <w:r w:rsidRPr="00D70D43">
        <w:rPr>
          <w:rFonts w:ascii="Times New Roman" w:eastAsia="Times New Roman" w:hAnsi="Times New Roman" w:cs="Times New Roman"/>
          <w:sz w:val="24"/>
          <w:szCs w:val="24"/>
          <w:highlight w:val="white"/>
          <w:vertAlign w:val="subscript"/>
        </w:rPr>
        <w:t xml:space="preserve">bulk </w:t>
      </w:r>
      <w:r w:rsidRPr="00D70D43">
        <w:rPr>
          <w:rFonts w:ascii="Times New Roman" w:eastAsia="Times New Roman" w:hAnsi="Times New Roman" w:cs="Times New Roman"/>
          <w:sz w:val="24"/>
          <w:szCs w:val="24"/>
          <w:highlight w:val="white"/>
        </w:rPr>
        <w:t>(r =0.69, R</w:t>
      </w:r>
      <w:r w:rsidRPr="00D70D43">
        <w:rPr>
          <w:rFonts w:ascii="Times New Roman" w:eastAsia="Times New Roman" w:hAnsi="Times New Roman" w:cs="Times New Roman"/>
          <w:sz w:val="24"/>
          <w:szCs w:val="24"/>
          <w:highlight w:val="white"/>
          <w:vertAlign w:val="superscript"/>
        </w:rPr>
        <w:t>2</w:t>
      </w:r>
      <w:r w:rsidRPr="00D70D43">
        <w:rPr>
          <w:rFonts w:ascii="Times New Roman" w:eastAsia="Times New Roman" w:hAnsi="Times New Roman" w:cs="Times New Roman"/>
          <w:sz w:val="24"/>
          <w:szCs w:val="24"/>
          <w:highlight w:val="white"/>
        </w:rPr>
        <w:t xml:space="preserve">=0.45, p-value&lt;0.05). The carnivores overlap with the humans and some herbivores in the N from bulk collagen while with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w:t>
      </w:r>
      <w:r w:rsidRPr="00D70D43">
        <w:rPr>
          <w:rFonts w:ascii="Times New Roman" w:eastAsia="Times New Roman" w:hAnsi="Times New Roman" w:cs="Times New Roman"/>
          <w:sz w:val="24"/>
          <w:szCs w:val="24"/>
          <w:highlight w:val="white"/>
        </w:rPr>
        <w:t xml:space="preserve"> and 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w:t>
      </w:r>
      <w:r w:rsidRPr="00D70D43">
        <w:rPr>
          <w:rFonts w:ascii="Times New Roman" w:eastAsia="Times New Roman" w:hAnsi="Times New Roman" w:cs="Times New Roman"/>
          <w:sz w:val="24"/>
          <w:szCs w:val="24"/>
          <w:highlight w:val="white"/>
        </w:rPr>
        <w:t xml:space="preserve"> on amino acids, the canids have clearly a higher trophic level than the humans. This indicates that Zn is less impacted by the baseline effect</w:t>
      </w:r>
      <w:r w:rsidR="0047709D">
        <w:rPr>
          <w:rFonts w:ascii="Times New Roman" w:eastAsia="Times New Roman" w:hAnsi="Times New Roman" w:cs="Times New Roman"/>
          <w:sz w:val="24"/>
          <w:szCs w:val="24"/>
          <w:highlight w:val="white"/>
        </w:rPr>
        <w:t xml:space="preserve"> than nitrogen </w:t>
      </w:r>
      <w:r w:rsidR="007E5A6F">
        <w:rPr>
          <w:rFonts w:ascii="Times New Roman" w:eastAsia="Times New Roman" w:hAnsi="Times New Roman" w:cs="Times New Roman"/>
          <w:sz w:val="24"/>
          <w:szCs w:val="24"/>
          <w:highlight w:val="white"/>
        </w:rPr>
        <w:t xml:space="preserve">isotopes </w:t>
      </w:r>
      <w:r w:rsidR="007E5A6F" w:rsidRPr="00D70D43">
        <w:rPr>
          <w:rFonts w:ascii="Times New Roman" w:eastAsia="Times New Roman" w:hAnsi="Times New Roman" w:cs="Times New Roman"/>
          <w:sz w:val="24"/>
          <w:szCs w:val="24"/>
          <w:highlight w:val="white"/>
        </w:rPr>
        <w:t>(</w:t>
      </w:r>
      <w:r w:rsidRPr="00D70D43">
        <w:rPr>
          <w:rFonts w:ascii="Times New Roman" w:eastAsia="Times New Roman" w:hAnsi="Times New Roman" w:cs="Times New Roman"/>
          <w:sz w:val="24"/>
          <w:szCs w:val="24"/>
          <w:highlight w:val="white"/>
        </w:rPr>
        <w:t>Figure</w:t>
      </w:r>
      <w:r w:rsidR="00D870BC">
        <w:rPr>
          <w:rFonts w:ascii="Times New Roman" w:eastAsia="Times New Roman" w:hAnsi="Times New Roman" w:cs="Times New Roman"/>
          <w:sz w:val="24"/>
          <w:szCs w:val="24"/>
          <w:highlight w:val="white"/>
        </w:rPr>
        <w:t xml:space="preserve"> 2</w:t>
      </w:r>
      <w:r w:rsidR="001B155C">
        <w:rPr>
          <w:rFonts w:ascii="Times New Roman" w:eastAsia="Times New Roman" w:hAnsi="Times New Roman" w:cs="Times New Roman"/>
          <w:sz w:val="24"/>
          <w:szCs w:val="24"/>
          <w:highlight w:val="white"/>
        </w:rPr>
        <w:t xml:space="preserve"> main </w:t>
      </w:r>
      <w:proofErr w:type="gramStart"/>
      <w:r w:rsidR="001B155C">
        <w:rPr>
          <w:rFonts w:ascii="Times New Roman" w:eastAsia="Times New Roman" w:hAnsi="Times New Roman" w:cs="Times New Roman"/>
          <w:sz w:val="24"/>
          <w:szCs w:val="24"/>
          <w:highlight w:val="white"/>
        </w:rPr>
        <w:t>paper</w:t>
      </w:r>
      <w:r w:rsidRPr="00D70D43">
        <w:rPr>
          <w:rFonts w:ascii="Times New Roman" w:eastAsia="Times New Roman" w:hAnsi="Times New Roman" w:cs="Times New Roman"/>
          <w:sz w:val="24"/>
          <w:szCs w:val="24"/>
          <w:highlight w:val="white"/>
        </w:rPr>
        <w:t xml:space="preserve"> )</w:t>
      </w:r>
      <w:proofErr w:type="gramEnd"/>
      <w:r w:rsidRPr="00D70D43">
        <w:rPr>
          <w:rFonts w:ascii="Times New Roman" w:eastAsia="Times New Roman" w:hAnsi="Times New Roman" w:cs="Times New Roman"/>
          <w:sz w:val="24"/>
          <w:szCs w:val="24"/>
          <w:highlight w:val="white"/>
        </w:rPr>
        <w:t>.</w:t>
      </w:r>
    </w:p>
    <w:p w14:paraId="53653FBB" w14:textId="77777777" w:rsidR="001925CC" w:rsidRDefault="001925CC" w:rsidP="001925CC">
      <w:pPr>
        <w:spacing w:after="0" w:line="360" w:lineRule="auto"/>
        <w:jc w:val="both"/>
        <w:rPr>
          <w:rFonts w:ascii="Times New Roman" w:eastAsia="Times New Roman" w:hAnsi="Times New Roman" w:cs="Times New Roman"/>
          <w:sz w:val="24"/>
          <w:szCs w:val="24"/>
          <w:highlight w:val="white"/>
        </w:rPr>
      </w:pPr>
    </w:p>
    <w:p w14:paraId="5F7A302D" w14:textId="7E2CA747" w:rsidR="001925CC" w:rsidRPr="0064579A" w:rsidRDefault="001925CC" w:rsidP="001925CC">
      <w:pPr>
        <w:rPr>
          <w:rFonts w:ascii="Times New Roman" w:hAnsi="Times New Roman" w:cs="Times New Roman"/>
          <w:b/>
          <w:i/>
          <w:sz w:val="24"/>
          <w:szCs w:val="24"/>
        </w:rPr>
      </w:pPr>
      <w:bookmarkStart w:id="58" w:name="_Hlk121127809"/>
      <w:r w:rsidRPr="0064579A">
        <w:rPr>
          <w:rFonts w:ascii="Times New Roman" w:hAnsi="Times New Roman" w:cs="Times New Roman"/>
          <w:b/>
          <w:i/>
          <w:sz w:val="24"/>
          <w:szCs w:val="24"/>
        </w:rPr>
        <w:t>4.5 Strontium</w:t>
      </w:r>
      <w:r w:rsidR="008B704D">
        <w:rPr>
          <w:rFonts w:ascii="Times New Roman" w:hAnsi="Times New Roman" w:cs="Times New Roman"/>
          <w:b/>
          <w:i/>
          <w:sz w:val="24"/>
          <w:szCs w:val="24"/>
        </w:rPr>
        <w:t xml:space="preserve"> isotope</w:t>
      </w:r>
      <w:r w:rsidRPr="0064579A">
        <w:rPr>
          <w:rFonts w:ascii="Times New Roman" w:hAnsi="Times New Roman" w:cs="Times New Roman"/>
          <w:b/>
          <w:i/>
          <w:sz w:val="24"/>
          <w:szCs w:val="24"/>
        </w:rPr>
        <w:t xml:space="preserve"> data</w:t>
      </w:r>
    </w:p>
    <w:bookmarkEnd w:id="58"/>
    <w:p w14:paraId="6D970CFB" w14:textId="7912E886" w:rsidR="001925CC" w:rsidRPr="00D70D43" w:rsidRDefault="001925CC" w:rsidP="001925CC">
      <w:pPr>
        <w:spacing w:after="0" w:line="360" w:lineRule="auto"/>
        <w:jc w:val="both"/>
        <w:rPr>
          <w:rFonts w:ascii="Times New Roman" w:eastAsia="Times New Roman" w:hAnsi="Times New Roman" w:cs="Times New Roman"/>
          <w:sz w:val="24"/>
          <w:szCs w:val="24"/>
          <w:highlight w:val="white"/>
        </w:rPr>
      </w:pPr>
      <w:r w:rsidRPr="00D70D43">
        <w:rPr>
          <w:rFonts w:ascii="Times New Roman" w:eastAsia="Times New Roman" w:hAnsi="Times New Roman" w:cs="Times New Roman"/>
          <w:sz w:val="24"/>
          <w:szCs w:val="24"/>
          <w:highlight w:val="white"/>
        </w:rPr>
        <w:t xml:space="preserve">The </w:t>
      </w:r>
      <w:r w:rsidRPr="00D70D43">
        <w:rPr>
          <w:rFonts w:ascii="Times New Roman" w:eastAsia="Times New Roman" w:hAnsi="Times New Roman" w:cs="Times New Roman"/>
          <w:sz w:val="24"/>
          <w:szCs w:val="24"/>
          <w:highlight w:val="white"/>
          <w:vertAlign w:val="superscript"/>
        </w:rPr>
        <w:t>87</w:t>
      </w:r>
      <w:r w:rsidRPr="00D70D43">
        <w:rPr>
          <w:rFonts w:ascii="Times New Roman" w:eastAsia="Times New Roman" w:hAnsi="Times New Roman" w:cs="Times New Roman"/>
          <w:sz w:val="24"/>
          <w:szCs w:val="24"/>
          <w:highlight w:val="white"/>
        </w:rPr>
        <w:t>Sr/</w:t>
      </w:r>
      <w:r w:rsidRPr="00D70D43">
        <w:rPr>
          <w:rFonts w:ascii="Times New Roman" w:eastAsia="Times New Roman" w:hAnsi="Times New Roman" w:cs="Times New Roman"/>
          <w:sz w:val="24"/>
          <w:szCs w:val="24"/>
          <w:highlight w:val="white"/>
          <w:vertAlign w:val="superscript"/>
        </w:rPr>
        <w:t>86</w:t>
      </w:r>
      <w:r w:rsidRPr="00D70D43">
        <w:rPr>
          <w:rFonts w:ascii="Times New Roman" w:eastAsia="Times New Roman" w:hAnsi="Times New Roman" w:cs="Times New Roman"/>
          <w:sz w:val="24"/>
          <w:szCs w:val="24"/>
          <w:highlight w:val="white"/>
        </w:rPr>
        <w:t>Sr</w:t>
      </w:r>
      <w:r w:rsidRPr="00D70D43">
        <w:rPr>
          <w:rFonts w:ascii="Times New Roman" w:eastAsia="Times New Roman" w:hAnsi="Times New Roman" w:cs="Times New Roman"/>
          <w:sz w:val="24"/>
          <w:szCs w:val="24"/>
          <w:highlight w:val="white"/>
          <w:vertAlign w:val="subscript"/>
        </w:rPr>
        <w:t>enamel</w:t>
      </w:r>
      <w:r w:rsidRPr="00D70D43">
        <w:rPr>
          <w:rFonts w:ascii="Times New Roman" w:eastAsia="Times New Roman" w:hAnsi="Times New Roman" w:cs="Times New Roman"/>
          <w:sz w:val="24"/>
          <w:szCs w:val="24"/>
          <w:highlight w:val="white"/>
        </w:rPr>
        <w:t xml:space="preserve"> of animals and humans display a narrow range, from 0.7089 to 0.7093, and 0.7090 to 0.7094 respectively, compatible with what is expected for </w:t>
      </w:r>
      <w:r w:rsidR="00812EC9">
        <w:rPr>
          <w:rFonts w:ascii="Times New Roman" w:eastAsia="Times New Roman" w:hAnsi="Times New Roman" w:cs="Times New Roman"/>
          <w:sz w:val="24"/>
          <w:szCs w:val="24"/>
          <w:highlight w:val="white"/>
        </w:rPr>
        <w:t xml:space="preserve">a </w:t>
      </w:r>
      <w:r w:rsidRPr="00D70D43">
        <w:rPr>
          <w:rFonts w:ascii="Times New Roman" w:eastAsia="Times New Roman" w:hAnsi="Times New Roman" w:cs="Times New Roman"/>
          <w:sz w:val="24"/>
          <w:szCs w:val="24"/>
          <w:highlight w:val="white"/>
        </w:rPr>
        <w:t>coastal</w:t>
      </w:r>
      <w:r w:rsidR="001235D0" w:rsidRPr="001235D0">
        <w:rPr>
          <w:rFonts w:ascii="Times New Roman" w:eastAsia="Times New Roman" w:hAnsi="Times New Roman" w:cs="Times New Roman"/>
          <w:sz w:val="24"/>
          <w:szCs w:val="24"/>
          <w:highlight w:val="white"/>
        </w:rPr>
        <w:t xml:space="preserve"> </w:t>
      </w:r>
      <w:r w:rsidR="001235D0" w:rsidRPr="00D70D43">
        <w:rPr>
          <w:rFonts w:ascii="Times New Roman" w:eastAsia="Times New Roman" w:hAnsi="Times New Roman" w:cs="Times New Roman"/>
          <w:sz w:val="24"/>
          <w:szCs w:val="24"/>
          <w:highlight w:val="white"/>
        </w:rPr>
        <w:t>region</w:t>
      </w:r>
      <w:r w:rsidRPr="00D70D43">
        <w:rPr>
          <w:rFonts w:ascii="Times New Roman" w:eastAsia="Times New Roman" w:hAnsi="Times New Roman" w:cs="Times New Roman"/>
          <w:sz w:val="24"/>
          <w:szCs w:val="24"/>
          <w:highlight w:val="white"/>
        </w:rPr>
        <w:t xml:space="preserve"> (&lt;100km) </w:t>
      </w:r>
      <w:r w:rsidR="001235D0">
        <w:rPr>
          <w:rFonts w:ascii="Times New Roman" w:eastAsia="Times New Roman" w:hAnsi="Times New Roman" w:cs="Times New Roman"/>
          <w:sz w:val="24"/>
          <w:szCs w:val="24"/>
          <w:highlight w:val="white"/>
        </w:rPr>
        <w:t xml:space="preserve">dominated by </w:t>
      </w:r>
      <w:r w:rsidRPr="00D70D43">
        <w:rPr>
          <w:rFonts w:ascii="Times New Roman" w:eastAsia="Times New Roman" w:hAnsi="Times New Roman" w:cs="Times New Roman"/>
          <w:sz w:val="24"/>
          <w:szCs w:val="24"/>
          <w:highlight w:val="white"/>
        </w:rPr>
        <w:t>a calcareous bedrock from Late Jurassic</w:t>
      </w:r>
      <w:r w:rsidR="003C7DA9">
        <w:rPr>
          <w:rFonts w:ascii="Times New Roman" w:eastAsia="Times New Roman" w:hAnsi="Times New Roman" w:cs="Times New Roman"/>
          <w:sz w:val="24"/>
          <w:szCs w:val="24"/>
          <w:highlight w:val="white"/>
        </w:rPr>
        <w:fldChar w:fldCharType="begin"/>
      </w:r>
      <w:r w:rsidR="000E7E53">
        <w:rPr>
          <w:rFonts w:ascii="Times New Roman" w:eastAsia="Times New Roman" w:hAnsi="Times New Roman" w:cs="Times New Roman"/>
          <w:sz w:val="24"/>
          <w:szCs w:val="24"/>
          <w:highlight w:val="white"/>
        </w:rPr>
        <w:instrText xml:space="preserve"> ADDIN ZOTERO_ITEM CSL_CITATION {"citationID":"5pvAgJJe","properties":{"formattedCitation":"\\super 1,34,38,86\\nosupersub{}","plainCitation":"1,34,38,86","noteIndex":0},"citationItems":[{"id":114,"uris":["http://zotero.org/users/7125028/items/Z5E44YNM"],"itemData":{"id":114,"type":"article-journal","container-title":"Monographien des RGZM","DOI":"10.11588/PROPYLAEUM.734","note":"publisher: University Library Heidelberg\nversion: 1","source":"DOI.org (Datacite)","title":"Cemeteries and Sedentism in the Later Stone Age of NW Africa: Excavations at Grotte des Pigeons, Taforalt, Morocco","title-short":"Cemeteries and Sedentism in the Later Stone Age of NW Africa","URL":"https://books.ub.uni-heidelberg.de/index.php/propylaeum/catalog/book/734","author":[{"family":"Barton","given":"R. Nicholas E."}],"accessed":{"date-parts":[["2021",7,23]]},"issued":{"date-parts":[["2020"]]}}},{"id":100,"uris":["http://zotero.org/users/7125028/items/5YVPI98X"],"itemData":{"id":100,"type":"article-journal","abstract":"Strontium isotope analysis of archaeological skeletons has provided useful and exciting results in archaeology in the last 20 years, particularly by characterizing past human migration and mobility. This review covers the biogeochemical background, including the origin of strontium isotope compositions in rocks, weathering and hydrologic cycles that transport strontium, and biopurification of strontium from to soils, to plants, to animals and finally into the human skeleton, which is subject to diagenesis after burial. Spatial heterogeneity and mixing relations must often be accounted for, rather than simply ``matching'' a measured strontium isotope value to a presumed single-valued geologic source. The successes, limitations and future potential of the strontium isotope technique are illustrated through case studies from geochemistry, biogeochemistry, ecology and archaeology.","container-title":"Journal of Archaeological Method and Theory","DOI":"10.1007/s10816-006-9009-x","ISSN":"1573-7764","issue":"3","journalAbbreviation":"J Archaeol Method Theory","language":"en","page":"135-187","source":"Springer Link","title":"Strontium Isotopes from the Earth to the Archaeological Skeleton: A Review","title-short":"Strontium Isotopes from the Earth to the Archaeological Skeleton","volume":"13","author":[{"family":"Bentley","given":"Alexander"}],"issued":{"date-parts":[["2006",9,1]]}}},{"id":83,"uris":["http://zotero.org/users/7125028/items/ZWBITGBB"],"itemData":{"id":83,"type":"article-journal","abstract":"Sulphur isotope analysis of archaeological materials provides information on past ecosystems, palaeo-diets, migration and mobility. This review covers the geochemical background, including the variability of sulphur isotope compositions in the geo-, hydro-, and biosphere. Then, a substantive review of archaeological studies is undertaken to introduce this new marker for archaeological sciences and demonstrate its possible applications for future research.","container-title":"Earth-Science Reviews","DOI":"10.1016/j.earscirev.2014.12.002","ISSN":"0012-8252","journalAbbreviation":"Earth-Science Reviews","language":"en","page":"1-17","source":"ScienceDirect","title":"The application of sulphur isotope analyses in archaeological research: A review","title-short":"The application of sulphur isotope analyses in archaeological research","volume":"142","author":[{"family":"Nehlich","given":"Olaf"}],"issued":{"date-parts":[["2015",3,1]]}}},{"id":75,"uris":["http://zotero.org/users/7125028/items/V8YNY5R2"],"itemData":{"id":75,"type":"article-journal","abstract":"Sulfur isotope composition of organic tissues is a commonly used tool for gathering information about provenance and diet in archaeology and paleoecology. However, the lack of maps predicting sulfur isotope variations on the landscape limits the possibility to use this isotopic system in quantitative geographic assignments. We compiled a database of 2,680 sulfur isotope analyses in the collagen of archaeological human and animal teeth from 221 individual locations across Western Europe. We used this isotopic compilation and remote sensing data to apply a multivariate machine-learning regression, and to predict sulfur isotope variations across Western Europe. The resulting model shows that sulfur isotope patterns are highly predictable, with 65% of sulfur isotope variations explained using only 4 variables representing marine sulfate deposition and local geological conditions. We used this novel sulfur isoscape and existing strontium and oxygen isoscapes of Western Europe to apply triple isotopes continuous-surface probabilistic geographic assignments to assess the origin of a series of teeth from local animals and humans from Brittany. We accurately and precisely constrained the origin of these individuals to limited regions of Brittany. This approach is broadly transferable to studies in archaeology and paleoecology as illustrated in a companion paper (Colleter et al. 2021).","container-title":"PLOS ONE","DOI":"10.1371/journal.pone.0250383","ISSN":"1932-6203","issue":"5","journalAbbreviation":"PLOS ONE","language":"en","note":"publisher: Public Library of Science","page":"e0250383","source":"PLoS Journals","title":"Triple sulfur-oxygen-strontium isotopes probabilistic geographic assignment of archaeological remains using a novel sulfur isoscape of western Europe","volume":"16","author":[{"family":"Bataille","given":"Clément P."},{"family":"Jaouen","given":"Klervia"},{"family":"Milano","given":"Stefania"},{"family":"Trost","given":"Manuel"},{"family":"Steinbrenner","given":"Sven"},{"family":"Crubézy","given":"Éric"},{"family":"Colleter","given":"Rozenn"}],"issued":{"date-parts":[["2021",5,5]]}}}],"schema":"https://github.com/citation-style-language/schema/raw/master/csl-citation.json"} </w:instrText>
      </w:r>
      <w:r w:rsidR="003C7DA9">
        <w:rPr>
          <w:rFonts w:ascii="Times New Roman" w:eastAsia="Times New Roman" w:hAnsi="Times New Roman" w:cs="Times New Roman"/>
          <w:sz w:val="24"/>
          <w:szCs w:val="24"/>
          <w:highlight w:val="white"/>
        </w:rPr>
        <w:fldChar w:fldCharType="separate"/>
      </w:r>
      <w:r w:rsidR="000E7E53" w:rsidRPr="000E7E53">
        <w:rPr>
          <w:rFonts w:ascii="Times New Roman" w:hAnsi="Times New Roman" w:cs="Times New Roman"/>
          <w:sz w:val="24"/>
          <w:szCs w:val="24"/>
          <w:vertAlign w:val="superscript"/>
        </w:rPr>
        <w:t>1,34,38,86</w:t>
      </w:r>
      <w:r w:rsidR="003C7DA9">
        <w:rPr>
          <w:rFonts w:ascii="Times New Roman" w:eastAsia="Times New Roman" w:hAnsi="Times New Roman" w:cs="Times New Roman"/>
          <w:sz w:val="24"/>
          <w:szCs w:val="24"/>
          <w:highlight w:val="white"/>
        </w:rPr>
        <w:fldChar w:fldCharType="end"/>
      </w:r>
      <w:r w:rsidRPr="00D70D43">
        <w:rPr>
          <w:rFonts w:ascii="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Among all the enamel samples analyzed in this study no correlation between the Zn isotope and Sr isotope ratio has been detected (Figure 2</w:t>
      </w:r>
      <w:r w:rsidR="00053F7E">
        <w:rPr>
          <w:rFonts w:ascii="Times New Roman" w:eastAsia="Times New Roman" w:hAnsi="Times New Roman" w:cs="Times New Roman"/>
          <w:sz w:val="24"/>
          <w:szCs w:val="24"/>
          <w:highlight w:val="white"/>
        </w:rPr>
        <w:t>, main paper</w:t>
      </w:r>
      <w:r w:rsidRPr="00D70D43">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This suggests that the Sr in local geology is relatively homogenous and has no influence on the Zn isotopic</w:t>
      </w:r>
      <w:r>
        <w:rPr>
          <w:rFonts w:ascii="Times New Roman" w:eastAsia="Times New Roman" w:hAnsi="Times New Roman" w:cs="Times New Roman"/>
          <w:sz w:val="24"/>
          <w:szCs w:val="24"/>
          <w:highlight w:val="white"/>
        </w:rPr>
        <w:t xml:space="preserve"> ratios at Taforalt</w:t>
      </w:r>
      <w:r w:rsidRPr="00D70D43">
        <w:rPr>
          <w:rFonts w:ascii="Times New Roman" w:eastAsia="Times New Roman" w:hAnsi="Times New Roman" w:cs="Times New Roman"/>
          <w:sz w:val="24"/>
          <w:szCs w:val="24"/>
          <w:highlight w:val="white"/>
        </w:rPr>
        <w:t xml:space="preserve">. All humans show </w:t>
      </w:r>
      <w:r w:rsidRPr="00D70D43">
        <w:rPr>
          <w:rFonts w:ascii="Times New Roman" w:eastAsia="Times New Roman" w:hAnsi="Times New Roman" w:cs="Times New Roman"/>
          <w:sz w:val="24"/>
          <w:szCs w:val="24"/>
          <w:highlight w:val="white"/>
          <w:vertAlign w:val="superscript"/>
        </w:rPr>
        <w:t>87</w:t>
      </w:r>
      <w:r w:rsidRPr="00D70D43">
        <w:rPr>
          <w:rFonts w:ascii="Times New Roman" w:eastAsia="Times New Roman" w:hAnsi="Times New Roman" w:cs="Times New Roman"/>
          <w:sz w:val="24"/>
          <w:szCs w:val="24"/>
          <w:highlight w:val="white"/>
        </w:rPr>
        <w:t>Sr/</w:t>
      </w:r>
      <w:r w:rsidRPr="00D70D43">
        <w:rPr>
          <w:rFonts w:ascii="Times New Roman" w:eastAsia="Times New Roman" w:hAnsi="Times New Roman" w:cs="Times New Roman"/>
          <w:sz w:val="24"/>
          <w:szCs w:val="24"/>
          <w:highlight w:val="white"/>
          <w:vertAlign w:val="superscript"/>
        </w:rPr>
        <w:t>86</w:t>
      </w:r>
      <w:r w:rsidRPr="00D70D43">
        <w:rPr>
          <w:rFonts w:ascii="Times New Roman" w:eastAsia="Times New Roman" w:hAnsi="Times New Roman" w:cs="Times New Roman"/>
          <w:sz w:val="24"/>
          <w:szCs w:val="24"/>
          <w:highlight w:val="white"/>
        </w:rPr>
        <w:t>Sr</w:t>
      </w:r>
      <w:r>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compatible with that of the animals, which is compatible with the hypothesis that they were all local individuals.</w:t>
      </w:r>
    </w:p>
    <w:p w14:paraId="3041729B" w14:textId="77777777" w:rsidR="001925CC" w:rsidRDefault="001925CC" w:rsidP="001925CC">
      <w:pPr>
        <w:spacing w:after="0" w:line="240" w:lineRule="auto"/>
        <w:rPr>
          <w:rFonts w:ascii="Times New Roman" w:eastAsia="Times New Roman" w:hAnsi="Times New Roman" w:cs="Times New Roman"/>
          <w:b/>
          <w:sz w:val="24"/>
          <w:szCs w:val="24"/>
        </w:rPr>
      </w:pPr>
    </w:p>
    <w:p w14:paraId="12CF5F35" w14:textId="77777777" w:rsidR="001925CC" w:rsidRDefault="001925CC" w:rsidP="001925CC">
      <w:pPr>
        <w:spacing w:after="0" w:line="240" w:lineRule="auto"/>
        <w:rPr>
          <w:rFonts w:ascii="Times New Roman" w:eastAsia="Times New Roman" w:hAnsi="Times New Roman" w:cs="Times New Roman"/>
          <w:b/>
          <w:sz w:val="24"/>
          <w:szCs w:val="24"/>
        </w:rPr>
      </w:pPr>
    </w:p>
    <w:p w14:paraId="7FDFE3B6" w14:textId="59D6718F" w:rsidR="001925CC" w:rsidRPr="0064579A" w:rsidRDefault="001925CC" w:rsidP="001925CC">
      <w:pPr>
        <w:spacing w:after="0" w:line="240" w:lineRule="auto"/>
        <w:rPr>
          <w:rFonts w:ascii="Times New Roman" w:eastAsia="Times New Roman" w:hAnsi="Times New Roman" w:cs="Times New Roman"/>
          <w:b/>
          <w:i/>
          <w:sz w:val="24"/>
          <w:szCs w:val="24"/>
        </w:rPr>
      </w:pPr>
      <w:bookmarkStart w:id="59" w:name="_Hlk137040339"/>
      <w:r w:rsidRPr="0064579A">
        <w:rPr>
          <w:rFonts w:ascii="Times New Roman" w:eastAsia="Times New Roman" w:hAnsi="Times New Roman" w:cs="Times New Roman"/>
          <w:b/>
          <w:i/>
          <w:sz w:val="24"/>
          <w:szCs w:val="24"/>
        </w:rPr>
        <w:t xml:space="preserve">4.6 Sulphur isotopic ratios of the human and the sea spray effect </w:t>
      </w:r>
    </w:p>
    <w:bookmarkEnd w:id="59"/>
    <w:p w14:paraId="4B2FB141" w14:textId="77777777" w:rsidR="001925CC" w:rsidRPr="00D70D43" w:rsidRDefault="001925CC" w:rsidP="001925CC">
      <w:pPr>
        <w:spacing w:after="0" w:line="360" w:lineRule="auto"/>
        <w:rPr>
          <w:rFonts w:ascii="Times New Roman" w:eastAsia="Times New Roman" w:hAnsi="Times New Roman" w:cs="Times New Roman"/>
          <w:i/>
          <w:sz w:val="24"/>
          <w:szCs w:val="24"/>
        </w:rPr>
      </w:pPr>
    </w:p>
    <w:p w14:paraId="7FAFF96E" w14:textId="50138A04" w:rsidR="001925CC" w:rsidRPr="003C7DA9" w:rsidRDefault="001925CC" w:rsidP="001925CC">
      <w:pPr>
        <w:spacing w:after="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Only three samples had enough collagen for the Sulphur analyses. A barbary sheep and an equid gave value</w:t>
      </w:r>
      <w:r w:rsidR="00807640">
        <w:rPr>
          <w:rFonts w:ascii="Times New Roman" w:eastAsia="Times New Roman" w:hAnsi="Times New Roman" w:cs="Times New Roman"/>
          <w:sz w:val="24"/>
          <w:szCs w:val="24"/>
        </w:rPr>
        <w:t>s</w:t>
      </w:r>
      <w:r w:rsidRPr="00D70D43">
        <w:rPr>
          <w:rFonts w:ascii="Times New Roman" w:eastAsia="Times New Roman" w:hAnsi="Times New Roman" w:cs="Times New Roman"/>
          <w:sz w:val="24"/>
          <w:szCs w:val="24"/>
        </w:rPr>
        <w:t xml:space="preserve"> of + 14.6</w:t>
      </w:r>
      <w:r w:rsidRPr="00D70D43">
        <w:rPr>
          <w:rFonts w:ascii="Times New Roman" w:eastAsia="Times New Roman" w:hAnsi="Times New Roman" w:cs="Times New Roman"/>
          <w:sz w:val="24"/>
          <w:szCs w:val="24"/>
          <w:highlight w:val="white"/>
        </w:rPr>
        <w:t>‰ + 12.5‰ respectively.</w:t>
      </w:r>
      <w:r>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The human</w:t>
      </w:r>
      <w:r>
        <w:rPr>
          <w:rFonts w:ascii="Times New Roman" w:eastAsia="Times New Roman" w:hAnsi="Times New Roman" w:cs="Times New Roman"/>
          <w:sz w:val="24"/>
          <w:szCs w:val="24"/>
          <w:highlight w:val="white"/>
        </w:rPr>
        <w:t>s</w:t>
      </w:r>
      <w:r w:rsidRPr="00D70D43">
        <w:rPr>
          <w:rFonts w:ascii="Times New Roman" w:eastAsia="Times New Roman" w:hAnsi="Times New Roman" w:cs="Times New Roman"/>
          <w:sz w:val="24"/>
          <w:szCs w:val="24"/>
          <w:highlight w:val="white"/>
        </w:rPr>
        <w:t xml:space="preserve"> have a δ</w:t>
      </w:r>
      <w:r w:rsidRPr="00D70D43">
        <w:rPr>
          <w:rFonts w:ascii="Times New Roman" w:eastAsia="Times New Roman" w:hAnsi="Times New Roman" w:cs="Times New Roman"/>
          <w:sz w:val="24"/>
          <w:szCs w:val="24"/>
          <w:highlight w:val="white"/>
          <w:vertAlign w:val="superscript"/>
        </w:rPr>
        <w:t>34</w:t>
      </w:r>
      <w:r w:rsidRPr="00D70D43">
        <w:rPr>
          <w:rFonts w:ascii="Times New Roman" w:eastAsia="Times New Roman" w:hAnsi="Times New Roman" w:cs="Times New Roman"/>
          <w:sz w:val="24"/>
          <w:szCs w:val="24"/>
          <w:highlight w:val="white"/>
        </w:rPr>
        <w:t xml:space="preserve">S of +12.87‰which falls </w:t>
      </w:r>
      <w:r w:rsidRPr="00D70D43">
        <w:rPr>
          <w:rFonts w:ascii="Times New Roman" w:eastAsia="Times New Roman" w:hAnsi="Times New Roman" w:cs="Times New Roman"/>
          <w:sz w:val="24"/>
          <w:szCs w:val="24"/>
          <w:highlight w:val="white"/>
        </w:rPr>
        <w:lastRenderedPageBreak/>
        <w:t xml:space="preserve">within the range </w:t>
      </w:r>
      <w:r w:rsidR="00807640" w:rsidRPr="00D70D43">
        <w:rPr>
          <w:rFonts w:ascii="Times New Roman" w:eastAsia="Times New Roman" w:hAnsi="Times New Roman" w:cs="Times New Roman"/>
          <w:sz w:val="24"/>
          <w:szCs w:val="24"/>
          <w:highlight w:val="white"/>
        </w:rPr>
        <w:t>of</w:t>
      </w:r>
      <w:r w:rsidRPr="00D70D43">
        <w:rPr>
          <w:rFonts w:ascii="Times New Roman" w:eastAsia="Times New Roman" w:hAnsi="Times New Roman" w:cs="Times New Roman"/>
          <w:sz w:val="24"/>
          <w:szCs w:val="24"/>
          <w:highlight w:val="white"/>
        </w:rPr>
        <w:t xml:space="preserve"> the herbivores.</w:t>
      </w:r>
      <w:r>
        <w:rPr>
          <w:rFonts w:ascii="Times New Roman" w:eastAsia="Times New Roman" w:hAnsi="Times New Roman" w:cs="Times New Roman"/>
          <w:sz w:val="24"/>
          <w:szCs w:val="24"/>
          <w:highlight w:val="white"/>
        </w:rPr>
        <w:t xml:space="preserve"> </w:t>
      </w:r>
      <w:r w:rsidRPr="00D70D43">
        <w:rPr>
          <w:rFonts w:ascii="Times New Roman" w:hAnsi="Times New Roman" w:cs="Times New Roman"/>
          <w:sz w:val="24"/>
          <w:szCs w:val="24"/>
        </w:rPr>
        <w:t>The relatively high δ</w:t>
      </w:r>
      <w:r w:rsidRPr="00D70D43">
        <w:rPr>
          <w:rFonts w:ascii="Times New Roman" w:hAnsi="Times New Roman" w:cs="Times New Roman"/>
          <w:sz w:val="24"/>
          <w:szCs w:val="24"/>
          <w:vertAlign w:val="superscript"/>
        </w:rPr>
        <w:t>34</w:t>
      </w:r>
      <w:r w:rsidRPr="00D70D43">
        <w:rPr>
          <w:rFonts w:ascii="Times New Roman" w:hAnsi="Times New Roman" w:cs="Times New Roman"/>
          <w:sz w:val="24"/>
          <w:szCs w:val="24"/>
        </w:rPr>
        <w:t>S in the samples from Taforalt possibly indicates the proximity of dietary resources of the humans and animal to the coastal “sea spray effect”. Although the site is 40 km from the coast, it was observed that this phenomenon can extend many kilometers inland in some cases</w:t>
      </w:r>
      <w:r w:rsidR="002C2A9F">
        <w:rPr>
          <w:rFonts w:ascii="Times New Roman" w:hAnsi="Times New Roman" w:cs="Times New Roman"/>
          <w:sz w:val="24"/>
          <w:szCs w:val="24"/>
        </w:rPr>
        <w:fldChar w:fldCharType="begin"/>
      </w:r>
      <w:r w:rsidR="002C2A9F">
        <w:rPr>
          <w:rFonts w:ascii="Times New Roman" w:hAnsi="Times New Roman" w:cs="Times New Roman"/>
          <w:sz w:val="24"/>
          <w:szCs w:val="24"/>
        </w:rPr>
        <w:instrText xml:space="preserve"> ADDIN ZOTERO_ITEM CSL_CITATION {"citationID":"a1ke3aerncl","properties":{"formattedCitation":"\\super 41,43\\nosupersub{}","plainCitation":"41,43","noteIndex":0},"citationItems":[{"id":98,"uris":["http://zotero.org/users/7125028/items/W7J3HQE3"],"itemData":{"id":98,"type":"article-journal","container-title":"New Zealand Journal of Science","ISSN":"ISSN 0028-8365","issue":"4","language":"en","page":"433-440","source":"inis.iaea.org","title":"Sulphur isotopic variations in nature","volume":"19","author":[{"family":"Kusakabe","given":"M."},{"family":"Rafter","given":"T. A."},{"family":"Stout","given":"J. D."},{"family":"Collie","given":"T. W."}],"issued":{"date-parts":[["1976"]]}}},{"id":120,"uris":["http://zotero.org/users/7125028/items/QBV7SQ76"],"itemData":{"id":120,"type":"article-journal","abstract":"Recent advances in mass spectrometry now allow relatively routine measurements of sulphur isotopes (δ34S) in small samples (&gt;10 mg) of tissue from archaeological human, plant, and faunal samples. δ34S values of human and faunal bone collagen can indicate residence or migration and can provide palaeodietary information. Here we present a review of applications of sulphur isotopes to archaeological materials, and we also present preliminary results from one of the few controlled feeding experiments undertaken for sulphur isotopes. This study indicates that there is relatively little fractionation (−1‰ ) between diet and body protein (keratin) δ34S values for modern horses on a protein adequate C3 plant diet. In contrast, horses fed a possible low protein C4 feed have a diet to hair fractionation of +4‰ that could be the result of the input of endogenous sulphur from the recycling of body proteins. Copyright © 2003 John Wiley &amp; Sons, Ltd.","container-title":"International Journal of Osteoarchaeology","DOI":"10.1002/oa.654","ISSN":"1099-1212","issue":"1-2","language":"en","note":"_eprint: https://onlinelibrary.wiley.com/doi/pdf/10.1002/oa.654","page":"37-45","source":"Wiley Online Library","title":"Sulphur isotopes in palaeodietary studies: a review and results from a controlled feeding experiment","title-short":"Sulphur isotopes in palaeodietary studies","volume":"13","author":[{"family":"Richards","given":"M. P."},{"family":"Fuller","given":"B. T."},{"family":"Sponheimer","given":"M."},{"family":"Robinson","given":"T."},{"family":"Ayliffe","given":"L."}],"issued":{"date-parts":[["2003"]]}},"locator":"20"}],"schema":"https://github.com/citation-style-language/schema/raw/master/csl-citation.json"} </w:instrText>
      </w:r>
      <w:r w:rsidR="002C2A9F">
        <w:rPr>
          <w:rFonts w:ascii="Times New Roman" w:hAnsi="Times New Roman" w:cs="Times New Roman"/>
          <w:sz w:val="24"/>
          <w:szCs w:val="24"/>
        </w:rPr>
        <w:fldChar w:fldCharType="separate"/>
      </w:r>
      <w:r w:rsidR="002C2A9F" w:rsidRPr="002C2A9F">
        <w:rPr>
          <w:rFonts w:ascii="Times New Roman" w:hAnsi="Times New Roman" w:cs="Times New Roman"/>
          <w:sz w:val="24"/>
          <w:szCs w:val="24"/>
          <w:vertAlign w:val="superscript"/>
        </w:rPr>
        <w:t>41,43</w:t>
      </w:r>
      <w:r w:rsidR="002C2A9F">
        <w:rPr>
          <w:rFonts w:ascii="Times New Roman" w:hAnsi="Times New Roman" w:cs="Times New Roman"/>
          <w:sz w:val="24"/>
          <w:szCs w:val="24"/>
        </w:rPr>
        <w:fldChar w:fldCharType="end"/>
      </w:r>
      <w:r w:rsidRPr="00D70D43">
        <w:rPr>
          <w:rFonts w:ascii="Times New Roman" w:hAnsi="Times New Roman" w:cs="Times New Roman"/>
          <w:sz w:val="24"/>
          <w:szCs w:val="24"/>
        </w:rPr>
        <w:t xml:space="preserve"> . Since Taforalt is only 40 km from the sea, it is still within the “sea spray effect” </w:t>
      </w:r>
      <w:r w:rsidR="003C7DA9">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{"citationID":"x55AVM9s","properties":{"formattedCitation":"\\super 86\\nosupersub{}","plainCitation":"86","noteIndex":0},"citationItems":[{"id":75,"uris":["http://zotero.org/users/7125028/items/V8YNY5R2"],"itemData":{"id":75,"type":"article-journal","abstract":"Sulfur isotope composition of organic tissues is a commonly used tool for gathering information about provenance and diet in archaeology and paleoecology. However, the lack of maps predicting sulfur isotope variations on the landscape limits the possibility to use this isotopic system in quantitative geographic assignments. We compiled a database of 2,680 sulfur isotope analyses in the collagen of archaeological human and animal teeth from 221 individual locations across Western Europe. We used this isotopic compilation and remote sensing data to apply a multivariate machine-learning regression, and to predict sulfur isotope variations across Western Europe. The resulting model shows that sulfur isotope patterns are highly predictable, with 65% of sulfur isotope variations explained using only 4 variables representing marine sulfate deposition and local geological conditions. We used this novel sulfur isoscape and existing strontium and oxygen isoscapes of Western Europe to apply triple isotopes continuous-surface probabilistic geographic assignments to assess the origin of a series of teeth from local animals and humans from Brittany. We accurately and precisely constrained the origin of these individuals to limited regions of Brittany. This approach is broadly transferable to studies in archaeology and paleoecology as illustrated in a companion paper (Colleter et al. 2021).","container-title":"PLOS ONE","DOI":"10.1371/journal.pone.0250383","ISSN":"1932-6203","issue":"5","journalAbbreviation":"PLOS ONE","language":"en","note":"publisher: Public Library of Science","page":"e0250383","source":"PLoS Journals","title":"Triple sulfur-oxygen-strontium isotopes probabilistic geographic assignment of archaeological remains using a novel sulfur isoscape of western Europe","volume":"16","author":[{"family":"Bataille","given":"Clément P."},{"family":"Jaouen","given":"Klervia"},{"family":"Milano","given":"Stefania"},{"family":"Trost","given":"Manuel"},{"family":"Steinbrenner","given":"Sven"},{"family":"Crubézy","given":"Éric"},{"family":"Colleter","given":"Rozenn"}],"issued":{"date-parts":[["2021",5,5]]}}}],"schema":"https://github.com/citation-style-language/schema/raw/master/csl-citation.json"} </w:instrText>
      </w:r>
      <w:r w:rsidR="003C7DA9">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86</w:t>
      </w:r>
      <w:r w:rsidR="003C7DA9">
        <w:rPr>
          <w:rFonts w:ascii="Times New Roman" w:eastAsia="Times New Roman" w:hAnsi="Times New Roman" w:cs="Times New Roman"/>
          <w:sz w:val="24"/>
          <w:szCs w:val="24"/>
        </w:rPr>
        <w:fldChar w:fldCharType="end"/>
      </w:r>
      <w:r w:rsidRPr="00D70D43">
        <w:rPr>
          <w:rFonts w:ascii="Times New Roman" w:hAnsi="Times New Roman" w:cs="Times New Roman"/>
          <w:sz w:val="24"/>
          <w:szCs w:val="24"/>
        </w:rPr>
        <w:t xml:space="preserve">. </w:t>
      </w:r>
      <w:r w:rsidRPr="00D70D43">
        <w:rPr>
          <w:rFonts w:ascii="Times New Roman" w:eastAsia="Times New Roman" w:hAnsi="Times New Roman" w:cs="Times New Roman"/>
          <w:sz w:val="24"/>
          <w:szCs w:val="24"/>
          <w:highlight w:val="white"/>
        </w:rPr>
        <w:t>Another explication for the high δ</w:t>
      </w:r>
      <w:r w:rsidRPr="00D70D43">
        <w:rPr>
          <w:rFonts w:ascii="Times New Roman" w:eastAsia="Times New Roman" w:hAnsi="Times New Roman" w:cs="Times New Roman"/>
          <w:sz w:val="24"/>
          <w:szCs w:val="24"/>
          <w:highlight w:val="white"/>
          <w:vertAlign w:val="superscript"/>
        </w:rPr>
        <w:t>34</w:t>
      </w:r>
      <w:r w:rsidRPr="00D70D43">
        <w:rPr>
          <w:rFonts w:ascii="Times New Roman" w:eastAsia="Times New Roman" w:hAnsi="Times New Roman" w:cs="Times New Roman"/>
          <w:sz w:val="24"/>
          <w:szCs w:val="24"/>
          <w:highlight w:val="white"/>
        </w:rPr>
        <w:t xml:space="preserve">S values in our sample is the dust aerosols originating from the Sahara which is rich in </w:t>
      </w:r>
      <w:proofErr w:type="spellStart"/>
      <w:r w:rsidRPr="00D70D43">
        <w:rPr>
          <w:rFonts w:ascii="Times New Roman" w:eastAsia="Times New Roman" w:hAnsi="Times New Roman" w:cs="Times New Roman"/>
          <w:sz w:val="24"/>
          <w:szCs w:val="24"/>
          <w:highlight w:val="white"/>
        </w:rPr>
        <w:t>sulphur</w:t>
      </w:r>
      <w:proofErr w:type="spellEnd"/>
      <w:r w:rsidRPr="00D70D43">
        <w:rPr>
          <w:rFonts w:ascii="Times New Roman" w:eastAsia="Times New Roman" w:hAnsi="Times New Roman" w:cs="Times New Roman"/>
          <w:sz w:val="24"/>
          <w:szCs w:val="24"/>
          <w:highlight w:val="white"/>
        </w:rPr>
        <w:t xml:space="preserve"> gypsum and have elevated </w:t>
      </w:r>
      <w:r w:rsidRPr="00D70D43">
        <w:rPr>
          <w:rFonts w:ascii="Times New Roman" w:hAnsi="Times New Roman" w:cs="Times New Roman"/>
          <w:sz w:val="24"/>
          <w:szCs w:val="24"/>
        </w:rPr>
        <w:t>δ</w:t>
      </w:r>
      <w:r w:rsidRPr="00D70D43">
        <w:rPr>
          <w:rFonts w:ascii="Times New Roman" w:hAnsi="Times New Roman" w:cs="Times New Roman"/>
          <w:sz w:val="24"/>
          <w:szCs w:val="24"/>
          <w:vertAlign w:val="superscript"/>
        </w:rPr>
        <w:t>34</w:t>
      </w:r>
      <w:r w:rsidRPr="00D70D43">
        <w:rPr>
          <w:rFonts w:ascii="Times New Roman" w:hAnsi="Times New Roman" w:cs="Times New Roman"/>
          <w:sz w:val="24"/>
          <w:szCs w:val="24"/>
        </w:rPr>
        <w:t>S values ca +12 to +16</w:t>
      </w:r>
      <w:r w:rsidRPr="00D70D43">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t>
      </w:r>
      <w:r w:rsidR="003C7DA9">
        <w:rPr>
          <w:rFonts w:ascii="Times New Roman" w:eastAsia="Times New Roman" w:hAnsi="Times New Roman" w:cs="Times New Roman"/>
          <w:sz w:val="24"/>
          <w:szCs w:val="24"/>
          <w:highlight w:val="white"/>
        </w:rPr>
        <w:fldChar w:fldCharType="begin"/>
      </w:r>
      <w:r w:rsidR="000E7E53">
        <w:rPr>
          <w:rFonts w:ascii="Times New Roman" w:eastAsia="Times New Roman" w:hAnsi="Times New Roman" w:cs="Times New Roman"/>
          <w:sz w:val="24"/>
          <w:szCs w:val="24"/>
          <w:highlight w:val="white"/>
        </w:rPr>
        <w:instrText xml:space="preserve"> ADDIN ZOTERO_ITEM CSL_CITATION {"citationID":"apNGigkd","properties":{"formattedCitation":"\\super 86\\uc0\\u8211{}88\\nosupersub{}","plainCitation":"86–88","noteIndex":0},"citationItems":[{"id":75,"uris":["http://zotero.org/users/7125028/items/V8YNY5R2"],"itemData":{"id":75,"type":"article-journal","abstract":"Sulfur isotope composition of organic tissues is a commonly used tool for gathering information about provenance and diet in archaeology and paleoecology. However, the lack of maps predicting sulfur isotope variations on the landscape limits the possibility to use this isotopic system in quantitative geographic assignments. We compiled a database of 2,680 sulfur isotope analyses in the collagen of archaeological human and animal teeth from 221 individual locations across Western Europe. We used this isotopic compilation and remote sensing data to apply a multivariate machine-learning regression, and to predict sulfur isotope variations across Western Europe. The resulting model shows that sulfur isotope patterns are highly predictable, with 65% of sulfur isotope variations explained using only 4 variables representing marine sulfate deposition and local geological conditions. We used this novel sulfur isoscape and existing strontium and oxygen isoscapes of Western Europe to apply triple isotopes continuous-surface probabilistic geographic assignments to assess the origin of a series of teeth from local animals and humans from Brittany. We accurately and precisely constrained the origin of these individuals to limited regions of Brittany. This approach is broadly transferable to studies in archaeology and paleoecology as illustrated in a companion paper (Colleter et al. 2021).","container-title":"PLOS ONE","DOI":"10.1371/journal.pone.0250383","ISSN":"1932-6203","issue":"5","journalAbbreviation":"PLOS ONE","language":"en","note":"publisher: Public Library of Science","page":"e0250383","source":"PLoS Journals","title":"Triple sulfur-oxygen-strontium isotopes probabilistic geographic assignment of archaeological remains using a novel sulfur isoscape of western Europe","volume":"16","author":[{"family":"Bataille","given":"Clément P."},{"family":"Jaouen","given":"Klervia"},{"family":"Milano","given":"Stefania"},{"family":"Trost","given":"Manuel"},{"family":"Steinbrenner","given":"Sven"},{"family":"Crubézy","given":"Éric"},{"family":"Colleter","given":"Rozenn"}],"issued":{"date-parts":[["2021",5,5]]}}},{"id":759,"uris":["http://zotero.org/users/7125028/items/37VCVB7J"],"itemData":{"id":759,"type":"article-journal","abstract":"Southern Tunisia contains one of the most extensive gypsum accumulations in Africa comprising Triassic, Cretaceous, Eocene and Mio-Pliocene marine evaporites, spring deposits, playa sediments, aeolian sands and gypsum crusts. Sulphur isotope analysis (δ34S) of bedrock samples, groundwater, playa brines, playa sediments, and gypsiferous crusts provides insight into the sources of gypsum in the region and sheds light on the processes that lead to gypsum crust formation. Results suggest that recycling of marine gypsum is the most likely source of the sulphate in the groundwater, playa sediments and crusts. The low δ34S values found in Eocene and Mio-Pliocene samples suggest that this recycling has been going on for millions of years. Though bedrock appears to be the ultimate source of the gypsum in the crusts, transport of this sulphate to playas, concentration therein, and subsequent dispersal across the landscape by aeolian processes provides the most likely pathway for surﬁcial gypsum crust formation. Comparison of these results with those from Australia, Chile and Namibia suggests that, although the source of the sulphur varies from region to region, the processes of surﬁcial crust formation appear to be similar. Copyright © 2004 John Wiley &amp; Sons, Ltd.","container-title":"Earth Surface Processes and Landforms","DOI":"10.1002/esp.1133","ISSN":"1096-9837","issue":"12","language":"en","note":"_eprint: https://onlinelibrary.wiley.com/doi/pdf/10.1002/esp.1133","page":"1459-1471","source":"Wiley Online Library","title":"Sources of sulphur in gypsiferous sediments and crusts and pathways of gypsum redistribution in southern Tunisia","volume":"29","author":[{"family":"Drake","given":"Nick A."},{"family":"Eckardt","given":"Frank D."},{"family":"White","given":"H.","suffix":"Kevin"}],"issued":{"date-parts":[["2004"]]}}},{"id":631,"uris":["http://zotero.org/users/7125028/items/ZQ78WJVS"],"itemData":{"id":631,"type":"article-journal","abstract":"An inventory of Sahara dust (SD) events at the Hohenpeiβenberg Global Atmosphere Watch station (Germany) is presented for the period 1997–2013. Based on daily in-situ measurements, high Ca2+-ion concentrations and large particle volume concentrations at diameters dp ≈ 0.5–7 μm are inferred as indicators for days influenced by SD. The resulting SD catalogue agrees with SD time series from Schneefernerhaus, Augsburg and Jungfraujoch stations. On average, SD occurs in 5–15 SD events (SDE) per year covering about 10–60 days/yr in the mixing layer. SDE exhibit a clear seasonality with spring and early autumn maxima, and typically last for 1–3 days. SDE are equally frequent but more significant at Alpine levels due to lower background. Wet deposition of Ca2+ at the surface is little correlated (R2 = 0.14) with particle Ca2+ on a daily basis and yields an average annual Ca2+ immission of 0.22 ± 0.04 g/m2yr, about 40% of which is due to SD. The majority of outstanding weekly Fe and Al depositions are associated with SDE. SD contributes about 0.5 ± 0.1 μg/m3 to the total particle mass with a decreasing trend from 6% to 4% (−0.1%/yr) in the 1997–2013 period. Except from one, all threshold exceedances according to European legislation (daily PM10 &gt; 50 μg/m3) at Hohenpeiβenberg are due to SD. Implications are discussed with respect to SD-related circulation patterns, SD-induced temperature anomalies in weather forecast models and the capability of aerosol models to capture SDE.","container-title":"Atmospheric Environment","DOI":"10.1016/j.atmosenv.2015.02.023","ISSN":"1352-2310","journalAbbreviation":"Atmospheric Environment","language":"en","page":"87-96","source":"ScienceDirect","title":"Identification and monitoring of Saharan dust: An inventory representative for south Germany since 1997","title-short":"Identification and monitoring of Saharan dust","volume":"109","author":[{"family":"Flentje","given":"H."},{"family":"Briel","given":"B."},{"family":"Beck","given":"C."},{"family":"Collaud Coen","given":"M."},{"family":"Fricke","given":"M."},{"family":"Cyrys","given":"J."},{"family":"Gu","given":"J."},{"family":"Pitz","given":"M."},{"family":"Thomas","given":"W."}],"issued":{"date-parts":[["2015",5,1]]}}}],"schema":"https://github.com/citation-style-language/schema/raw/master/csl-citation.json"} </w:instrText>
      </w:r>
      <w:r w:rsidR="003C7DA9">
        <w:rPr>
          <w:rFonts w:ascii="Times New Roman" w:eastAsia="Times New Roman" w:hAnsi="Times New Roman" w:cs="Times New Roman"/>
          <w:sz w:val="24"/>
          <w:szCs w:val="24"/>
          <w:highlight w:val="white"/>
        </w:rPr>
        <w:fldChar w:fldCharType="separate"/>
      </w:r>
      <w:r w:rsidR="000E7E53" w:rsidRPr="000E7E53">
        <w:rPr>
          <w:rFonts w:ascii="Times New Roman" w:hAnsi="Times New Roman" w:cs="Times New Roman"/>
          <w:sz w:val="24"/>
          <w:szCs w:val="24"/>
          <w:vertAlign w:val="superscript"/>
        </w:rPr>
        <w:t>86–88</w:t>
      </w:r>
      <w:r w:rsidR="003C7DA9">
        <w:rPr>
          <w:rFonts w:ascii="Times New Roman" w:eastAsia="Times New Roman" w:hAnsi="Times New Roman" w:cs="Times New Roman"/>
          <w:sz w:val="24"/>
          <w:szCs w:val="24"/>
          <w:highlight w:val="white"/>
        </w:rPr>
        <w:fldChar w:fldCharType="end"/>
      </w:r>
      <w:r w:rsidR="003C7DA9">
        <w:rPr>
          <w:rFonts w:ascii="Times New Roman" w:eastAsia="Times New Roman" w:hAnsi="Times New Roman" w:cs="Times New Roman"/>
          <w:sz w:val="24"/>
          <w:szCs w:val="24"/>
          <w:highlight w:val="white"/>
        </w:rPr>
        <w:t>.</w:t>
      </w:r>
      <w:bookmarkStart w:id="60" w:name="pone.0250383.ref064"/>
      <w:bookmarkEnd w:id="60"/>
    </w:p>
    <w:p w14:paraId="4FEAE5B8" w14:textId="017B924C" w:rsidR="001925CC" w:rsidRPr="003C7DA9" w:rsidRDefault="001925CC" w:rsidP="001925CC">
      <w:pPr>
        <w:spacing w:after="0" w:line="360" w:lineRule="auto"/>
        <w:jc w:val="both"/>
        <w:rPr>
          <w:rFonts w:ascii="Times New Roman" w:eastAsia="Times New Roman" w:hAnsi="Times New Roman" w:cs="Times New Roman"/>
          <w:sz w:val="24"/>
          <w:szCs w:val="24"/>
          <w:highlight w:val="white"/>
        </w:rPr>
      </w:pPr>
    </w:p>
    <w:p w14:paraId="00000289" w14:textId="78D8ECCA" w:rsidR="00784AF4" w:rsidRPr="003C7DA9" w:rsidRDefault="00784AF4">
      <w:pPr>
        <w:spacing w:after="0" w:line="360" w:lineRule="auto"/>
        <w:rPr>
          <w:rFonts w:ascii="Times New Roman" w:hAnsi="Times New Roman" w:cs="Times New Roman"/>
          <w:b/>
          <w:sz w:val="24"/>
          <w:szCs w:val="24"/>
          <w:highlight w:val="yellow"/>
        </w:rPr>
      </w:pPr>
    </w:p>
    <w:p w14:paraId="0000028B" w14:textId="255B112D" w:rsidR="00784AF4" w:rsidRPr="003C7DA9" w:rsidRDefault="00784AF4">
      <w:pPr>
        <w:spacing w:after="0" w:line="360" w:lineRule="auto"/>
        <w:rPr>
          <w:rFonts w:ascii="Times New Roman" w:hAnsi="Times New Roman" w:cs="Times New Roman"/>
          <w:b/>
          <w:sz w:val="24"/>
          <w:szCs w:val="24"/>
          <w:highlight w:val="yellow"/>
        </w:rPr>
      </w:pPr>
    </w:p>
    <w:p w14:paraId="4F3ACD1B" w14:textId="50F92905" w:rsidR="00644B14" w:rsidRPr="003C7DA9" w:rsidRDefault="00644B14">
      <w:pPr>
        <w:spacing w:after="0" w:line="360" w:lineRule="auto"/>
        <w:rPr>
          <w:rFonts w:ascii="Times New Roman" w:hAnsi="Times New Roman" w:cs="Times New Roman"/>
          <w:b/>
          <w:i/>
          <w:noProof/>
          <w:sz w:val="24"/>
          <w:szCs w:val="24"/>
        </w:rPr>
      </w:pPr>
    </w:p>
    <w:p w14:paraId="01A798A9" w14:textId="60FEC1E5" w:rsidR="00383FA5" w:rsidRPr="003C7DA9" w:rsidRDefault="00383FA5">
      <w:pPr>
        <w:spacing w:after="0" w:line="360" w:lineRule="auto"/>
        <w:rPr>
          <w:rFonts w:ascii="Times New Roman" w:hAnsi="Times New Roman" w:cs="Times New Roman"/>
          <w:b/>
          <w:i/>
          <w:sz w:val="24"/>
          <w:szCs w:val="24"/>
          <w:highlight w:val="yellow"/>
        </w:rPr>
      </w:pPr>
    </w:p>
    <w:p w14:paraId="0000028E" w14:textId="77777777" w:rsidR="00784AF4" w:rsidRPr="003C7DA9" w:rsidRDefault="00784AF4">
      <w:pPr>
        <w:spacing w:after="0" w:line="360" w:lineRule="auto"/>
        <w:rPr>
          <w:rFonts w:ascii="Times New Roman" w:hAnsi="Times New Roman" w:cs="Times New Roman"/>
          <w:b/>
          <w:sz w:val="24"/>
          <w:szCs w:val="24"/>
          <w:highlight w:val="yellow"/>
        </w:rPr>
      </w:pPr>
    </w:p>
    <w:p w14:paraId="0000028F" w14:textId="5442FB29" w:rsidR="00784AF4" w:rsidRPr="00D70D43" w:rsidRDefault="00333F7C">
      <w:pPr>
        <w:spacing w:after="0" w:line="240" w:lineRule="auto"/>
        <w:jc w:val="center"/>
        <w:rPr>
          <w:rFonts w:ascii="Times New Roman" w:eastAsia="Arial" w:hAnsi="Times New Roman" w:cs="Times New Roman"/>
          <w:b/>
          <w:sz w:val="24"/>
          <w:szCs w:val="24"/>
        </w:rPr>
      </w:pPr>
      <w:sdt>
        <w:sdtPr>
          <w:rPr>
            <w:rFonts w:ascii="Times New Roman" w:hAnsi="Times New Roman" w:cs="Times New Roman"/>
            <w:sz w:val="24"/>
            <w:szCs w:val="24"/>
          </w:rPr>
          <w:tag w:val="goog_rdk_5"/>
          <w:id w:val="-434055765"/>
          <w:showingPlcHdr/>
        </w:sdtPr>
        <w:sdtContent>
          <w:r w:rsidR="00A90A17" w:rsidRPr="00D70D43">
            <w:rPr>
              <w:rFonts w:ascii="Times New Roman" w:hAnsi="Times New Roman" w:cs="Times New Roman"/>
              <w:sz w:val="24"/>
              <w:szCs w:val="24"/>
            </w:rPr>
            <w:t xml:space="preserve">     </w:t>
          </w:r>
        </w:sdtContent>
      </w:sdt>
    </w:p>
    <w:p w14:paraId="00000290" w14:textId="77777777" w:rsidR="00784AF4" w:rsidRPr="00D70D43" w:rsidRDefault="00784AF4">
      <w:pPr>
        <w:spacing w:after="0" w:line="240" w:lineRule="auto"/>
        <w:jc w:val="center"/>
        <w:rPr>
          <w:rFonts w:ascii="Times New Roman" w:eastAsia="Arial" w:hAnsi="Times New Roman" w:cs="Times New Roman"/>
          <w:b/>
          <w:sz w:val="24"/>
          <w:szCs w:val="24"/>
        </w:rPr>
      </w:pPr>
    </w:p>
    <w:p w14:paraId="00000299" w14:textId="77777777" w:rsidR="00784AF4" w:rsidRPr="00D70D43" w:rsidRDefault="00784AF4">
      <w:pPr>
        <w:spacing w:after="0" w:line="240" w:lineRule="auto"/>
        <w:jc w:val="center"/>
        <w:rPr>
          <w:rFonts w:ascii="Times New Roman" w:eastAsia="Arial" w:hAnsi="Times New Roman" w:cs="Times New Roman"/>
          <w:i/>
          <w:sz w:val="24"/>
          <w:szCs w:val="24"/>
        </w:rPr>
      </w:pPr>
    </w:p>
    <w:p w14:paraId="0000029B" w14:textId="77777777" w:rsidR="00784AF4" w:rsidRPr="00D70D43" w:rsidRDefault="00784AF4">
      <w:pPr>
        <w:spacing w:after="0" w:line="360" w:lineRule="auto"/>
        <w:rPr>
          <w:rFonts w:ascii="Times New Roman" w:hAnsi="Times New Roman" w:cs="Times New Roman"/>
          <w:b/>
          <w:sz w:val="24"/>
          <w:szCs w:val="24"/>
          <w:highlight w:val="yellow"/>
        </w:rPr>
      </w:pPr>
    </w:p>
    <w:p w14:paraId="000002A9" w14:textId="74FF5CC0" w:rsidR="00784AF4" w:rsidRPr="00D70D43" w:rsidRDefault="008B4920">
      <w:pPr>
        <w:spacing w:after="0"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r w:rsidR="0003068C" w:rsidRPr="00D70D43">
        <w:rPr>
          <w:rFonts w:ascii="Times New Roman" w:eastAsia="Times New Roman" w:hAnsi="Times New Roman" w:cs="Times New Roman"/>
          <w:sz w:val="24"/>
          <w:szCs w:val="24"/>
          <w:highlight w:val="white"/>
        </w:rPr>
        <w:t xml:space="preserve"> </w:t>
      </w:r>
    </w:p>
    <w:p w14:paraId="000002AC" w14:textId="619A21B0" w:rsidR="00784AF4" w:rsidRPr="00D70D43" w:rsidRDefault="00784AF4">
      <w:pPr>
        <w:spacing w:after="0" w:line="360" w:lineRule="auto"/>
        <w:rPr>
          <w:rFonts w:ascii="Times New Roman" w:eastAsia="Times New Roman" w:hAnsi="Times New Roman" w:cs="Times New Roman"/>
          <w:b/>
          <w:sz w:val="24"/>
          <w:szCs w:val="24"/>
          <w:highlight w:val="white"/>
        </w:rPr>
      </w:pPr>
    </w:p>
    <w:p w14:paraId="000002B3" w14:textId="710B42D6" w:rsidR="00784AF4" w:rsidRPr="00D70D43" w:rsidRDefault="00784AF4">
      <w:pPr>
        <w:spacing w:after="0" w:line="360" w:lineRule="auto"/>
        <w:rPr>
          <w:rFonts w:ascii="Times New Roman" w:eastAsia="Times New Roman" w:hAnsi="Times New Roman" w:cs="Times New Roman"/>
          <w:b/>
          <w:sz w:val="24"/>
          <w:szCs w:val="24"/>
          <w:highlight w:val="white"/>
        </w:rPr>
      </w:pPr>
    </w:p>
    <w:p w14:paraId="000002BE" w14:textId="77777777" w:rsidR="00784AF4" w:rsidRPr="00D70D43" w:rsidRDefault="00784AF4">
      <w:pPr>
        <w:spacing w:after="0" w:line="360" w:lineRule="auto"/>
        <w:rPr>
          <w:rFonts w:ascii="Times New Roman" w:hAnsi="Times New Roman" w:cs="Times New Roman"/>
          <w:b/>
          <w:sz w:val="24"/>
          <w:szCs w:val="24"/>
          <w:highlight w:val="white"/>
        </w:rPr>
      </w:pPr>
    </w:p>
    <w:p w14:paraId="000002C0" w14:textId="77777777" w:rsidR="00784AF4" w:rsidRPr="00D70D43" w:rsidRDefault="00784AF4">
      <w:pPr>
        <w:spacing w:after="0" w:line="360" w:lineRule="auto"/>
        <w:rPr>
          <w:rFonts w:ascii="Times New Roman" w:hAnsi="Times New Roman" w:cs="Times New Roman"/>
          <w:b/>
          <w:sz w:val="24"/>
          <w:szCs w:val="24"/>
          <w:highlight w:val="white"/>
        </w:rPr>
      </w:pPr>
    </w:p>
    <w:p w14:paraId="000002C1" w14:textId="77777777" w:rsidR="00784AF4" w:rsidRPr="00D70D43" w:rsidRDefault="00784AF4">
      <w:pPr>
        <w:spacing w:after="0" w:line="360" w:lineRule="auto"/>
        <w:rPr>
          <w:rFonts w:ascii="Times New Roman" w:hAnsi="Times New Roman" w:cs="Times New Roman"/>
          <w:b/>
          <w:sz w:val="24"/>
          <w:szCs w:val="24"/>
          <w:highlight w:val="white"/>
        </w:rPr>
      </w:pPr>
    </w:p>
    <w:p w14:paraId="000002C2" w14:textId="77777777" w:rsidR="00784AF4" w:rsidRPr="00D70D43" w:rsidRDefault="00784AF4">
      <w:pPr>
        <w:spacing w:after="0" w:line="360" w:lineRule="auto"/>
        <w:rPr>
          <w:rFonts w:ascii="Times New Roman" w:hAnsi="Times New Roman" w:cs="Times New Roman"/>
          <w:b/>
          <w:sz w:val="24"/>
          <w:szCs w:val="24"/>
          <w:highlight w:val="white"/>
        </w:rPr>
      </w:pPr>
    </w:p>
    <w:p w14:paraId="000002C3" w14:textId="77777777" w:rsidR="00784AF4" w:rsidRPr="00D70D43" w:rsidRDefault="00784AF4">
      <w:pPr>
        <w:spacing w:after="0" w:line="360" w:lineRule="auto"/>
        <w:rPr>
          <w:rFonts w:ascii="Times New Roman" w:hAnsi="Times New Roman" w:cs="Times New Roman"/>
          <w:b/>
          <w:sz w:val="24"/>
          <w:szCs w:val="24"/>
          <w:highlight w:val="white"/>
        </w:rPr>
      </w:pPr>
    </w:p>
    <w:p w14:paraId="000002C4" w14:textId="77777777" w:rsidR="00784AF4" w:rsidRPr="00D70D43" w:rsidRDefault="00784AF4">
      <w:pPr>
        <w:spacing w:after="0" w:line="360" w:lineRule="auto"/>
        <w:rPr>
          <w:rFonts w:ascii="Times New Roman" w:hAnsi="Times New Roman" w:cs="Times New Roman"/>
          <w:b/>
          <w:sz w:val="24"/>
          <w:szCs w:val="24"/>
          <w:highlight w:val="white"/>
        </w:rPr>
      </w:pPr>
    </w:p>
    <w:p w14:paraId="000002C5" w14:textId="61156B94" w:rsidR="00784AF4" w:rsidRDefault="00784AF4">
      <w:pPr>
        <w:spacing w:after="0" w:line="360" w:lineRule="auto"/>
        <w:rPr>
          <w:rFonts w:ascii="Times New Roman" w:hAnsi="Times New Roman" w:cs="Times New Roman"/>
          <w:b/>
          <w:sz w:val="24"/>
          <w:szCs w:val="24"/>
          <w:highlight w:val="white"/>
        </w:rPr>
      </w:pPr>
    </w:p>
    <w:p w14:paraId="0DCD0075" w14:textId="5A27971E" w:rsidR="007F5695" w:rsidRDefault="007F5695">
      <w:pPr>
        <w:spacing w:after="0" w:line="360" w:lineRule="auto"/>
        <w:rPr>
          <w:rFonts w:ascii="Times New Roman" w:hAnsi="Times New Roman" w:cs="Times New Roman"/>
          <w:b/>
          <w:sz w:val="24"/>
          <w:szCs w:val="24"/>
          <w:highlight w:val="white"/>
        </w:rPr>
      </w:pPr>
    </w:p>
    <w:p w14:paraId="3BDD4EDD" w14:textId="1A61ECB8" w:rsidR="007F5695" w:rsidRDefault="007F5695">
      <w:pPr>
        <w:spacing w:after="0" w:line="360" w:lineRule="auto"/>
        <w:rPr>
          <w:rFonts w:ascii="Times New Roman" w:hAnsi="Times New Roman" w:cs="Times New Roman"/>
          <w:b/>
          <w:sz w:val="24"/>
          <w:szCs w:val="24"/>
          <w:highlight w:val="white"/>
        </w:rPr>
      </w:pPr>
    </w:p>
    <w:p w14:paraId="39C31EB8" w14:textId="3FBB35DE" w:rsidR="007F5695" w:rsidRDefault="007F5695">
      <w:pPr>
        <w:spacing w:after="0" w:line="360" w:lineRule="auto"/>
        <w:rPr>
          <w:rFonts w:ascii="Times New Roman" w:hAnsi="Times New Roman" w:cs="Times New Roman"/>
          <w:b/>
          <w:sz w:val="24"/>
          <w:szCs w:val="24"/>
          <w:highlight w:val="white"/>
        </w:rPr>
      </w:pPr>
    </w:p>
    <w:p w14:paraId="0C0E6B68" w14:textId="77777777" w:rsidR="007F5695" w:rsidRPr="00D70D43" w:rsidRDefault="007F5695">
      <w:pPr>
        <w:spacing w:after="0" w:line="360" w:lineRule="auto"/>
        <w:rPr>
          <w:rFonts w:ascii="Times New Roman" w:hAnsi="Times New Roman" w:cs="Times New Roman"/>
          <w:b/>
          <w:sz w:val="24"/>
          <w:szCs w:val="24"/>
          <w:highlight w:val="white"/>
        </w:rPr>
      </w:pPr>
    </w:p>
    <w:p w14:paraId="000002C6" w14:textId="77777777" w:rsidR="00784AF4" w:rsidRPr="00D70D43" w:rsidRDefault="00784AF4">
      <w:pPr>
        <w:spacing w:after="0" w:line="360" w:lineRule="auto"/>
        <w:rPr>
          <w:rFonts w:ascii="Times New Roman" w:hAnsi="Times New Roman" w:cs="Times New Roman"/>
          <w:b/>
          <w:sz w:val="24"/>
          <w:szCs w:val="24"/>
          <w:highlight w:val="white"/>
        </w:rPr>
      </w:pPr>
    </w:p>
    <w:p w14:paraId="000002C7" w14:textId="6E9AFAE9" w:rsidR="00784AF4" w:rsidRPr="003C7995" w:rsidRDefault="006C2288">
      <w:pPr>
        <w:spacing w:after="0" w:line="360" w:lineRule="auto"/>
        <w:rPr>
          <w:rFonts w:ascii="Times New Roman" w:hAnsi="Times New Roman" w:cs="Times New Roman"/>
          <w:b/>
          <w:sz w:val="24"/>
          <w:szCs w:val="24"/>
          <w:highlight w:val="white"/>
          <w:u w:val="single"/>
        </w:rPr>
      </w:pPr>
      <w:bookmarkStart w:id="61" w:name="_Hlk137040347"/>
      <w:r w:rsidRPr="003C7995">
        <w:rPr>
          <w:rFonts w:ascii="Times New Roman" w:hAnsi="Times New Roman" w:cs="Times New Roman"/>
          <w:b/>
          <w:sz w:val="24"/>
          <w:szCs w:val="24"/>
          <w:highlight w:val="white"/>
          <w:u w:val="single"/>
        </w:rPr>
        <w:lastRenderedPageBreak/>
        <w:t xml:space="preserve">Supplementary information </w:t>
      </w:r>
      <w:r w:rsidR="001925CC">
        <w:rPr>
          <w:rFonts w:ascii="Times New Roman" w:hAnsi="Times New Roman" w:cs="Times New Roman"/>
          <w:b/>
          <w:sz w:val="24"/>
          <w:szCs w:val="24"/>
          <w:highlight w:val="white"/>
          <w:u w:val="single"/>
        </w:rPr>
        <w:t>5</w:t>
      </w:r>
      <w:r w:rsidRPr="003C7995">
        <w:rPr>
          <w:rFonts w:ascii="Times New Roman" w:hAnsi="Times New Roman" w:cs="Times New Roman"/>
          <w:b/>
          <w:sz w:val="24"/>
          <w:szCs w:val="24"/>
          <w:highlight w:val="white"/>
          <w:u w:val="single"/>
        </w:rPr>
        <w:t xml:space="preserve">: Additional discussion </w:t>
      </w:r>
    </w:p>
    <w:p w14:paraId="0000031D" w14:textId="27C5813A" w:rsidR="00784AF4" w:rsidRPr="002D7F82" w:rsidRDefault="001925CC">
      <w:pPr>
        <w:spacing w:before="240" w:after="0" w:line="360" w:lineRule="auto"/>
        <w:rPr>
          <w:rFonts w:ascii="Times New Roman" w:eastAsia="Times New Roman" w:hAnsi="Times New Roman" w:cs="Times New Roman"/>
          <w:b/>
          <w:i/>
          <w:sz w:val="24"/>
          <w:szCs w:val="24"/>
        </w:rPr>
      </w:pPr>
      <w:r w:rsidRPr="0064579A">
        <w:rPr>
          <w:rFonts w:ascii="Times New Roman" w:hAnsi="Times New Roman" w:cs="Times New Roman"/>
          <w:b/>
          <w:i/>
          <w:sz w:val="24"/>
          <w:szCs w:val="24"/>
        </w:rPr>
        <w:t>5.1</w:t>
      </w:r>
      <w:r w:rsidR="0003068C" w:rsidRPr="0064579A">
        <w:rPr>
          <w:rFonts w:ascii="Times New Roman" w:hAnsi="Times New Roman" w:cs="Times New Roman"/>
          <w:b/>
          <w:i/>
          <w:sz w:val="24"/>
          <w:szCs w:val="24"/>
        </w:rPr>
        <w:t xml:space="preserve"> </w:t>
      </w:r>
      <w:r w:rsidR="0003068C" w:rsidRPr="0056199B">
        <w:rPr>
          <w:rFonts w:ascii="Times New Roman" w:eastAsia="Times New Roman" w:hAnsi="Times New Roman" w:cs="Times New Roman"/>
          <w:b/>
          <w:i/>
          <w:sz w:val="24"/>
          <w:szCs w:val="24"/>
        </w:rPr>
        <w:t>Weaning a</w:t>
      </w:r>
      <w:r w:rsidRPr="002D7F82">
        <w:rPr>
          <w:rFonts w:ascii="Times New Roman" w:eastAsia="Times New Roman" w:hAnsi="Times New Roman" w:cs="Times New Roman"/>
          <w:b/>
          <w:i/>
          <w:sz w:val="24"/>
          <w:szCs w:val="24"/>
        </w:rPr>
        <w:t>t</w:t>
      </w:r>
      <w:r w:rsidR="0003068C" w:rsidRPr="002D7F82">
        <w:rPr>
          <w:rFonts w:ascii="Times New Roman" w:eastAsia="Times New Roman" w:hAnsi="Times New Roman" w:cs="Times New Roman"/>
          <w:b/>
          <w:i/>
          <w:sz w:val="24"/>
          <w:szCs w:val="24"/>
        </w:rPr>
        <w:t xml:space="preserve"> Taforalt</w:t>
      </w:r>
      <w:bookmarkEnd w:id="61"/>
      <w:r w:rsidR="0003068C" w:rsidRPr="002D7F82">
        <w:rPr>
          <w:rFonts w:ascii="Times New Roman" w:eastAsia="Times New Roman" w:hAnsi="Times New Roman" w:cs="Times New Roman"/>
          <w:b/>
          <w:i/>
          <w:sz w:val="24"/>
          <w:szCs w:val="24"/>
        </w:rPr>
        <w:t>:</w:t>
      </w:r>
    </w:p>
    <w:p w14:paraId="0000031E" w14:textId="77777777" w:rsidR="00784AF4" w:rsidRPr="00D70D43" w:rsidRDefault="0003068C">
      <w:pPr>
        <w:spacing w:after="0" w:line="360" w:lineRule="auto"/>
        <w:jc w:val="both"/>
        <w:rPr>
          <w:rFonts w:ascii="Times New Roman" w:eastAsia="Times New Roman" w:hAnsi="Times New Roman" w:cs="Times New Roman"/>
          <w:b/>
          <w:i/>
          <w:sz w:val="24"/>
          <w:szCs w:val="24"/>
        </w:rPr>
      </w:pPr>
      <w:r w:rsidRPr="00D70D43">
        <w:rPr>
          <w:rFonts w:ascii="Times New Roman" w:eastAsia="Times New Roman" w:hAnsi="Times New Roman" w:cs="Times New Roman"/>
          <w:b/>
          <w:i/>
          <w:sz w:val="24"/>
          <w:szCs w:val="24"/>
        </w:rPr>
        <w:t xml:space="preserve"> </w:t>
      </w:r>
    </w:p>
    <w:p w14:paraId="4A03C700" w14:textId="00A5A6E3" w:rsidR="008C0835" w:rsidRPr="00D70D43" w:rsidRDefault="008C0835" w:rsidP="008C0835">
      <w:pPr>
        <w:spacing w:after="0" w:line="360" w:lineRule="auto"/>
        <w:jc w:val="both"/>
        <w:rPr>
          <w:rFonts w:ascii="Times New Roman" w:eastAsia="Times New Roman" w:hAnsi="Times New Roman" w:cs="Times New Roman"/>
          <w:sz w:val="24"/>
          <w:szCs w:val="24"/>
          <w:highlight w:val="white"/>
        </w:rPr>
      </w:pPr>
      <w:r w:rsidRPr="00D70D43">
        <w:rPr>
          <w:rFonts w:ascii="Times New Roman" w:eastAsia="Times New Roman" w:hAnsi="Times New Roman" w:cs="Times New Roman"/>
          <w:sz w:val="24"/>
          <w:szCs w:val="24"/>
          <w:highlight w:val="white"/>
        </w:rPr>
        <w:t>For Zn</w:t>
      </w:r>
      <w:r w:rsidR="008B704D">
        <w:rPr>
          <w:rFonts w:ascii="Times New Roman" w:eastAsia="Times New Roman" w:hAnsi="Times New Roman" w:cs="Times New Roman"/>
          <w:sz w:val="24"/>
          <w:szCs w:val="24"/>
          <w:highlight w:val="white"/>
        </w:rPr>
        <w:t xml:space="preserve"> isotope ratios</w:t>
      </w:r>
      <w:r w:rsidRPr="00D70D43">
        <w:rPr>
          <w:rFonts w:ascii="Times New Roman" w:eastAsia="Times New Roman" w:hAnsi="Times New Roman" w:cs="Times New Roman"/>
          <w:sz w:val="24"/>
          <w:szCs w:val="24"/>
          <w:highlight w:val="white"/>
        </w:rPr>
        <w:t>, although a tooth</w:t>
      </w:r>
      <w:r w:rsidR="008E4A8A">
        <w:rPr>
          <w:rFonts w:ascii="Times New Roman" w:eastAsia="Times New Roman" w:hAnsi="Times New Roman" w:cs="Times New Roman"/>
          <w:sz w:val="24"/>
          <w:szCs w:val="24"/>
          <w:highlight w:val="white"/>
        </w:rPr>
        <w:t xml:space="preserve"> (M1)</w:t>
      </w:r>
      <w:r w:rsidRPr="00D70D43">
        <w:rPr>
          <w:rFonts w:ascii="Times New Roman" w:eastAsia="Times New Roman" w:hAnsi="Times New Roman" w:cs="Times New Roman"/>
          <w:sz w:val="24"/>
          <w:szCs w:val="24"/>
          <w:highlight w:val="white"/>
        </w:rPr>
        <w:t xml:space="preserve"> formed during breastfeeding period exhibit relatively high Zn isotope ratios (</w:t>
      </w:r>
      <w:r w:rsidR="005C7CB3">
        <w:rPr>
          <w:rFonts w:ascii="Times New Roman" w:eastAsia="Times New Roman" w:hAnsi="Times New Roman" w:cs="Times New Roman"/>
          <w:sz w:val="24"/>
          <w:szCs w:val="24"/>
          <w:highlight w:val="white"/>
        </w:rPr>
        <w:t>0.79</w:t>
      </w:r>
      <w:r w:rsidR="00CB7316">
        <w:rPr>
          <w:rFonts w:ascii="Times New Roman" w:eastAsia="Times New Roman" w:hAnsi="Times New Roman" w:cs="Times New Roman"/>
          <w:sz w:val="24"/>
          <w:szCs w:val="24"/>
          <w:highlight w:val="white"/>
        </w:rPr>
        <w:t>±0.04)</w:t>
      </w:r>
      <w:r w:rsidRPr="00D70D43">
        <w:rPr>
          <w:rFonts w:ascii="Times New Roman" w:eastAsia="Times New Roman" w:hAnsi="Times New Roman" w:cs="Times New Roman"/>
          <w:sz w:val="24"/>
          <w:szCs w:val="24"/>
          <w:highlight w:val="white"/>
        </w:rPr>
        <w:t xml:space="preserve">‰) (Figure SI </w:t>
      </w:r>
      <w:r w:rsidR="00AC12E4">
        <w:rPr>
          <w:rFonts w:ascii="Times New Roman" w:eastAsia="Times New Roman" w:hAnsi="Times New Roman" w:cs="Times New Roman"/>
          <w:sz w:val="24"/>
          <w:szCs w:val="24"/>
          <w:highlight w:val="white"/>
        </w:rPr>
        <w:t>4.8</w:t>
      </w:r>
      <w:r w:rsidRPr="00D70D43">
        <w:rPr>
          <w:rFonts w:ascii="Times New Roman" w:eastAsia="Times New Roman" w:hAnsi="Times New Roman" w:cs="Times New Roman"/>
          <w:sz w:val="24"/>
          <w:szCs w:val="24"/>
          <w:highlight w:val="white"/>
        </w:rPr>
        <w:t xml:space="preserve">), the </w:t>
      </w:r>
      <w:r w:rsidR="00206B29">
        <w:rPr>
          <w:rFonts w:ascii="Times New Roman" w:eastAsia="Times New Roman" w:hAnsi="Times New Roman" w:cs="Times New Roman"/>
          <w:sz w:val="24"/>
          <w:szCs w:val="24"/>
          <w:highlight w:val="white"/>
        </w:rPr>
        <w:t xml:space="preserve">zinc </w:t>
      </w:r>
      <w:r w:rsidRPr="00D70D43">
        <w:rPr>
          <w:rFonts w:ascii="Times New Roman" w:eastAsia="Times New Roman" w:hAnsi="Times New Roman" w:cs="Times New Roman"/>
          <w:sz w:val="24"/>
          <w:szCs w:val="24"/>
          <w:highlight w:val="white"/>
        </w:rPr>
        <w:t xml:space="preserve">isotopic variation between </w:t>
      </w:r>
      <w:r w:rsidR="00206B29">
        <w:rPr>
          <w:rFonts w:ascii="Times New Roman" w:eastAsia="Times New Roman" w:hAnsi="Times New Roman" w:cs="Times New Roman"/>
          <w:sz w:val="24"/>
          <w:szCs w:val="24"/>
          <w:highlight w:val="white"/>
        </w:rPr>
        <w:t xml:space="preserve">enamel samples, including samples belonging to the same tooth, is not significant </w:t>
      </w:r>
      <w:r w:rsidRPr="00D70D43">
        <w:rPr>
          <w:rFonts w:ascii="Times New Roman" w:eastAsia="Times New Roman" w:hAnsi="Times New Roman" w:cs="Times New Roman"/>
          <w:sz w:val="24"/>
          <w:szCs w:val="24"/>
          <w:highlight w:val="white"/>
        </w:rPr>
        <w:t xml:space="preserve">(n= 45, Kruskal-Wallis chi-squared = 3.6049, df = 2, p-value = 0.1649), in contradiction to what has been observed in Lapa do Santo (hunter gatherer from Brazil) and Rennes (medieval Breton population) </w:t>
      </w:r>
      <w:r>
        <w:rPr>
          <w:rFonts w:ascii="Times New Roman" w:eastAsia="Times New Roman" w:hAnsi="Times New Roman" w:cs="Times New Roman"/>
          <w:sz w:val="24"/>
          <w:szCs w:val="24"/>
          <w:highlight w:val="white"/>
        </w:rPr>
        <w:fldChar w:fldCharType="begin"/>
      </w:r>
      <w:r w:rsidR="000475E4">
        <w:rPr>
          <w:rFonts w:ascii="Times New Roman" w:eastAsia="Times New Roman" w:hAnsi="Times New Roman" w:cs="Times New Roman"/>
          <w:sz w:val="24"/>
          <w:szCs w:val="24"/>
          <w:highlight w:val="white"/>
        </w:rPr>
        <w:instrText xml:space="preserve"> ADDIN ZOTERO_ITEM CSL_CITATION {"citationID":"e9sxcVbj","properties":{"formattedCitation":"\\super 25,27\\nosupersub{}","plainCitation":"25,27","noteIndex":0},"citationItems":[{"id":187,"uris":["http://zotero.org/users/7125028/items/5MKWU4L4"],"itemData":{"id":187,"type":"article-journal","abstract":"Zinc (Zn) isotope ratios of dental enamel are a promising tracer for dietary reconstruction in archeology, but its use is still in its infancy. A recent study demonstrated a high risk of Zn contamination from nitrile, and latex gloves used during chemical sample preparation. Here we assess the potential impact of the use of such gloves during enamel sampling on the Zn isotope composition of teeth from a population of early Holocene hunter gatherers from Lapa do Santo, Lagoa Santa, Minas Gerais, Brazil. We first examined the amount of Zn and its isotopic composition released from the gloves used in this study by soaking them in weak nitric acid and water. We compared Zn isotope ratios obtained from teeth that were sampled wearing nitrile, latex or no gloves. Finally, we performed a linear mixed model (LMM) to investigate post hoc the relationship between the gloves used for sampling and the Zn isotope variability in dental enamel. We found that the gloves used in this study released a similar amount of Zn compared to previous work, but only in acidic solution. Zn isotope ratios of teeth and the LMM identified no sign of significant Zn coming from the gloves when teeth were handled for enamel sampling. We hypothesize that Zn in gloves is mostly released by contact with acids. We found that the main source of Zn isotope variability in the Lapa do Santo population was related to the developmental stage of the tooth tissues sampled. We report identical results for two individuals coming from a different archeological context. Tooth enamel formed in utero and/or during the two first years of life showed higher Zn isotope ratios than enamel formed after weaning. More work is required to systematically investigate if Zn isotopes can be used as a breastfeeding tracer.","container-title":"PLOS ONE","DOI":"10.1371/journal.pone.0232379","ISSN":"1932-6203","issue":"5","journalAbbreviation":"PLOS ONE","language":"en","note":"publisher: Public Library of Science","page":"e0232379","source":"PLoS Journals","title":"Zinc isotope variations in archeological human teeth (Lapa do Santo, Brazil) reveal dietary transitions in childhood and no contamination from gloves","volume":"15","author":[{"family":"Jaouen","given":"Klervia"},{"family":"Trost","given":"Manuel"},{"family":"Bourgon","given":"Nicolas"},{"family":"Colleter","given":"Rozenn"},{"family":"Cabec","given":"Adeline Le"},{"family":"Tütken","given":"Thomas"},{"family":"Oliveira","given":"Rodrigo Elias"},{"family":"Pons","given":"Marie Laure"},{"family":"Méjean","given":"Pauline"},{"family":"Steinbrenner","given":"Sven"},{"family":"Chmeleff","given":"Jérôme"},{"family":"Strauss","given":"André"}],"issued":{"date-parts":[["2020",5,14]]}}},{"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sidR="000475E4">
        <w:rPr>
          <w:rFonts w:ascii="Cambria Math" w:eastAsia="Times New Roman" w:hAnsi="Cambria Math" w:cs="Cambria Math"/>
          <w:sz w:val="24"/>
          <w:szCs w:val="24"/>
          <w:highlight w:val="white"/>
        </w:rPr>
        <w:instrText>∼</w:instrText>
      </w:r>
      <w:r w:rsidR="000475E4">
        <w:rPr>
          <w:rFonts w:ascii="Times New Roman" w:eastAsia="Times New Roman" w:hAnsi="Times New Roman" w:cs="Times New Roman"/>
          <w:sz w:val="24"/>
          <w:szCs w:val="24"/>
          <w:highlight w:val="white"/>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P."}],"issued":{"date-parts":[["2018",3,22]]}}}],"schema":"https://github.com/citation-style-language/schema/raw/master/csl-citation.json"} </w:instrText>
      </w:r>
      <w:r>
        <w:rPr>
          <w:rFonts w:ascii="Times New Roman" w:eastAsia="Times New Roman" w:hAnsi="Times New Roman" w:cs="Times New Roman"/>
          <w:sz w:val="24"/>
          <w:szCs w:val="24"/>
          <w:highlight w:val="white"/>
        </w:rPr>
        <w:fldChar w:fldCharType="separate"/>
      </w:r>
      <w:r w:rsidR="000475E4" w:rsidRPr="000475E4">
        <w:rPr>
          <w:rFonts w:ascii="Times New Roman" w:hAnsi="Times New Roman" w:cs="Times New Roman"/>
          <w:sz w:val="24"/>
          <w:szCs w:val="24"/>
          <w:vertAlign w:val="superscript"/>
        </w:rPr>
        <w:t>25,27</w:t>
      </w:r>
      <w:r>
        <w:rPr>
          <w:rFonts w:ascii="Times New Roman" w:eastAsia="Times New Roman" w:hAnsi="Times New Roman" w:cs="Times New Roman"/>
          <w:sz w:val="24"/>
          <w:szCs w:val="24"/>
          <w:highlight w:val="white"/>
        </w:rPr>
        <w:fldChar w:fldCharType="end"/>
      </w:r>
      <w:r w:rsidR="00B33F27">
        <w:rPr>
          <w:rFonts w:ascii="Times New Roman" w:eastAsia="Times New Roman" w:hAnsi="Times New Roman" w:cs="Times New Roman"/>
          <w:sz w:val="24"/>
          <w:szCs w:val="24"/>
          <w:highlight w:val="white"/>
        </w:rPr>
        <w:t xml:space="preserve"> (</w:t>
      </w:r>
      <w:r w:rsidR="00B33F27" w:rsidRPr="00FE7273">
        <w:rPr>
          <w:rFonts w:ascii="Times New Roman" w:eastAsia="Times New Roman" w:hAnsi="Times New Roman" w:cs="Times New Roman"/>
          <w:sz w:val="24"/>
          <w:szCs w:val="24"/>
        </w:rPr>
        <w:t>Figure S</w:t>
      </w:r>
      <w:r w:rsidR="002E64A0" w:rsidRPr="00FE7273">
        <w:rPr>
          <w:rFonts w:ascii="Times New Roman" w:eastAsia="Times New Roman" w:hAnsi="Times New Roman" w:cs="Times New Roman"/>
          <w:sz w:val="24"/>
          <w:szCs w:val="24"/>
        </w:rPr>
        <w:t>5.1</w:t>
      </w:r>
      <w:r w:rsidR="00B33F27" w:rsidRPr="00FE7273">
        <w:rPr>
          <w:rFonts w:ascii="Times New Roman" w:eastAsia="Times New Roman" w:hAnsi="Times New Roman" w:cs="Times New Roman"/>
          <w:sz w:val="24"/>
          <w:szCs w:val="24"/>
        </w:rPr>
        <w:t>)</w:t>
      </w:r>
      <w:r w:rsidRPr="00FE7273">
        <w:rPr>
          <w:rFonts w:ascii="Times New Roman" w:eastAsia="Times New Roman" w:hAnsi="Times New Roman" w:cs="Times New Roman"/>
          <w:sz w:val="24"/>
          <w:szCs w:val="24"/>
        </w:rPr>
        <w:t xml:space="preserve"> but matching the conclusion of </w:t>
      </w:r>
      <w:proofErr w:type="spellStart"/>
      <w:r w:rsidRPr="00FE7273">
        <w:rPr>
          <w:rFonts w:ascii="Times New Roman" w:eastAsia="Times New Roman" w:hAnsi="Times New Roman" w:cs="Times New Roman"/>
          <w:sz w:val="24"/>
          <w:szCs w:val="24"/>
        </w:rPr>
        <w:t>Bourgon</w:t>
      </w:r>
      <w:proofErr w:type="spellEnd"/>
      <w:r w:rsidRPr="00FE7273">
        <w:rPr>
          <w:rFonts w:ascii="Times New Roman" w:eastAsia="Times New Roman" w:hAnsi="Times New Roman" w:cs="Times New Roman"/>
          <w:sz w:val="24"/>
          <w:szCs w:val="24"/>
        </w:rPr>
        <w:t xml:space="preserve"> et al. 2021 and </w:t>
      </w:r>
      <w:proofErr w:type="spellStart"/>
      <w:r w:rsidRPr="00FE7273">
        <w:rPr>
          <w:rFonts w:ascii="Times New Roman" w:eastAsia="Times New Roman" w:hAnsi="Times New Roman" w:cs="Times New Roman"/>
          <w:sz w:val="24"/>
          <w:szCs w:val="24"/>
        </w:rPr>
        <w:t>Jaouen</w:t>
      </w:r>
      <w:proofErr w:type="spellEnd"/>
      <w:r w:rsidRPr="00FE7273">
        <w:rPr>
          <w:rFonts w:ascii="Times New Roman" w:eastAsia="Times New Roman" w:hAnsi="Times New Roman" w:cs="Times New Roman"/>
          <w:sz w:val="24"/>
          <w:szCs w:val="24"/>
        </w:rPr>
        <w:t xml:space="preserve"> et al 2022 on sin</w:t>
      </w:r>
      <w:r w:rsidRPr="00D70D43">
        <w:rPr>
          <w:rFonts w:ascii="Times New Roman" w:eastAsia="Times New Roman" w:hAnsi="Times New Roman" w:cs="Times New Roman"/>
          <w:sz w:val="24"/>
          <w:szCs w:val="24"/>
          <w:highlight w:val="white"/>
        </w:rPr>
        <w:t>gle individuals</w:t>
      </w:r>
      <w:r w:rsidR="008E4A8A">
        <w:rPr>
          <w:rFonts w:ascii="Times New Roman" w:eastAsia="Times New Roman" w:hAnsi="Times New Roman" w:cs="Times New Roman"/>
          <w:sz w:val="24"/>
          <w:szCs w:val="24"/>
          <w:highlight w:val="white"/>
        </w:rPr>
        <w:t xml:space="preserve"> that</w:t>
      </w:r>
      <w:r w:rsidR="00E13D49">
        <w:rPr>
          <w:rFonts w:ascii="Times New Roman" w:eastAsia="Times New Roman" w:hAnsi="Times New Roman" w:cs="Times New Roman"/>
          <w:sz w:val="24"/>
          <w:szCs w:val="24"/>
          <w:highlight w:val="white"/>
        </w:rPr>
        <w:t xml:space="preserve"> </w:t>
      </w:r>
      <w:r w:rsidR="008E4A8A">
        <w:rPr>
          <w:rFonts w:ascii="Times New Roman" w:eastAsia="Times New Roman" w:hAnsi="Times New Roman" w:cs="Times New Roman"/>
          <w:sz w:val="24"/>
          <w:szCs w:val="24"/>
          <w:highlight w:val="white"/>
        </w:rPr>
        <w:t>a</w:t>
      </w:r>
      <w:r w:rsidR="00E13D49">
        <w:rPr>
          <w:rFonts w:ascii="Times New Roman" w:eastAsia="Times New Roman" w:hAnsi="Times New Roman" w:cs="Times New Roman"/>
          <w:sz w:val="24"/>
          <w:szCs w:val="24"/>
          <w:highlight w:val="white"/>
        </w:rPr>
        <w:t>n</w:t>
      </w:r>
      <w:r w:rsidR="008E4A8A">
        <w:rPr>
          <w:rFonts w:ascii="Times New Roman" w:eastAsia="Times New Roman" w:hAnsi="Times New Roman" w:cs="Times New Roman"/>
          <w:sz w:val="24"/>
          <w:szCs w:val="24"/>
          <w:highlight w:val="white"/>
        </w:rPr>
        <w:t xml:space="preserve"> M1 can record a post-weaning signal</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fldChar w:fldCharType="begin"/>
      </w:r>
      <w:r w:rsidR="000E7E53">
        <w:rPr>
          <w:rFonts w:ascii="Times New Roman" w:eastAsia="Times New Roman" w:hAnsi="Times New Roman" w:cs="Times New Roman"/>
          <w:sz w:val="24"/>
          <w:szCs w:val="24"/>
          <w:highlight w:val="white"/>
        </w:rPr>
        <w:instrText xml:space="preserve"> ADDIN ZOTERO_ITEM CSL_CITATION {"citationID":"l7FohVBY","properties":{"formattedCitation":"\\super 22,64\\nosupersub{}","plainCitation":"22,64","noteIndex":0},"citationItems":[{"id":604,"uris":["http://zotero.org/users/7125028/items/NQZASCL3"],"itemData":{"id":604,"type":"article-journal","abstract":"Tam Pà Ling, a cave site in northeastern Laos, has yielded the earliest skeletal evidence of Homo sapiens in mainland Southeast Asia. The reliance of Pleistocene humans in rainforest settings on plant or animal resources is still largely unstudied, mainly due to poor collagen preservation in fossils from tropical environments precluding stable nitrogen isotope analysis, the classical trophic level proxy. However, isotopic ratios of zinc (Zn) in bioapatite constitute a promising proxy to infer trophic and dietary information from fossil vertebrates, even under adverse tropical taphonomic conditions. Here, we analyzed the zinc isotope composition (66Zn/64Zn expressed as δ66Zn value) in the enamel of two teeth of the Late Pleistocene (63–46 ka) H. sapiens individual (TPL1) from Tam Pà Ling, as well as 76 mammal teeth from the same site and the nearby Nam Lot cave. The human individual exhibits relatively low enamel δ66Zn values (+0.24‰) consistent with an omnivorous diet, suggesting a dietary reliance on both plant and animal matter. These findings offer direct evidence of the broad utilization of resources from tropical rainforests by one of the earliest known anatomically modern humans in Southeast Asia.","container-title":"Journal of Human Evolution","DOI":"10.1016/j.jhevol.2021.103075","ISSN":"0047-2484","journalAbbreviation":"Journal of Human Evolution","language":"en","page":"103075","source":"ScienceDirect","title":"Trophic ecology of a Late Pleistocene early modern human from tropical Southeast Asia inferred from zinc isotopes","volume":"161","author":[{"family":"Bourgon","given":"Nicolas"},{"family":"Jaouen","given":"Klervia"},{"family":"Bacon","given":"Anne-Marie"},{"family":"Dufour","given":"Elise"},{"family":"McCormack","given":"Jeremy"},{"family":"Tran","given":"N. -Han"},{"family":"Trost","given":"Manuel"},{"family":"Fiorillo","given":"Denis"},{"family":"Dunn","given":"Tyler E."},{"family":"Zanolli","given":"Clément"},{"family":"Zachwieja","given":"Alexandra"},{"family":"Duringer","given":"Philippe"},{"family":"Ponche","given":"Jean-Luc"},{"family":"Boesch","given":"Quentin"},{"family":"Antoine","given":"Pierre-Olivier"},{"family":"Westaway","given":"Kira E."},{"family":"Joannes-Boyau","given":"Renaud"},{"family":"Suzzoni","given":"Eric"},{"family":"Frangeul","given":"Sébastien"},{"family":"Crozier","given":"Françoise"},{"family":"Aubaile","given":"Françoise"},{"family":"Patole-Edoumba","given":"Elise"},{"family":"Luangkhoth","given":"Thonglith"},{"family":"Souksavatdy","given":"Viengkeo"},{"family":"Boualaphane","given":"Souliphane"},{"family":"Sayavonkhamdy","given":"Thongsa"},{"family":"Sichanthongtip","given":"Phonephanh"},{"family":"Sihanam","given":"Daovee"},{"family":"Demeter","given":"Fabrice"},{"family":"Shackelford","given":"Laura L."},{"family":"Hublin","given":"Jean-Jacques"},{"family":"Tütken","given":"Thomas"}],"issued":{"date-parts":[["2021",12,1]]}}},{"id":1,"uris":["http://zotero.org/users/7125028/items/PSYJGYVH"],"itemData":{"id":1,"type":"article-journal","container-title":"Proceedings of the National Academy of Sciences","DOI":"10.1073/pnas.2109315119","issue":"43","note":"publisher: Proceedings of the National Academy of Sciences","page":"e2109315119","source":"pnas.org (Atypon)","title":"A Neandertal dietary conundrum: Insights provided by tooth enamel Zn isotopes from Gabasa, Spain","title-short":"A Neandertal dietary conundrum","volume":"119","author":[{"family":"Jaouen","given":"Klervia"},{"family":"Villalba-Mouco","given":"Vanessa"},{"family":"Smith","given":"Geoff M."},{"family":"Trost","given":"Manuel"},{"family":"Leichliter","given":"Jennifer"},{"family":"Lüdecke","given":"Tina"},{"family":"Méjean","given":"Pauline"},{"family":"Mandrou","given":"Stéphanie"},{"family":"Chmeleff","given":"Jérôme"},{"family":"Guiserix","given":"Danaé"},{"family":"Bourgon","given":"Nicolas"},{"family":"Blasco","given":"Fernanda"},{"family":"Mendes Cardoso","given":"Jéssica"},{"family":"Duquenoy","given":"Camille"},{"family":"Moubtahij","given":"Zineb"},{"family":"Salazar Garcia","given":"Domingo C."},{"family":"Richards","given":"Michael"},{"family":"Tütken","given":"Thomas"},{"family":"Hublin","given":"Jean-Jacques"},{"family":"Utrilla","given":"Pilar"},{"family":"Montes","given":"Lourdes"}],"issued":{"date-parts":[["2022",10,25]]}}}],"schema":"https://github.com/citation-style-language/schema/raw/master/csl-citation.json"} </w:instrText>
      </w:r>
      <w:r>
        <w:rPr>
          <w:rFonts w:ascii="Times New Roman" w:eastAsia="Times New Roman" w:hAnsi="Times New Roman" w:cs="Times New Roman"/>
          <w:sz w:val="24"/>
          <w:szCs w:val="24"/>
          <w:highlight w:val="white"/>
        </w:rPr>
        <w:fldChar w:fldCharType="separate"/>
      </w:r>
      <w:r w:rsidR="000E7E53" w:rsidRPr="000E7E53">
        <w:rPr>
          <w:rFonts w:ascii="Times New Roman" w:hAnsi="Times New Roman" w:cs="Times New Roman"/>
          <w:sz w:val="24"/>
          <w:szCs w:val="24"/>
          <w:vertAlign w:val="superscript"/>
        </w:rPr>
        <w:t>22,64</w:t>
      </w:r>
      <w:r>
        <w:rPr>
          <w:rFonts w:ascii="Times New Roman" w:eastAsia="Times New Roman" w:hAnsi="Times New Roman" w:cs="Times New Roman"/>
          <w:sz w:val="24"/>
          <w:szCs w:val="24"/>
          <w:highlight w:val="white"/>
        </w:rPr>
        <w:fldChar w:fldCharType="end"/>
      </w:r>
      <w:r w:rsidR="000653E0">
        <w:rPr>
          <w:rFonts w:ascii="Times New Roman" w:eastAsia="Times New Roman" w:hAnsi="Times New Roman" w:cs="Times New Roman"/>
          <w:sz w:val="24"/>
          <w:szCs w:val="24"/>
          <w:highlight w:val="white"/>
        </w:rPr>
        <w:t xml:space="preserve"> (Figure S.4.10)</w:t>
      </w:r>
      <w:r w:rsidRPr="00D70D43">
        <w:rPr>
          <w:rFonts w:ascii="Times New Roman" w:eastAsia="Times New Roman" w:hAnsi="Times New Roman" w:cs="Times New Roman"/>
          <w:sz w:val="24"/>
          <w:szCs w:val="24"/>
          <w:highlight w:val="white"/>
        </w:rPr>
        <w:t>.</w:t>
      </w:r>
      <w:r w:rsidR="008E4A8A">
        <w:rPr>
          <w:rFonts w:ascii="Times New Roman" w:eastAsia="Times New Roman" w:hAnsi="Times New Roman" w:cs="Times New Roman"/>
          <w:sz w:val="24"/>
          <w:szCs w:val="24"/>
          <w:highlight w:val="white"/>
        </w:rPr>
        <w:t xml:space="preserve"> First molars have their crown formed between the birth to the age of 2.5 years old, and our sampling select parts formed between </w:t>
      </w:r>
      <w:r w:rsidR="008E4A8A">
        <w:rPr>
          <w:rFonts w:ascii="Times New Roman" w:eastAsia="Times New Roman" w:hAnsi="Times New Roman" w:cs="Times New Roman"/>
          <w:sz w:val="24"/>
          <w:szCs w:val="24"/>
          <w:highlight w:val="white"/>
        </w:rPr>
        <w:sym w:font="Symbol" w:char="F0BB"/>
      </w:r>
      <w:r w:rsidR="008E4A8A">
        <w:rPr>
          <w:rFonts w:ascii="Times New Roman" w:eastAsia="Times New Roman" w:hAnsi="Times New Roman" w:cs="Times New Roman"/>
          <w:sz w:val="24"/>
          <w:szCs w:val="24"/>
          <w:highlight w:val="white"/>
        </w:rPr>
        <w:t>1 to 2.5 years old (</w:t>
      </w:r>
      <w:r w:rsidR="00A807F2">
        <w:rPr>
          <w:rFonts w:ascii="Times New Roman" w:eastAsia="Times New Roman" w:hAnsi="Times New Roman" w:cs="Times New Roman"/>
          <w:sz w:val="24"/>
          <w:szCs w:val="24"/>
          <w:highlight w:val="white"/>
        </w:rPr>
        <w:t>See Supplementary Information 7, Teeth scans</w:t>
      </w:r>
      <w:r w:rsidR="008E4A8A">
        <w:rPr>
          <w:rFonts w:ascii="Times New Roman" w:eastAsia="Times New Roman" w:hAnsi="Times New Roman" w:cs="Times New Roman"/>
          <w:sz w:val="24"/>
          <w:szCs w:val="24"/>
          <w:highlight w:val="white"/>
        </w:rPr>
        <w:t>). Zinc mostly deposits during the maturation phase of the enamel, and not at the earlier stages of the formation. This can explain why we do not see the signature of breastfeeding at Taforalt, if the weaning already started around 1 year old.</w:t>
      </w:r>
    </w:p>
    <w:p w14:paraId="0DF6187B" w14:textId="6DFFF142" w:rsidR="008C0835" w:rsidRDefault="008C0835" w:rsidP="008C0835">
      <w:pPr>
        <w:spacing w:after="0" w:line="360" w:lineRule="auto"/>
        <w:jc w:val="both"/>
        <w:rPr>
          <w:rFonts w:ascii="Times New Roman" w:eastAsia="Times New Roman" w:hAnsi="Times New Roman" w:cs="Times New Roman"/>
          <w:sz w:val="24"/>
          <w:szCs w:val="24"/>
          <w:highlight w:val="white"/>
        </w:rPr>
      </w:pPr>
      <w:r w:rsidRPr="00D70D43">
        <w:rPr>
          <w:rFonts w:ascii="Times New Roman" w:eastAsia="Times New Roman" w:hAnsi="Times New Roman" w:cs="Times New Roman"/>
          <w:sz w:val="24"/>
          <w:szCs w:val="24"/>
          <w:highlight w:val="white"/>
        </w:rPr>
        <w:t xml:space="preserve">For </w:t>
      </w:r>
      <w:r w:rsidRPr="00D70D43">
        <w:rPr>
          <w:rFonts w:ascii="Times New Roman" w:hAnsi="Times New Roman" w:cs="Times New Roman"/>
          <w:sz w:val="24"/>
          <w:szCs w:val="24"/>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w:t>
      </w:r>
      <w:r w:rsidRPr="00D70D43">
        <w:rPr>
          <w:rFonts w:ascii="Times New Roman" w:eastAsia="Times New Roman" w:hAnsi="Times New Roman" w:cs="Times New Roman"/>
          <w:sz w:val="24"/>
          <w:szCs w:val="24"/>
          <w:highlight w:val="white"/>
        </w:rPr>
        <w:t xml:space="preserve">, the difference between breastfeeding and post-weaning period is more clear than with Zn, but still low (1.65 ‰) than what is usually observed (2-3‰) </w:t>
      </w:r>
      <w:r>
        <w:rPr>
          <w:rFonts w:ascii="Times New Roman" w:eastAsia="Times New Roman" w:hAnsi="Times New Roman" w:cs="Times New Roman"/>
          <w:sz w:val="24"/>
          <w:szCs w:val="24"/>
          <w:highlight w:val="white"/>
        </w:rPr>
        <w:t xml:space="preserve">for </w:t>
      </w:r>
      <w:r w:rsidRPr="00D70D43">
        <w:rPr>
          <w:rFonts w:ascii="Times New Roman" w:hAnsi="Times New Roman" w:cs="Times New Roman"/>
          <w:sz w:val="24"/>
          <w:szCs w:val="24"/>
        </w:rPr>
        <w:t>δ</w:t>
      </w:r>
      <w:r w:rsidRPr="00D70D43">
        <w:rPr>
          <w:rFonts w:ascii="Times New Roman" w:eastAsia="Times New Roman" w:hAnsi="Times New Roman" w:cs="Times New Roman"/>
          <w:sz w:val="24"/>
          <w:szCs w:val="24"/>
          <w:vertAlign w:val="superscript"/>
        </w:rPr>
        <w:t>15</w:t>
      </w:r>
      <w:r w:rsidRPr="00D70D43">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{"citationID":"OAbQulOj","properties":{"formattedCitation":"\\super 89,90\\nosupersub{}","plainCitation":"89,90","noteIndex":0},"citationItems":[{"id":740,"uris":["http://zotero.org/users/7125028/items/AT53A6UF"],"itemData":{"id":740,"type":"article-journal","container-title":"Carnegie Inst Wash Yearbook","journalAbbreviation":"Carnegie Inst Wash Yearbook","source":"ResearchGate","title":"Nitrogen Isotope Tracers of Human Lactation in Modern and Archaeological Populations","volume":"88","author":[{"family":"Fogel","given":"Marilyn"},{"family":"Tuross","given":"N."},{"family":"DW","given":"Owsley"}],"issued":{"date-parts":[["1989",1,1]]}}},{"id":743,"uris":["http://zotero.org/users/7125028/items/3YKHY82S"],"itemData":{"id":743,"type":"article-journal","abstract":"Carbon (13C/12C) and nitrogen (15N/14N) stable isotope ratios were longitudinally measured in fingernail and hair samples from mother-infant pairs where infants were exclusively breastfed (n = 5), breast- and formula-fed (n = 2), or exclusively formula-fed (n = 1) from birth. All exclusively breastfed infants had a dual enrichment in carbon (≈1‰) and nitrogen (≈2–3‰) when compared to maternal values. In contrast, breast- and formula-fed subjects had reduced enrichments compared to exclusively breastfed subjects, and the exclusively formula-fed infant showed no increase in δ13C or δ15N values. This finding of a carbon trophic level effect in breastfeeding infants suggests that 13C-enrichments of approximately 1‰ in archaeological populations are not necessarily the result of the consumption of C4-based weaning foods such as maize or millet. During the weaning process, the δ13C results for breastfed infants declined to maternal levels more rapidly than the δ15N results. This suggests that δ13C values have the potential to track the introduction of solid foods into the diet, whereas δ15N values monitor the length of time of breast milk consumption. These findings can be used to refine the isotopic analysis of breastfeeding and weaning patterns in past and modern populations. Am J Phys Anthropol, 2006. © 2005 Wiley-Liss, Inc.","container-title":"American Journal of Physical Anthropology","DOI":"10.1002/ajpa.20249","ISSN":"1096-8644","issue":"2","language":"en","note":"_eprint: https://onlinelibrary.wiley.com/doi/pdf/10.1002/ajpa.20249","page":"279-293","source":"Wiley Online Library","title":"Detection of breastfeeding and weaning in modern human infants with carbon and nitrogen stable isotope ratios","volume":"129","author":[{"family":"Fuller","given":"B.t."},{"family":"Fuller","given":"J.l."},{"family":"Harris","given":"D.a."},{"family":"Hedges","given":"R.e.m."}],"issued":{"date-parts":[["2006"]]}}}],"schema":"https://github.com/citation-style-language/schema/raw/master/csl-citation.json"} </w:instrText>
      </w:r>
      <w:r>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89,90</w:t>
      </w:r>
      <w:r>
        <w:rPr>
          <w:rFonts w:ascii="Times New Roman" w:eastAsia="Times New Roman" w:hAnsi="Times New Roman" w:cs="Times New Roman"/>
          <w:sz w:val="24"/>
          <w:szCs w:val="24"/>
        </w:rPr>
        <w:fldChar w:fldCharType="end"/>
      </w:r>
      <w:r w:rsidRPr="002A4C6C">
        <w:rPr>
          <w:rFonts w:ascii="Times New Roman" w:eastAsia="Times New Roman" w:hAnsi="Times New Roman" w:cs="Times New Roman"/>
          <w:sz w:val="24"/>
          <w:szCs w:val="24"/>
          <w:highlight w:val="white"/>
        </w:rPr>
        <w:t xml:space="preserve">. </w:t>
      </w:r>
      <w:r w:rsidRPr="00D70D43">
        <w:rPr>
          <w:rFonts w:ascii="Times New Roman" w:eastAsia="Times New Roman" w:hAnsi="Times New Roman" w:cs="Times New Roman"/>
          <w:sz w:val="24"/>
          <w:szCs w:val="24"/>
          <w:highlight w:val="white"/>
        </w:rPr>
        <w:t>The high TPs of the infants are associated with breastfeeding, which elevates their trophic level above the mother</w:t>
      </w:r>
      <w:r w:rsidR="00DF52E8">
        <w:rPr>
          <w:rFonts w:ascii="Times New Roman" w:eastAsia="Times New Roman" w:hAnsi="Times New Roman" w:cs="Times New Roman"/>
          <w:sz w:val="24"/>
          <w:szCs w:val="24"/>
          <w:highlight w:val="white"/>
        </w:rPr>
        <w:fldChar w:fldCharType="begin"/>
      </w:r>
      <w:r w:rsidR="000E7E53">
        <w:rPr>
          <w:rFonts w:ascii="Times New Roman" w:eastAsia="Times New Roman" w:hAnsi="Times New Roman" w:cs="Times New Roman"/>
          <w:sz w:val="24"/>
          <w:szCs w:val="24"/>
          <w:highlight w:val="white"/>
        </w:rPr>
        <w:instrText xml:space="preserve"> ADDIN ZOTERO_ITEM CSL_CITATION {"citationID":"a1574kp9chj","properties":{"formattedCitation":"\\super 90\\nosupersub{}","plainCitation":"90","noteIndex":0},"citationItems":[{"id":743,"uris":["http://zotero.org/users/7125028/items/3YKHY82S"],"itemData":{"id":743,"type":"article-journal","abstract":"Carbon (13C/12C) and nitrogen (15N/14N) stable isotope ratios were longitudinally measured in fingernail and hair samples from mother-infant pairs where infants were exclusively breastfed (n = 5), breast- and formula-fed (n = 2), or exclusively formula-fed (n = 1) from birth. All exclusively breastfed infants had a dual enrichment in carbon (≈1‰) and nitrogen (≈2–3‰) when compared to maternal values. In contrast, breast- and formula-fed subjects had reduced enrichments compared to exclusively breastfed subjects, and the exclusively formula-fed infant showed no increase in δ13C or δ15N values. This finding of a carbon trophic level effect in breastfeeding infants suggests that 13C-enrichments of approximately 1‰ in archaeological populations are not necessarily the result of the consumption of C4-based weaning foods such as maize or millet. During the weaning process, the δ13C results for breastfed infants declined to maternal levels more rapidly than the δ15N results. This suggests that δ13C values have the potential to track the introduction of solid foods into the diet, whereas δ15N values monitor the length of time of breast milk consumption. These findings can be used to refine the isotopic analysis of breastfeeding and weaning patterns in past and modern populations. Am J Phys Anthropol, 2006. © 2005 Wiley-Liss, Inc.","container-title":"American Journal of Physical Anthropology","DOI":"10.1002/ajpa.20249","ISSN":"1096-8644","issue":"2","language":"en","note":"_eprint: https://onlinelibrary.wiley.com/doi/pdf/10.1002/ajpa.20249","page":"279-293","source":"Wiley Online Library","title":"Detection of breastfeeding and weaning in modern human infants with carbon and nitrogen stable isotope ratios","volume":"129","author":[{"family":"Fuller","given":"B.t."},{"family":"Fuller","given":"J.l."},{"family":"Harris","given":"D.a."},{"family":"Hedges","given":"R.e.m."}],"issued":{"date-parts":[["2006"]]}}}],"schema":"https://github.com/citation-style-language/schema/raw/master/csl-citation.json"} </w:instrText>
      </w:r>
      <w:r w:rsidR="00DF52E8">
        <w:rPr>
          <w:rFonts w:ascii="Times New Roman" w:eastAsia="Times New Roman" w:hAnsi="Times New Roman" w:cs="Times New Roman"/>
          <w:sz w:val="24"/>
          <w:szCs w:val="24"/>
          <w:highlight w:val="white"/>
        </w:rPr>
        <w:fldChar w:fldCharType="separate"/>
      </w:r>
      <w:r w:rsidR="000E7E53" w:rsidRPr="000E7E53">
        <w:rPr>
          <w:rFonts w:ascii="Times New Roman" w:hAnsi="Times New Roman" w:cs="Times New Roman"/>
          <w:sz w:val="24"/>
          <w:szCs w:val="24"/>
          <w:vertAlign w:val="superscript"/>
        </w:rPr>
        <w:t>90</w:t>
      </w:r>
      <w:r w:rsidR="00DF52E8">
        <w:rPr>
          <w:rFonts w:ascii="Times New Roman" w:eastAsia="Times New Roman" w:hAnsi="Times New Roman" w:cs="Times New Roman"/>
          <w:sz w:val="24"/>
          <w:szCs w:val="24"/>
          <w:highlight w:val="white"/>
        </w:rPr>
        <w:fldChar w:fldCharType="end"/>
      </w:r>
      <w:r w:rsidRPr="00D70D43">
        <w:rPr>
          <w:rFonts w:ascii="Times New Roman" w:eastAsia="Times New Roman" w:hAnsi="Times New Roman" w:cs="Times New Roman"/>
          <w:sz w:val="24"/>
          <w:szCs w:val="24"/>
          <w:highlight w:val="white"/>
        </w:rPr>
        <w:t xml:space="preserve">. However, the TP of the deciduous second molar of Ind.6 indicates breastfeeding while that of the rib bone recorded a lower TP probably indicating the introduction of solid food to his diet before death (12 months) since the rib cage has a faster turnover than the other bones. </w:t>
      </w:r>
      <w:r w:rsidR="00775DFF">
        <w:rPr>
          <w:rFonts w:ascii="Times New Roman" w:eastAsia="Times New Roman" w:hAnsi="Times New Roman" w:cs="Times New Roman"/>
          <w:sz w:val="24"/>
          <w:szCs w:val="24"/>
          <w:highlight w:val="white"/>
        </w:rPr>
        <w:t xml:space="preserve">This decrease in trophic level was </w:t>
      </w:r>
      <w:r w:rsidR="003B6729">
        <w:rPr>
          <w:rFonts w:ascii="Times New Roman" w:eastAsia="Times New Roman" w:hAnsi="Times New Roman" w:cs="Times New Roman"/>
          <w:sz w:val="24"/>
          <w:szCs w:val="24"/>
          <w:highlight w:val="white"/>
        </w:rPr>
        <w:t>also</w:t>
      </w:r>
      <w:r w:rsidR="00775DFF">
        <w:rPr>
          <w:rFonts w:ascii="Times New Roman" w:eastAsia="Times New Roman" w:hAnsi="Times New Roman" w:cs="Times New Roman"/>
          <w:sz w:val="24"/>
          <w:szCs w:val="24"/>
          <w:highlight w:val="white"/>
        </w:rPr>
        <w:t xml:space="preserve"> detected on the</w:t>
      </w:r>
      <w:r w:rsidR="00246783">
        <w:rPr>
          <w:rFonts w:ascii="Times New Roman" w:eastAsia="Times New Roman" w:hAnsi="Times New Roman" w:cs="Times New Roman"/>
          <w:sz w:val="24"/>
          <w:szCs w:val="24"/>
          <w:highlight w:val="white"/>
        </w:rPr>
        <w:t xml:space="preserve"> bulk</w:t>
      </w:r>
      <w:r w:rsidR="00775DFF">
        <w:rPr>
          <w:rFonts w:ascii="Times New Roman" w:eastAsia="Times New Roman" w:hAnsi="Times New Roman" w:cs="Times New Roman"/>
          <w:sz w:val="24"/>
          <w:szCs w:val="24"/>
          <w:highlight w:val="white"/>
        </w:rPr>
        <w:t xml:space="preserve"> </w:t>
      </w:r>
      <w:r w:rsidR="00775DFF" w:rsidRPr="00D70D43">
        <w:rPr>
          <w:rFonts w:ascii="Times New Roman" w:hAnsi="Times New Roman" w:cs="Times New Roman"/>
          <w:sz w:val="24"/>
          <w:szCs w:val="24"/>
        </w:rPr>
        <w:t>δ</w:t>
      </w:r>
      <w:r w:rsidR="00775DFF" w:rsidRPr="00D70D43">
        <w:rPr>
          <w:rFonts w:ascii="Times New Roman" w:eastAsia="Times New Roman" w:hAnsi="Times New Roman" w:cs="Times New Roman"/>
          <w:sz w:val="24"/>
          <w:szCs w:val="24"/>
          <w:vertAlign w:val="superscript"/>
        </w:rPr>
        <w:t>15</w:t>
      </w:r>
      <w:r w:rsidR="00775DFF" w:rsidRPr="00D70D43">
        <w:rPr>
          <w:rFonts w:ascii="Times New Roman" w:eastAsia="Times New Roman" w:hAnsi="Times New Roman" w:cs="Times New Roman"/>
          <w:sz w:val="24"/>
          <w:szCs w:val="24"/>
        </w:rPr>
        <w:t>N</w:t>
      </w:r>
      <w:r w:rsidR="00775DFF">
        <w:rPr>
          <w:rFonts w:ascii="Times New Roman" w:eastAsia="Times New Roman" w:hAnsi="Times New Roman" w:cs="Times New Roman"/>
          <w:sz w:val="24"/>
          <w:szCs w:val="24"/>
          <w:highlight w:val="white"/>
        </w:rPr>
        <w:t xml:space="preserve"> since </w:t>
      </w:r>
      <w:r w:rsidR="00C924C4">
        <w:rPr>
          <w:rFonts w:ascii="Times New Roman" w:eastAsia="Times New Roman" w:hAnsi="Times New Roman" w:cs="Times New Roman"/>
          <w:sz w:val="24"/>
          <w:szCs w:val="24"/>
          <w:highlight w:val="white"/>
        </w:rPr>
        <w:t>it</w:t>
      </w:r>
      <w:r w:rsidR="00775DFF">
        <w:rPr>
          <w:rFonts w:ascii="Times New Roman" w:eastAsia="Times New Roman" w:hAnsi="Times New Roman" w:cs="Times New Roman"/>
          <w:sz w:val="24"/>
          <w:szCs w:val="24"/>
          <w:highlight w:val="white"/>
        </w:rPr>
        <w:t xml:space="preserve"> show</w:t>
      </w:r>
      <w:r w:rsidR="00C924C4">
        <w:rPr>
          <w:rFonts w:ascii="Times New Roman" w:eastAsia="Times New Roman" w:hAnsi="Times New Roman" w:cs="Times New Roman"/>
          <w:sz w:val="24"/>
          <w:szCs w:val="24"/>
          <w:highlight w:val="white"/>
        </w:rPr>
        <w:t>s</w:t>
      </w:r>
      <w:r w:rsidR="00775DFF">
        <w:rPr>
          <w:rFonts w:ascii="Times New Roman" w:eastAsia="Times New Roman" w:hAnsi="Times New Roman" w:cs="Times New Roman"/>
          <w:sz w:val="24"/>
          <w:szCs w:val="24"/>
          <w:highlight w:val="white"/>
        </w:rPr>
        <w:t xml:space="preserve"> relatively </w:t>
      </w:r>
      <w:r w:rsidR="003B6729">
        <w:rPr>
          <w:rFonts w:ascii="Times New Roman" w:eastAsia="Times New Roman" w:hAnsi="Times New Roman" w:cs="Times New Roman"/>
          <w:sz w:val="24"/>
          <w:szCs w:val="24"/>
          <w:highlight w:val="white"/>
        </w:rPr>
        <w:t>a change isotopic</w:t>
      </w:r>
      <w:r w:rsidR="00775DFF">
        <w:rPr>
          <w:rFonts w:ascii="Times New Roman" w:eastAsia="Times New Roman" w:hAnsi="Times New Roman" w:cs="Times New Roman"/>
          <w:sz w:val="24"/>
          <w:szCs w:val="24"/>
          <w:highlight w:val="white"/>
        </w:rPr>
        <w:t xml:space="preserve"> values</w:t>
      </w:r>
      <w:r w:rsidR="00246783">
        <w:rPr>
          <w:rFonts w:ascii="Times New Roman" w:eastAsia="Times New Roman" w:hAnsi="Times New Roman" w:cs="Times New Roman"/>
          <w:sz w:val="24"/>
          <w:szCs w:val="24"/>
          <w:highlight w:val="white"/>
        </w:rPr>
        <w:t xml:space="preserve"> between the different </w:t>
      </w:r>
      <w:r w:rsidR="00C924C4">
        <w:rPr>
          <w:rFonts w:ascii="Times New Roman" w:eastAsia="Times New Roman" w:hAnsi="Times New Roman" w:cs="Times New Roman"/>
          <w:sz w:val="24"/>
          <w:szCs w:val="24"/>
          <w:highlight w:val="white"/>
        </w:rPr>
        <w:t>tissues of the infant</w:t>
      </w:r>
      <w:r w:rsidR="008139F3">
        <w:rPr>
          <w:rFonts w:ascii="Times New Roman" w:eastAsia="Times New Roman" w:hAnsi="Times New Roman" w:cs="Times New Roman"/>
          <w:sz w:val="24"/>
          <w:szCs w:val="24"/>
          <w:highlight w:val="white"/>
        </w:rPr>
        <w:t xml:space="preserve"> (</w:t>
      </w:r>
      <w:r w:rsidR="008139F3" w:rsidRPr="0064579A">
        <w:rPr>
          <w:rFonts w:ascii="Times New Roman" w:eastAsia="Arial" w:hAnsi="Times New Roman" w:cs="Times New Roman"/>
          <w:b/>
          <w:sz w:val="24"/>
          <w:szCs w:val="24"/>
        </w:rPr>
        <w:t>Figure 5.</w:t>
      </w:r>
      <w:r w:rsidR="007019F1">
        <w:rPr>
          <w:rFonts w:ascii="Times New Roman" w:eastAsia="Arial" w:hAnsi="Times New Roman" w:cs="Times New Roman"/>
          <w:b/>
          <w:sz w:val="24"/>
          <w:szCs w:val="24"/>
        </w:rPr>
        <w:t>2</w:t>
      </w:r>
      <w:r w:rsidR="008139F3">
        <w:rPr>
          <w:rFonts w:ascii="Times New Roman" w:eastAsia="Arial" w:hAnsi="Times New Roman" w:cs="Times New Roman"/>
          <w:b/>
          <w:sz w:val="24"/>
          <w:szCs w:val="24"/>
        </w:rPr>
        <w:t>)</w:t>
      </w:r>
      <w:r w:rsidR="00775DFF">
        <w:rPr>
          <w:rFonts w:ascii="Times New Roman" w:eastAsia="Times New Roman" w:hAnsi="Times New Roman" w:cs="Times New Roman"/>
          <w:sz w:val="24"/>
          <w:szCs w:val="24"/>
          <w:highlight w:val="white"/>
        </w:rPr>
        <w:t xml:space="preserve">. </w:t>
      </w:r>
    </w:p>
    <w:p w14:paraId="4440A8D3" w14:textId="77777777" w:rsidR="004E2C85" w:rsidRPr="00D70D43" w:rsidRDefault="004E2C85" w:rsidP="004E2C85">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06D01BA" wp14:editId="30E820E7">
            <wp:extent cx="6815719" cy="5537771"/>
            <wp:effectExtent l="0" t="0" r="4445"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gplot2save-figure-S4.10_01.06_ink.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825982" cy="5546110"/>
                    </a:xfrm>
                    <a:prstGeom prst="rect">
                      <a:avLst/>
                    </a:prstGeom>
                  </pic:spPr>
                </pic:pic>
              </a:graphicData>
            </a:graphic>
          </wp:inline>
        </w:drawing>
      </w:r>
    </w:p>
    <w:p w14:paraId="7F998AC1" w14:textId="6569B3A3" w:rsidR="004E2C85" w:rsidRPr="00684136" w:rsidRDefault="004E2C85" w:rsidP="004E2C85">
      <w:pPr>
        <w:spacing w:line="360" w:lineRule="auto"/>
        <w:rPr>
          <w:rFonts w:ascii="Times New Roman" w:hAnsi="Times New Roman" w:cs="Times New Roman"/>
          <w:b/>
          <w:color w:val="FF0000"/>
          <w:sz w:val="24"/>
          <w:szCs w:val="24"/>
          <w:highlight w:val="yellow"/>
        </w:rPr>
      </w:pPr>
      <w:bookmarkStart w:id="62" w:name="_Hlk137040361"/>
      <w:r w:rsidRPr="0064579A">
        <w:rPr>
          <w:rFonts w:ascii="Times New Roman" w:hAnsi="Times New Roman" w:cs="Times New Roman"/>
          <w:b/>
          <w:sz w:val="24"/>
          <w:szCs w:val="24"/>
        </w:rPr>
        <w:t>Figure S</w:t>
      </w:r>
      <w:r w:rsidR="0007221D">
        <w:rPr>
          <w:rFonts w:ascii="Times New Roman" w:hAnsi="Times New Roman" w:cs="Times New Roman"/>
          <w:b/>
          <w:sz w:val="24"/>
          <w:szCs w:val="24"/>
        </w:rPr>
        <w:t>5.1</w:t>
      </w:r>
      <w:r w:rsidRPr="00D70D43">
        <w:rPr>
          <w:rFonts w:ascii="Times New Roman" w:hAnsi="Times New Roman" w:cs="Times New Roman"/>
          <w:sz w:val="24"/>
          <w:szCs w:val="24"/>
        </w:rPr>
        <w:t xml:space="preserve"> : </w:t>
      </w:r>
      <w:r>
        <w:rPr>
          <w:rFonts w:ascii="Times New Roman" w:hAnsi="Times New Roman" w:cs="Times New Roman"/>
          <w:sz w:val="24"/>
          <w:szCs w:val="24"/>
        </w:rPr>
        <w:t xml:space="preserve">The average </w:t>
      </w:r>
      <w:r w:rsidRPr="0064579A">
        <w:rPr>
          <w:rFonts w:ascii="Times New Roman" w:eastAsia="Arial" w:hAnsi="Times New Roman" w:cs="Times New Roman"/>
          <w:sz w:val="24"/>
          <w:szCs w:val="24"/>
        </w:rPr>
        <w:t xml:space="preserve">Zn isotope </w:t>
      </w:r>
      <w:r>
        <w:rPr>
          <w:rFonts w:ascii="Times New Roman" w:eastAsia="Arial" w:hAnsi="Times New Roman" w:cs="Times New Roman"/>
          <w:sz w:val="24"/>
          <w:szCs w:val="24"/>
        </w:rPr>
        <w:t>ratios</w:t>
      </w:r>
      <w:r w:rsidRPr="0064579A">
        <w:rPr>
          <w:rFonts w:ascii="Times New Roman" w:eastAsia="Arial" w:hAnsi="Times New Roman" w:cs="Times New Roman"/>
          <w:sz w:val="24"/>
          <w:szCs w:val="24"/>
        </w:rPr>
        <w:t xml:space="preserve"> </w:t>
      </w:r>
      <w:r>
        <w:rPr>
          <w:rFonts w:ascii="Times New Roman" w:eastAsia="Arial" w:hAnsi="Times New Roman" w:cs="Times New Roman"/>
          <w:sz w:val="24"/>
          <w:szCs w:val="24"/>
        </w:rPr>
        <w:t>in the different human samples from Taforalt compared to those from the Medieval site of Rennes, France</w:t>
      </w:r>
      <w:r>
        <w:rPr>
          <w:rFonts w:ascii="Times New Roman" w:eastAsia="Arial" w:hAnsi="Times New Roman" w:cs="Times New Roman"/>
          <w:sz w:val="24"/>
          <w:szCs w:val="24"/>
        </w:rPr>
        <w:fldChar w:fldCharType="begin"/>
      </w:r>
      <w:r>
        <w:rPr>
          <w:rFonts w:ascii="Times New Roman" w:eastAsia="Arial" w:hAnsi="Times New Roman" w:cs="Times New Roman"/>
          <w:sz w:val="24"/>
          <w:szCs w:val="24"/>
        </w:rPr>
        <w:instrText xml:space="preserve"> ADDIN ZOTERO_ITEM CSL_CITATION {"citationID":"Z1COkY1y","properties":{"formattedCitation":"\\super 25\\nosupersub{}","plainCitation":"25","noteIndex":0},"citationItems":[{"id":126,"uris":["http://zotero.org/users/7125028/items/IEYUJ9Z8"],"itemData":{"id":126,"type":"article-journal","abstract":"Here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Pr>
          <w:rFonts w:ascii="Cambria Math" w:eastAsia="Arial" w:hAnsi="Cambria Math" w:cs="Cambria Math"/>
          <w:sz w:val="24"/>
          <w:szCs w:val="24"/>
        </w:rPr>
        <w:instrText>∼</w:instrText>
      </w:r>
      <w:r>
        <w:rPr>
          <w:rFonts w:ascii="Times New Roman" w:eastAsia="Arial" w:hAnsi="Times New Roman" w:cs="Times New Roman"/>
          <w:sz w:val="24"/>
          <w:szCs w:val="24"/>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P."}],"issued":{"date-parts":[["2018",3,22]]}}}],"schema":"https://github.com/citation-style-language/schema/raw/master/csl-citation.json"} </w:instrText>
      </w:r>
      <w:r>
        <w:rPr>
          <w:rFonts w:ascii="Times New Roman" w:eastAsia="Arial" w:hAnsi="Times New Roman" w:cs="Times New Roman"/>
          <w:sz w:val="24"/>
          <w:szCs w:val="24"/>
        </w:rPr>
        <w:fldChar w:fldCharType="separate"/>
      </w:r>
      <w:r w:rsidRPr="000475E4">
        <w:rPr>
          <w:rFonts w:ascii="Times New Roman" w:hAnsi="Times New Roman" w:cs="Times New Roman"/>
          <w:sz w:val="24"/>
          <w:szCs w:val="24"/>
          <w:vertAlign w:val="superscript"/>
        </w:rPr>
        <w:t>25</w:t>
      </w:r>
      <w:r>
        <w:rPr>
          <w:rFonts w:ascii="Times New Roman" w:eastAsia="Arial" w:hAnsi="Times New Roman" w:cs="Times New Roman"/>
          <w:sz w:val="24"/>
          <w:szCs w:val="24"/>
        </w:rPr>
        <w:fldChar w:fldCharType="end"/>
      </w:r>
      <w:r>
        <w:rPr>
          <w:rFonts w:ascii="Times New Roman" w:eastAsia="Arial" w:hAnsi="Times New Roman" w:cs="Times New Roman"/>
          <w:sz w:val="24"/>
          <w:szCs w:val="24"/>
        </w:rPr>
        <w:t xml:space="preserve"> and Lapa do Santo, Brazil</w:t>
      </w:r>
      <w:r>
        <w:rPr>
          <w:rFonts w:ascii="Times New Roman" w:eastAsia="Arial" w:hAnsi="Times New Roman" w:cs="Times New Roman"/>
          <w:sz w:val="24"/>
          <w:szCs w:val="24"/>
        </w:rPr>
        <w:fldChar w:fldCharType="begin"/>
      </w:r>
      <w:r>
        <w:rPr>
          <w:rFonts w:ascii="Times New Roman" w:eastAsia="Arial" w:hAnsi="Times New Roman" w:cs="Times New Roman"/>
          <w:sz w:val="24"/>
          <w:szCs w:val="24"/>
        </w:rPr>
        <w:instrText xml:space="preserve"> ADDIN ZOTERO_ITEM CSL_CITATION {"citationID":"XMMGLIhz","properties":{"formattedCitation":"\\super 27\\nosupersub{}","plainCitation":"27","noteIndex":0},"citationItems":[{"id":187,"uris":["http://zotero.org/users/7125028/items/5MKWU4L4"],"itemData":{"id":187,"type":"article-journal","abstract":"Zinc (Zn) isotope ratios of dental enamel are a promising tracer for dietary reconstruction in archeology, but its use is still in its infancy. A recent study demonstrated a high risk of Zn contamination from nitrile, and latex gloves used during chemical sample preparation. Here we assess the potential impact of the use of such gloves during enamel sampling on the Zn isotope composition of teeth from a population of early Holocene hunter gatherers from Lapa do Santo, Lagoa Santa, Minas Gerais, Brazil. We first examined the amount of Zn and its isotopic composition released from the gloves used in this study by soaking them in weak nitric acid and water. We compared Zn isotope ratios obtained from teeth that were sampled wearing nitrile, latex or no gloves. Finally, we performed a linear mixed model (LMM) to investigate post hoc the relationship between the gloves used for sampling and the Zn isotope variability in dental enamel. We found that the gloves used in this study released a similar amount of Zn compared to previous work, but only in acidic solution. Zn isotope ratios of teeth and the LMM identified no sign of significant Zn coming from the gloves when teeth were handled for enamel sampling. We hypothesize that Zn in gloves is mostly released by contact with acids. We found that the main source of Zn isotope variability in the Lapa do Santo population was related to the developmental stage of the tooth tissues sampled. We report identical results for two individuals coming from a different archeological context. Tooth enamel formed in utero and/or during the two first years of life showed higher Zn isotope ratios than enamel formed after weaning. More work is required to systematically investigate if Zn isotopes can be used as a breastfeeding tracer.","container-title":"PLOS ONE","DOI":"10.1371/journal.pone.0232379","ISSN":"1932-6203","issue":"5","journalAbbreviation":"PLOS ONE","language":"en","note":"publisher: Public Library of Science","page":"e0232379","source":"PLoS Journals","title":"Zinc isotope variations in archeological human teeth (Lapa do Santo, Brazil) reveal dietary transitions in childhood and no contamination from gloves","volume":"15","author":[{"family":"Jaouen","given":"Klervia"},{"family":"Trost","given":"Manuel"},{"family":"Bourgon","given":"Nicolas"},{"family":"Colleter","given":"Rozenn"},{"family":"Cabec","given":"Adeline Le"},{"family":"Tütken","given":"Thomas"},{"family":"Oliveira","given":"Rodrigo Elias"},{"family":"Pons","given":"Marie Laure"},{"family":"Méjean","given":"Pauline"},{"family":"Steinbrenner","given":"Sven"},{"family":"Chmeleff","given":"Jérôme"},{"family":"Strauss","given":"André"}],"issued":{"date-parts":[["2020",5,14]]}}}],"schema":"https://github.com/citation-style-language/schema/raw/master/csl-citation.json"} </w:instrText>
      </w:r>
      <w:r>
        <w:rPr>
          <w:rFonts w:ascii="Times New Roman" w:eastAsia="Arial" w:hAnsi="Times New Roman" w:cs="Times New Roman"/>
          <w:sz w:val="24"/>
          <w:szCs w:val="24"/>
        </w:rPr>
        <w:fldChar w:fldCharType="separate"/>
      </w:r>
      <w:r w:rsidRPr="000475E4">
        <w:rPr>
          <w:rFonts w:ascii="Times New Roman" w:hAnsi="Times New Roman" w:cs="Times New Roman"/>
          <w:sz w:val="24"/>
          <w:szCs w:val="24"/>
          <w:vertAlign w:val="superscript"/>
        </w:rPr>
        <w:t>27</w:t>
      </w:r>
      <w:r>
        <w:rPr>
          <w:rFonts w:ascii="Times New Roman" w:eastAsia="Arial" w:hAnsi="Times New Roman" w:cs="Times New Roman"/>
          <w:sz w:val="24"/>
          <w:szCs w:val="24"/>
        </w:rPr>
        <w:fldChar w:fldCharType="end"/>
      </w:r>
      <w:r>
        <w:rPr>
          <w:rFonts w:ascii="Times New Roman" w:eastAsia="Arial" w:hAnsi="Times New Roman" w:cs="Times New Roman"/>
          <w:sz w:val="24"/>
          <w:szCs w:val="24"/>
        </w:rPr>
        <w:t>. The teeth are ranked from the earliest forming enamel to the latest forming crown. The standard deviation for the zinc value is represented in a dashed line. Each point represents the average zinc values of the same type of tooth.</w:t>
      </w:r>
    </w:p>
    <w:bookmarkEnd w:id="62"/>
    <w:p w14:paraId="4D9C595F" w14:textId="77777777" w:rsidR="001E0EC4" w:rsidRPr="00D70D43" w:rsidRDefault="001E0EC4" w:rsidP="008C0835">
      <w:pPr>
        <w:spacing w:after="0" w:line="360" w:lineRule="auto"/>
        <w:jc w:val="both"/>
        <w:rPr>
          <w:rFonts w:ascii="Times New Roman" w:eastAsia="Times New Roman" w:hAnsi="Times New Roman" w:cs="Times New Roman"/>
          <w:sz w:val="24"/>
          <w:szCs w:val="24"/>
          <w:highlight w:val="white"/>
        </w:rPr>
      </w:pPr>
    </w:p>
    <w:p w14:paraId="2E8F8982" w14:textId="15286832" w:rsidR="005B04BC" w:rsidRPr="0025134F" w:rsidRDefault="009B7377" w:rsidP="0025134F">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D59D453" wp14:editId="66BA0D75">
            <wp:extent cx="6804813" cy="4207933"/>
            <wp:effectExtent l="0" t="0" r="0" b="2540"/>
            <wp:docPr id="198" name="Imag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ggplot2save-figure-S5.3_02.06_ink.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811395" cy="4212003"/>
                    </a:xfrm>
                    <a:prstGeom prst="rect">
                      <a:avLst/>
                    </a:prstGeom>
                  </pic:spPr>
                </pic:pic>
              </a:graphicData>
            </a:graphic>
          </wp:inline>
        </w:drawing>
      </w:r>
    </w:p>
    <w:p w14:paraId="7EDC8003" w14:textId="609D5D7B" w:rsidR="005B04BC" w:rsidRPr="00D70D43" w:rsidRDefault="00333F7C" w:rsidP="005B04BC">
      <w:pPr>
        <w:spacing w:after="0" w:line="240" w:lineRule="auto"/>
        <w:jc w:val="center"/>
        <w:rPr>
          <w:rFonts w:ascii="Times New Roman" w:eastAsia="Times New Roman" w:hAnsi="Times New Roman" w:cs="Times New Roman"/>
          <w:sz w:val="24"/>
          <w:szCs w:val="24"/>
        </w:rPr>
      </w:pPr>
      <w:sdt>
        <w:sdtPr>
          <w:rPr>
            <w:rFonts w:ascii="Times New Roman" w:hAnsi="Times New Roman" w:cs="Times New Roman"/>
            <w:sz w:val="24"/>
            <w:szCs w:val="24"/>
          </w:rPr>
          <w:tag w:val="goog_rdk_9"/>
          <w:id w:val="1994069995"/>
          <w:showingPlcHdr/>
        </w:sdtPr>
        <w:sdtContent>
          <w:r w:rsidR="005B04BC">
            <w:rPr>
              <w:rFonts w:ascii="Times New Roman" w:hAnsi="Times New Roman" w:cs="Times New Roman"/>
              <w:sz w:val="24"/>
              <w:szCs w:val="24"/>
            </w:rPr>
            <w:t xml:space="preserve">     </w:t>
          </w:r>
        </w:sdtContent>
      </w:sdt>
      <w:sdt>
        <w:sdtPr>
          <w:rPr>
            <w:rFonts w:ascii="Times New Roman" w:hAnsi="Times New Roman" w:cs="Times New Roman"/>
            <w:sz w:val="24"/>
            <w:szCs w:val="24"/>
          </w:rPr>
          <w:tag w:val="goog_rdk_10"/>
          <w:id w:val="-420110468"/>
          <w:showingPlcHdr/>
        </w:sdtPr>
        <w:sdtContent>
          <w:r w:rsidR="009B7377">
            <w:rPr>
              <w:rFonts w:ascii="Times New Roman" w:hAnsi="Times New Roman" w:cs="Times New Roman"/>
              <w:sz w:val="24"/>
              <w:szCs w:val="24"/>
            </w:rPr>
            <w:t xml:space="preserve">     </w:t>
          </w:r>
        </w:sdtContent>
      </w:sdt>
    </w:p>
    <w:p w14:paraId="7B01C73A" w14:textId="1F7B7A36" w:rsidR="00246783" w:rsidRPr="001571CA" w:rsidRDefault="005B04BC" w:rsidP="0039441C">
      <w:pPr>
        <w:spacing w:line="360" w:lineRule="auto"/>
        <w:rPr>
          <w:rFonts w:asciiTheme="majorBidi" w:hAnsiTheme="majorBidi" w:cstheme="majorBidi"/>
          <w:noProof/>
          <w:sz w:val="24"/>
          <w:szCs w:val="24"/>
        </w:rPr>
      </w:pPr>
      <w:bookmarkStart w:id="63" w:name="_Hlk137040367"/>
      <w:r w:rsidRPr="00343DF9">
        <w:rPr>
          <w:rFonts w:ascii="Times New Roman" w:eastAsia="Arial" w:hAnsi="Times New Roman" w:cs="Times New Roman"/>
          <w:b/>
          <w:sz w:val="24"/>
          <w:szCs w:val="24"/>
        </w:rPr>
        <w:t xml:space="preserve">Figure </w:t>
      </w:r>
      <w:r w:rsidR="00E76B9C" w:rsidRPr="00343DF9">
        <w:rPr>
          <w:rFonts w:ascii="Times New Roman" w:eastAsia="Arial" w:hAnsi="Times New Roman" w:cs="Times New Roman"/>
          <w:b/>
          <w:sz w:val="24"/>
          <w:szCs w:val="24"/>
        </w:rPr>
        <w:t>5.</w:t>
      </w:r>
      <w:r w:rsidR="0007221D">
        <w:rPr>
          <w:rFonts w:ascii="Times New Roman" w:eastAsia="Arial" w:hAnsi="Times New Roman" w:cs="Times New Roman"/>
          <w:b/>
          <w:sz w:val="24"/>
          <w:szCs w:val="24"/>
        </w:rPr>
        <w:t>2</w:t>
      </w:r>
      <w:r w:rsidRPr="00343DF9">
        <w:rPr>
          <w:rFonts w:ascii="Times New Roman" w:eastAsia="Arial" w:hAnsi="Times New Roman" w:cs="Times New Roman"/>
          <w:b/>
          <w:sz w:val="24"/>
          <w:szCs w:val="24"/>
        </w:rPr>
        <w:t>:</w:t>
      </w:r>
      <w:r w:rsidRPr="00343DF9">
        <w:rPr>
          <w:rFonts w:ascii="Times New Roman" w:eastAsia="Arial" w:hAnsi="Times New Roman" w:cs="Times New Roman"/>
          <w:sz w:val="24"/>
          <w:szCs w:val="24"/>
        </w:rPr>
        <w:t xml:space="preserve"> </w:t>
      </w:r>
      <w:r w:rsidR="00246783" w:rsidRPr="001571CA">
        <w:rPr>
          <w:rFonts w:asciiTheme="majorBidi" w:hAnsiTheme="majorBidi" w:cstheme="majorBidi"/>
          <w:sz w:val="24"/>
          <w:szCs w:val="24"/>
        </w:rPr>
        <w:t xml:space="preserve">Boxplot of the </w:t>
      </w:r>
      <w:r w:rsidR="00246783" w:rsidRPr="001571CA">
        <w:rPr>
          <w:rFonts w:asciiTheme="majorBidi" w:eastAsia="Times New Roman" w:hAnsiTheme="majorBidi" w:cstheme="majorBidi"/>
          <w:sz w:val="24"/>
          <w:szCs w:val="24"/>
        </w:rPr>
        <w:t>δ</w:t>
      </w:r>
      <w:r w:rsidR="00246783">
        <w:rPr>
          <w:rFonts w:asciiTheme="majorBidi" w:eastAsia="Times New Roman" w:hAnsiTheme="majorBidi" w:cstheme="majorBidi"/>
          <w:sz w:val="24"/>
          <w:szCs w:val="24"/>
          <w:vertAlign w:val="superscript"/>
        </w:rPr>
        <w:t>15N</w:t>
      </w:r>
      <w:r w:rsidR="00246783" w:rsidRPr="001571CA">
        <w:rPr>
          <w:rFonts w:asciiTheme="majorBidi" w:eastAsia="Times New Roman" w:hAnsiTheme="majorBidi" w:cstheme="majorBidi"/>
          <w:sz w:val="24"/>
          <w:szCs w:val="24"/>
        </w:rPr>
        <w:t xml:space="preserve"> </w:t>
      </w:r>
      <w:r w:rsidR="00246783" w:rsidRPr="001571CA">
        <w:rPr>
          <w:rFonts w:asciiTheme="majorBidi" w:hAnsiTheme="majorBidi" w:cstheme="majorBidi"/>
          <w:sz w:val="24"/>
          <w:szCs w:val="24"/>
        </w:rPr>
        <w:t xml:space="preserve">values from </w:t>
      </w:r>
      <w:r w:rsidR="00246783">
        <w:rPr>
          <w:rFonts w:asciiTheme="majorBidi" w:hAnsiTheme="majorBidi" w:cstheme="majorBidi"/>
          <w:sz w:val="24"/>
          <w:szCs w:val="24"/>
        </w:rPr>
        <w:t xml:space="preserve">dentine and bone </w:t>
      </w:r>
      <w:r w:rsidR="00DF52E8">
        <w:rPr>
          <w:rFonts w:asciiTheme="majorBidi" w:hAnsiTheme="majorBidi" w:cstheme="majorBidi"/>
          <w:sz w:val="24"/>
          <w:szCs w:val="24"/>
        </w:rPr>
        <w:t xml:space="preserve">bulk </w:t>
      </w:r>
      <w:r w:rsidR="00246783">
        <w:rPr>
          <w:rFonts w:asciiTheme="majorBidi" w:hAnsiTheme="majorBidi" w:cstheme="majorBidi"/>
          <w:sz w:val="24"/>
          <w:szCs w:val="24"/>
        </w:rPr>
        <w:t xml:space="preserve">collagen </w:t>
      </w:r>
      <w:r w:rsidR="00246783" w:rsidRPr="001571CA">
        <w:rPr>
          <w:rFonts w:asciiTheme="majorBidi" w:hAnsiTheme="majorBidi" w:cstheme="majorBidi"/>
          <w:sz w:val="24"/>
          <w:szCs w:val="24"/>
        </w:rPr>
        <w:t>of different individuals analyzed in this study</w:t>
      </w:r>
      <w:r w:rsidR="00246783" w:rsidRPr="001571CA">
        <w:rPr>
          <w:rFonts w:asciiTheme="majorBidi" w:hAnsiTheme="majorBidi" w:cstheme="majorBidi"/>
          <w:noProof/>
          <w:sz w:val="24"/>
          <w:szCs w:val="24"/>
        </w:rPr>
        <w:t>.</w:t>
      </w:r>
      <w:r w:rsidR="00246783">
        <w:rPr>
          <w:rFonts w:asciiTheme="majorBidi" w:hAnsiTheme="majorBidi" w:cstheme="majorBidi"/>
          <w:noProof/>
          <w:sz w:val="24"/>
          <w:szCs w:val="24"/>
        </w:rPr>
        <w:t xml:space="preserve"> </w:t>
      </w:r>
      <w:r w:rsidR="0039441C">
        <w:rPr>
          <w:rFonts w:asciiTheme="majorBidi" w:hAnsiTheme="majorBidi" w:cstheme="majorBidi"/>
          <w:noProof/>
          <w:sz w:val="24"/>
          <w:szCs w:val="24"/>
        </w:rPr>
        <w:t>Different tooth types are represented in different shapes.</w:t>
      </w:r>
    </w:p>
    <w:p w14:paraId="6C27DCE3" w14:textId="3B1DA2F8" w:rsidR="005B04BC" w:rsidRPr="0056199B" w:rsidRDefault="005B04BC" w:rsidP="005B04BC">
      <w:pPr>
        <w:spacing w:after="0" w:line="240" w:lineRule="auto"/>
        <w:rPr>
          <w:rFonts w:ascii="Times New Roman" w:eastAsia="Times New Roman" w:hAnsi="Times New Roman" w:cs="Times New Roman"/>
          <w:b/>
          <w:sz w:val="24"/>
          <w:szCs w:val="24"/>
        </w:rPr>
      </w:pPr>
    </w:p>
    <w:p w14:paraId="00000321" w14:textId="3A686FDD" w:rsidR="00784AF4" w:rsidRDefault="00784AF4">
      <w:pPr>
        <w:spacing w:after="0" w:line="360" w:lineRule="auto"/>
        <w:jc w:val="both"/>
        <w:rPr>
          <w:rFonts w:ascii="Times New Roman" w:eastAsia="Times New Roman" w:hAnsi="Times New Roman" w:cs="Times New Roman"/>
          <w:b/>
          <w:i/>
          <w:sz w:val="24"/>
          <w:szCs w:val="24"/>
        </w:rPr>
      </w:pPr>
    </w:p>
    <w:bookmarkEnd w:id="63"/>
    <w:p w14:paraId="53984CD9" w14:textId="362B7319" w:rsidR="009F094F" w:rsidRPr="00D70D43" w:rsidRDefault="009F094F">
      <w:pPr>
        <w:spacing w:after="0" w:line="360" w:lineRule="auto"/>
        <w:jc w:val="both"/>
        <w:rPr>
          <w:rFonts w:ascii="Times New Roman" w:eastAsia="Times New Roman" w:hAnsi="Times New Roman" w:cs="Times New Roman"/>
          <w:b/>
          <w:i/>
          <w:sz w:val="24"/>
          <w:szCs w:val="24"/>
        </w:rPr>
      </w:pPr>
    </w:p>
    <w:p w14:paraId="00000322" w14:textId="0FE01D50" w:rsidR="00784AF4" w:rsidRPr="00D70D43" w:rsidRDefault="001925CC">
      <w:pPr>
        <w:spacing w:after="0" w:line="360" w:lineRule="auto"/>
        <w:jc w:val="both"/>
        <w:rPr>
          <w:rFonts w:ascii="Times New Roman" w:eastAsia="Times New Roman" w:hAnsi="Times New Roman" w:cs="Times New Roman"/>
          <w:b/>
          <w:i/>
          <w:sz w:val="24"/>
          <w:szCs w:val="24"/>
        </w:rPr>
      </w:pPr>
      <w:bookmarkStart w:id="64" w:name="_Hlk137040373"/>
      <w:r>
        <w:rPr>
          <w:rFonts w:ascii="Times New Roman" w:eastAsia="Times New Roman" w:hAnsi="Times New Roman" w:cs="Times New Roman"/>
          <w:b/>
          <w:i/>
          <w:sz w:val="24"/>
          <w:szCs w:val="24"/>
        </w:rPr>
        <w:t>5.2</w:t>
      </w:r>
      <w:r w:rsidR="0003068C" w:rsidRPr="00D70D43">
        <w:rPr>
          <w:rFonts w:ascii="Times New Roman" w:eastAsia="Times New Roman" w:hAnsi="Times New Roman" w:cs="Times New Roman"/>
          <w:b/>
          <w:i/>
          <w:sz w:val="24"/>
          <w:szCs w:val="24"/>
        </w:rPr>
        <w:t xml:space="preserve"> Trophic level prediction with Zn </w:t>
      </w:r>
    </w:p>
    <w:bookmarkEnd w:id="64"/>
    <w:p w14:paraId="00000323" w14:textId="77777777" w:rsidR="00784AF4" w:rsidRPr="00D70D43" w:rsidRDefault="0003068C">
      <w:pPr>
        <w:spacing w:before="240" w:after="24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The CSIA from amino acids are powerful techniques to reconstruct the trophic position of individuals using the TP (C3) equation. However, since only few samples yielded enough preserved collagen, we were able to estimate the TP of few samples. Given the fact that Zn was preserved in all the analyzed samples and shows a strong correlation with the TP (on amino acids), we established an equation to predict the TP of samples that did not yield enough collagen using the </w:t>
      </w:r>
      <w:r w:rsidRPr="00D70D43">
        <w:rPr>
          <w:rFonts w:ascii="Times New Roman" w:eastAsia="Times New Roman" w:hAnsi="Times New Roman" w:cs="Times New Roman"/>
          <w:sz w:val="24"/>
          <w:szCs w:val="24"/>
          <w:highlight w:val="white"/>
        </w:rPr>
        <w:t>δ</w:t>
      </w:r>
      <w:r w:rsidRPr="00D70D43">
        <w:rPr>
          <w:rFonts w:ascii="Times New Roman" w:eastAsia="Times New Roman" w:hAnsi="Times New Roman" w:cs="Times New Roman"/>
          <w:sz w:val="24"/>
          <w:szCs w:val="24"/>
          <w:highlight w:val="white"/>
          <w:vertAlign w:val="superscript"/>
        </w:rPr>
        <w:t>66</w:t>
      </w:r>
      <w:r w:rsidRPr="00D70D43">
        <w:rPr>
          <w:rFonts w:ascii="Times New Roman" w:eastAsia="Times New Roman" w:hAnsi="Times New Roman" w:cs="Times New Roman"/>
          <w:sz w:val="24"/>
          <w:szCs w:val="24"/>
          <w:highlight w:val="white"/>
        </w:rPr>
        <w:t>Zn</w:t>
      </w:r>
      <w:r w:rsidRPr="00D70D43">
        <w:rPr>
          <w:rFonts w:ascii="Times New Roman" w:eastAsia="Times New Roman" w:hAnsi="Times New Roman" w:cs="Times New Roman"/>
          <w:sz w:val="24"/>
          <w:szCs w:val="24"/>
        </w:rPr>
        <w:t xml:space="preserve"> values:</w:t>
      </w:r>
    </w:p>
    <w:p w14:paraId="00000324" w14:textId="5F8A42AB" w:rsidR="00784AF4" w:rsidRPr="00D70D43" w:rsidRDefault="0003068C">
      <w:pPr>
        <w:spacing w:before="240" w:after="240" w:line="360" w:lineRule="auto"/>
        <w:jc w:val="center"/>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 xml:space="preserve"> TP (equation) = </w:t>
      </w:r>
      <w:r w:rsidR="005B04BC">
        <w:rPr>
          <w:rFonts w:ascii="Times New Roman" w:eastAsia="Times New Roman" w:hAnsi="Times New Roman" w:cs="Times New Roman"/>
          <w:sz w:val="24"/>
          <w:szCs w:val="24"/>
        </w:rPr>
        <w:t>-</w:t>
      </w:r>
      <w:r w:rsidRPr="00D70D43">
        <w:rPr>
          <w:rFonts w:ascii="Times New Roman" w:eastAsia="Times New Roman" w:hAnsi="Times New Roman" w:cs="Times New Roman"/>
          <w:sz w:val="24"/>
          <w:szCs w:val="24"/>
        </w:rPr>
        <w:t>0.8959*</w:t>
      </w:r>
      <w:r w:rsidRPr="00D70D43">
        <w:rPr>
          <w:rFonts w:ascii="Times New Roman" w:eastAsia="Times New Roman" w:hAnsi="Times New Roman" w:cs="Times New Roman"/>
          <w:sz w:val="24"/>
          <w:szCs w:val="24"/>
          <w:highlight w:val="white"/>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w:t>
      </w:r>
      <w:r w:rsidR="0020388D" w:rsidRPr="0020388D">
        <w:rPr>
          <w:rFonts w:ascii="Times New Roman" w:eastAsia="Times New Roman" w:hAnsi="Times New Roman" w:cs="Times New Roman"/>
          <w:sz w:val="24"/>
          <w:szCs w:val="24"/>
          <w:vertAlign w:val="subscript"/>
        </w:rPr>
        <w:t>enamel</w:t>
      </w:r>
      <w:r w:rsidRPr="0020388D">
        <w:rPr>
          <w:rFonts w:ascii="Times New Roman" w:eastAsia="Times New Roman" w:hAnsi="Times New Roman" w:cs="Times New Roman"/>
          <w:sz w:val="24"/>
          <w:szCs w:val="24"/>
          <w:vertAlign w:val="subscript"/>
        </w:rPr>
        <w:t xml:space="preserve"> </w:t>
      </w:r>
      <w:r w:rsidRPr="00D70D43">
        <w:rPr>
          <w:rFonts w:ascii="Times New Roman" w:eastAsia="Times New Roman" w:hAnsi="Times New Roman" w:cs="Times New Roman"/>
          <w:sz w:val="24"/>
          <w:szCs w:val="24"/>
        </w:rPr>
        <w:t>+ 3.1455</w:t>
      </w:r>
    </w:p>
    <w:p w14:paraId="00000325" w14:textId="3324B25E" w:rsidR="00784AF4" w:rsidRDefault="0003068C">
      <w:pPr>
        <w:spacing w:before="240" w:after="24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highlight w:val="white"/>
        </w:rPr>
        <w:lastRenderedPageBreak/>
        <w:t>The average value of the human from Taforalt was still 2.5 using this equation.</w:t>
      </w:r>
      <w:r w:rsidR="0020388D">
        <w:rPr>
          <w:rFonts w:ascii="Times New Roman" w:eastAsia="Times New Roman" w:hAnsi="Times New Roman" w:cs="Times New Roman"/>
          <w:sz w:val="24"/>
          <w:szCs w:val="24"/>
          <w:highlight w:val="white"/>
        </w:rPr>
        <w:t xml:space="preserve"> Knowing the influence of the geology on local Zn isotope ratios and notable baseline differences between tropical and non-tropical sites (</w:t>
      </w:r>
      <w:r w:rsidR="0056199B">
        <w:rPr>
          <w:rFonts w:ascii="Times New Roman" w:eastAsia="Times New Roman" w:hAnsi="Times New Roman" w:cs="Times New Roman"/>
          <w:sz w:val="24"/>
          <w:szCs w:val="24"/>
          <w:highlight w:val="white"/>
        </w:rPr>
        <w:fldChar w:fldCharType="begin"/>
      </w:r>
      <w:r w:rsidR="000475E4">
        <w:rPr>
          <w:rFonts w:ascii="Times New Roman" w:eastAsia="Times New Roman" w:hAnsi="Times New Roman" w:cs="Times New Roman"/>
          <w:sz w:val="24"/>
          <w:szCs w:val="24"/>
          <w:highlight w:val="white"/>
        </w:rPr>
        <w:instrText xml:space="preserve"> ADDIN ZOTERO_ITEM CSL_CITATION {"citationID":"RhWTW0Dj","properties":{"formattedCitation":"\\super 23,26\\nosupersub{}","plainCitation":"23,26","noteIndex":0},"citationItems":[{"id":189,"uris":["http://zotero.org/users/7125028/items/2SID4BZP"],"itemData":{"id":189,"type":"article-journal","container-title":"Proceedings of the National Academy of Sciences","issue":"9","journalAbbreviation":"PNAS","page":"4675-4681","title":"Zinc isotopes in Late Pleistocene fossil teeth from a Southeast Asian cave setting preserve paleodietary information","volume":"117","author":[{"family":"Bourgon","given":"Nicolas"},{"family":"Jaouen","given":"Klervia"},{"family":"Bacon","given":"Anne-Marie"},{"family":"Jochum","given":"Klaus Peter"},{"family":"Dufour","given":"Elise"},{"family":"Duringer","given":"Philippe"},{"family":"Ponche","given":"Jean-Luc"},{"family":"Joannes-Boyau","given":"Renaud"},{"family":"Boesch","given":"Quentin"},{"family":"Antoine","given":"Pierre-Olivier"},{"family":"Hullot","given":"Manon"},{"family":"Weis","given":"Ulrike"},{"family":"Schulz-Kornas","given":"Ellen"},{"family":"Trost","given":"Manuel"},{"family":"Fiorillo","given":"Denis"},{"family":"Demeter","given":"Fabrice"},{"family":"Patole-Edoumba","given":"Elise"},{"family":"Shackelford","given":"Laura L."},{"family":"Dunn","given":"Tyler E."},{"family":"Zachwieja","given":"Alexandra"},{"family":"Duangthongchit","given":"Somoh"},{"family":"Sayavonkhamdy","given":"Thongsa"},{"family":"Sichanthongtip","given":"Phonephanh"},{"family":"Sihanam","given":"Daovee"},{"family":"Souksavatdy","given":"Viengkeo"},{"family":"Hublin","given":"Jean-Jacques"},{"family":"Tütken","given":"Thomas"}],"issued":{"date-parts":[["2020",3,3]]}}},{"id":257,"uris":["http://zotero.org/users/7125028/items/JAQK23F2"],"itemData":{"id":257,"type":"article-journal","abstract":"In order to explore the possibilities of using zinc (Zn) stable isotope ratios as dietary indicators, we report here on the measurements of the ratio of stable isotopes of zinc (66Zn/64Zn, expressed here as δ66Zn) in bioapatite (bone and dental enamel) of animals from a modern food web in the Koobi Fora region of the Turkana Basin in Kenya. We demonstrate that δ66Zn values in both bone and enamel allow a clear distinction between carnivores and herbivores from this food web. Differences were also observed between browsers and grazers as well as between carnivores that consumed bone (i.e. hyenas) compared to those that largely consume flesh (i.e. lions). We conclude that Zn isotope ratio measurements of bone and teeth are a new and promising dietary indicator.","container-title":"Scientific Reports","DOI":"10.1038/srep26281","ISSN":"2045-2322","language":"en","license":"2016 Nature Publishing Group","page":"26281","source":"www.nature.com","title":"Zinc isotope ratios of bones and teeth as new dietary indicators: results from a modern food web (Koobi Fora, Kenya)","title-short":"Zinc isotope ratios of bones and teeth as new dietary indicators","volume":"6","author":[{"family":"Jaouen","given":"Klervia"},{"family":"Beasley","given":"Melanie"},{"family":"Schoeninger","given":"Margaret"},{"family":"Hublin","given":"Jean-Jacques"},{"family":"Richards","given":"Michael P."}],"issued":{"date-parts":[["2016",5,18]]}}}],"schema":"https://github.com/citation-style-language/schema/raw/master/csl-citation.json"} </w:instrText>
      </w:r>
      <w:r w:rsidR="0056199B">
        <w:rPr>
          <w:rFonts w:ascii="Times New Roman" w:eastAsia="Times New Roman" w:hAnsi="Times New Roman" w:cs="Times New Roman"/>
          <w:sz w:val="24"/>
          <w:szCs w:val="24"/>
          <w:highlight w:val="white"/>
        </w:rPr>
        <w:fldChar w:fldCharType="separate"/>
      </w:r>
      <w:r w:rsidR="000475E4" w:rsidRPr="000475E4">
        <w:rPr>
          <w:rFonts w:ascii="Times New Roman" w:hAnsi="Times New Roman" w:cs="Times New Roman"/>
          <w:sz w:val="24"/>
          <w:szCs w:val="24"/>
          <w:vertAlign w:val="superscript"/>
        </w:rPr>
        <w:t>23,26</w:t>
      </w:r>
      <w:r w:rsidR="0056199B">
        <w:rPr>
          <w:rFonts w:ascii="Times New Roman" w:eastAsia="Times New Roman" w:hAnsi="Times New Roman" w:cs="Times New Roman"/>
          <w:sz w:val="24"/>
          <w:szCs w:val="24"/>
          <w:highlight w:val="white"/>
        </w:rPr>
        <w:fldChar w:fldCharType="end"/>
      </w:r>
      <w:r w:rsidR="0020388D">
        <w:rPr>
          <w:rFonts w:ascii="Times New Roman" w:eastAsia="Times New Roman" w:hAnsi="Times New Roman" w:cs="Times New Roman"/>
          <w:sz w:val="24"/>
          <w:szCs w:val="24"/>
          <w:highlight w:val="white"/>
        </w:rPr>
        <w:t>,), this equation is possibly only valid for sites with similar biomes and geologies.</w:t>
      </w:r>
      <w:r w:rsidRPr="00D70D43">
        <w:rPr>
          <w:rFonts w:ascii="Times New Roman" w:eastAsia="Times New Roman" w:hAnsi="Times New Roman" w:cs="Times New Roman"/>
          <w:sz w:val="24"/>
          <w:szCs w:val="24"/>
          <w:highlight w:val="white"/>
        </w:rPr>
        <w:t xml:space="preserve"> </w:t>
      </w:r>
      <w:r w:rsidR="0020388D">
        <w:rPr>
          <w:rFonts w:ascii="Times New Roman" w:eastAsia="Times New Roman" w:hAnsi="Times New Roman" w:cs="Times New Roman"/>
          <w:sz w:val="24"/>
          <w:szCs w:val="24"/>
          <w:highlight w:val="white"/>
        </w:rPr>
        <w:t>For example, a</w:t>
      </w:r>
      <w:r w:rsidRPr="00D70D43">
        <w:rPr>
          <w:rFonts w:ascii="Times New Roman" w:eastAsia="Times New Roman" w:hAnsi="Times New Roman" w:cs="Times New Roman"/>
          <w:sz w:val="24"/>
          <w:szCs w:val="24"/>
          <w:highlight w:val="white"/>
        </w:rPr>
        <w:t xml:space="preserve">pplying </w:t>
      </w:r>
      <w:r w:rsidR="0020388D">
        <w:rPr>
          <w:rFonts w:ascii="Times New Roman" w:eastAsia="Times New Roman" w:hAnsi="Times New Roman" w:cs="Times New Roman"/>
          <w:sz w:val="24"/>
          <w:szCs w:val="24"/>
          <w:highlight w:val="white"/>
        </w:rPr>
        <w:t>the equation</w:t>
      </w:r>
      <w:r w:rsidRPr="00D70D43">
        <w:rPr>
          <w:rFonts w:ascii="Times New Roman" w:eastAsia="Times New Roman" w:hAnsi="Times New Roman" w:cs="Times New Roman"/>
          <w:sz w:val="24"/>
          <w:szCs w:val="24"/>
          <w:highlight w:val="white"/>
        </w:rPr>
        <w:t xml:space="preserve"> to terrestrial mammals from </w:t>
      </w:r>
      <w:r w:rsidRPr="00D70D43">
        <w:rPr>
          <w:rFonts w:ascii="Times New Roman" w:eastAsia="Times New Roman" w:hAnsi="Times New Roman" w:cs="Times New Roman"/>
          <w:sz w:val="24"/>
          <w:szCs w:val="24"/>
        </w:rPr>
        <w:t xml:space="preserve">Tam Hay </w:t>
      </w:r>
      <w:proofErr w:type="spellStart"/>
      <w:r w:rsidRPr="00D70D43">
        <w:rPr>
          <w:rFonts w:ascii="Times New Roman" w:eastAsia="Times New Roman" w:hAnsi="Times New Roman" w:cs="Times New Roman"/>
          <w:sz w:val="24"/>
          <w:szCs w:val="24"/>
        </w:rPr>
        <w:t>Marklot</w:t>
      </w:r>
      <w:proofErr w:type="spellEnd"/>
      <w:r w:rsidR="0020388D">
        <w:rPr>
          <w:rFonts w:ascii="Times New Roman" w:eastAsia="Times New Roman" w:hAnsi="Times New Roman" w:cs="Times New Roman"/>
          <w:sz w:val="24"/>
          <w:szCs w:val="24"/>
        </w:rPr>
        <w:t>, it</w:t>
      </w:r>
      <w:r w:rsidRPr="00D70D43">
        <w:rPr>
          <w:rFonts w:ascii="Times New Roman" w:eastAsia="Times New Roman" w:hAnsi="Times New Roman" w:cs="Times New Roman"/>
          <w:sz w:val="24"/>
          <w:szCs w:val="24"/>
        </w:rPr>
        <w:t xml:space="preserve"> predicts a TL of 3 for carnivores, a TL of 2.8 for omnivores and a TL of 2.5 for herbivores </w:t>
      </w:r>
      <w:r w:rsidR="0056199B">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{"citationID":"256bVz9E","properties":{"formattedCitation":"\\super 23\\nosupersub{}","plainCitation":"23","noteIndex":0},"citationItems":[{"id":189,"uris":["http://zotero.org/users/7125028/items/2SID4BZP"],"itemData":{"id":189,"type":"article-journal","container-title":"Proceedings of the National Academy of Sciences","issue":"9","journalAbbreviation":"PNAS","page":"4675-4681","title":"Zinc isotopes in Late Pleistocene fossil teeth from a Southeast Asian cave setting preserve paleodietary information","volume":"117","author":[{"family":"Bourgon","given":"Nicolas"},{"family":"Jaouen","given":"Klervia"},{"family":"Bacon","given":"Anne-Marie"},{"family":"Jochum","given":"Klaus Peter"},{"family":"Dufour","given":"Elise"},{"family":"Duringer","given":"Philippe"},{"family":"Ponche","given":"Jean-Luc"},{"family":"Joannes-Boyau","given":"Renaud"},{"family":"Boesch","given":"Quentin"},{"family":"Antoine","given":"Pierre-Olivier"},{"family":"Hullot","given":"Manon"},{"family":"Weis","given":"Ulrike"},{"family":"Schulz-Kornas","given":"Ellen"},{"family":"Trost","given":"Manuel"},{"family":"Fiorillo","given":"Denis"},{"family":"Demeter","given":"Fabrice"},{"family":"Patole-Edoumba","given":"Elise"},{"family":"Shackelford","given":"Laura L."},{"family":"Dunn","given":"Tyler E."},{"family":"Zachwieja","given":"Alexandra"},{"family":"Duangthongchit","given":"Somoh"},{"family":"Sayavonkhamdy","given":"Thongsa"},{"family":"Sichanthongtip","given":"Phonephanh"},{"family":"Sihanam","given":"Daovee"},{"family":"Souksavatdy","given":"Viengkeo"},{"family":"Hublin","given":"Jean-Jacques"},{"family":"Tütken","given":"Thomas"}],"issued":{"date-parts":[["2020",3,3]]}}}],"schema":"https://github.com/citation-style-language/schema/raw/master/csl-citation.json"} </w:instrText>
      </w:r>
      <w:r w:rsidR="0056199B">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23</w:t>
      </w:r>
      <w:r w:rsidR="0056199B">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Applying the same equation to terrestrial animals from Rennes gives a TL= 2.6 for carnivores and 2.3 for herbivores while it places humans at a TP of 2.8 confirming the intensive animal</w:t>
      </w:r>
      <w:r w:rsidR="0020388D">
        <w:rPr>
          <w:rFonts w:ascii="Times New Roman" w:eastAsia="Times New Roman" w:hAnsi="Times New Roman" w:cs="Times New Roman"/>
          <w:sz w:val="24"/>
          <w:szCs w:val="24"/>
        </w:rPr>
        <w:t xml:space="preserve"> food</w:t>
      </w:r>
      <w:r w:rsidRPr="00D70D43">
        <w:rPr>
          <w:rFonts w:ascii="Times New Roman" w:eastAsia="Times New Roman" w:hAnsi="Times New Roman" w:cs="Times New Roman"/>
          <w:sz w:val="24"/>
          <w:szCs w:val="24"/>
        </w:rPr>
        <w:t xml:space="preserve"> consumption in this site </w:t>
      </w:r>
      <w:r w:rsidR="0056199B">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{"citationID":"rDoMjgPa","properties":{"formattedCitation":"\\super 25\\nosupersub{}","plainCitation":"25","noteIndex":0},"citationItems":[{"id":126,"uris":["http://zotero.org/users/7125028/items/IEYUJ9Z8"],"itemData":{"id":126,"type":"article-journal","abstract":"Here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sidR="000475E4">
        <w:rPr>
          <w:rFonts w:ascii="Cambria Math" w:eastAsia="Times New Roman" w:hAnsi="Cambria Math" w:cs="Cambria Math"/>
          <w:sz w:val="24"/>
          <w:szCs w:val="24"/>
        </w:rPr>
        <w:instrText>∼</w:instrText>
      </w:r>
      <w:r w:rsidR="000475E4">
        <w:rPr>
          <w:rFonts w:ascii="Times New Roman" w:eastAsia="Times New Roman" w:hAnsi="Times New Roman" w:cs="Times New Roman"/>
          <w:sz w:val="24"/>
          <w:szCs w:val="24"/>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P."}],"issued":{"date-parts":[["2018",3,22]]}}}],"schema":"https://github.com/citation-style-language/schema/raw/master/csl-citation.json"} </w:instrText>
      </w:r>
      <w:r w:rsidR="0056199B">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25</w:t>
      </w:r>
      <w:r w:rsidR="0056199B">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 xml:space="preserve"> </w:t>
      </w:r>
    </w:p>
    <w:p w14:paraId="05844777" w14:textId="77777777" w:rsidR="0025134F" w:rsidRPr="0020388D" w:rsidRDefault="0025134F" w:rsidP="0025134F">
      <w:pPr>
        <w:spacing w:after="0" w:line="360" w:lineRule="auto"/>
        <w:jc w:val="both"/>
        <w:rPr>
          <w:rFonts w:ascii="Times New Roman" w:eastAsia="Times New Roman" w:hAnsi="Times New Roman" w:cs="Times New Roman"/>
          <w:sz w:val="24"/>
          <w:szCs w:val="24"/>
        </w:rPr>
      </w:pPr>
      <w:bookmarkStart w:id="65" w:name="_Hlk137040380"/>
      <w:r w:rsidRPr="0025134F">
        <w:rPr>
          <w:rFonts w:ascii="Times New Roman" w:eastAsia="Times New Roman" w:hAnsi="Times New Roman" w:cs="Times New Roman"/>
          <w:b/>
          <w:bCs/>
          <w:sz w:val="24"/>
          <w:szCs w:val="24"/>
        </w:rPr>
        <w:t>Table S5.1</w:t>
      </w:r>
      <w:r w:rsidRPr="0020388D">
        <w:rPr>
          <w:rFonts w:ascii="Times New Roman" w:eastAsia="Times New Roman" w:hAnsi="Times New Roman" w:cs="Times New Roman"/>
          <w:sz w:val="24"/>
          <w:szCs w:val="24"/>
        </w:rPr>
        <w:t xml:space="preserve"> Trophic position estimation of human and animals from Taforalt based on the δ</w:t>
      </w:r>
      <w:r w:rsidRPr="0020388D">
        <w:rPr>
          <w:rFonts w:ascii="Times New Roman" w:eastAsia="Times New Roman" w:hAnsi="Times New Roman" w:cs="Times New Roman"/>
          <w:sz w:val="24"/>
          <w:szCs w:val="24"/>
          <w:vertAlign w:val="superscript"/>
        </w:rPr>
        <w:t>66</w:t>
      </w:r>
      <w:r w:rsidRPr="0020388D">
        <w:rPr>
          <w:rFonts w:ascii="Times New Roman" w:eastAsia="Times New Roman" w:hAnsi="Times New Roman" w:cs="Times New Roman"/>
          <w:sz w:val="24"/>
          <w:szCs w:val="24"/>
        </w:rPr>
        <w:t xml:space="preserve">Zn following the established TP equation mentioned above. </w:t>
      </w:r>
    </w:p>
    <w:bookmarkEnd w:id="65"/>
    <w:p w14:paraId="21DB9292" w14:textId="77777777" w:rsidR="0025134F" w:rsidRPr="00D70D43" w:rsidRDefault="0025134F">
      <w:pPr>
        <w:spacing w:before="240" w:after="240" w:line="360" w:lineRule="auto"/>
        <w:jc w:val="both"/>
        <w:rPr>
          <w:rFonts w:ascii="Times New Roman" w:eastAsia="Times New Roman" w:hAnsi="Times New Roman" w:cs="Times New Roman"/>
          <w:sz w:val="24"/>
          <w:szCs w:val="24"/>
        </w:rPr>
      </w:pPr>
    </w:p>
    <w:tbl>
      <w:tblPr>
        <w:tblStyle w:val="Grilledetableauclaire"/>
        <w:tblW w:w="6675" w:type="dxa"/>
        <w:jc w:val="center"/>
        <w:tblLook w:val="04A0" w:firstRow="1" w:lastRow="0" w:firstColumn="1" w:lastColumn="0" w:noHBand="0" w:noVBand="1"/>
      </w:tblPr>
      <w:tblGrid>
        <w:gridCol w:w="1065"/>
        <w:gridCol w:w="990"/>
        <w:gridCol w:w="1635"/>
        <w:gridCol w:w="660"/>
        <w:gridCol w:w="1290"/>
        <w:gridCol w:w="1035"/>
      </w:tblGrid>
      <w:tr w:rsidR="00792463" w:rsidRPr="0028157E" w14:paraId="2261B582" w14:textId="77777777" w:rsidTr="0064579A">
        <w:trPr>
          <w:trHeight w:val="315"/>
          <w:jc w:val="center"/>
        </w:trPr>
        <w:tc>
          <w:tcPr>
            <w:tcW w:w="1065" w:type="dxa"/>
            <w:noWrap/>
            <w:vAlign w:val="center"/>
            <w:hideMark/>
          </w:tcPr>
          <w:p w14:paraId="66D291C4" w14:textId="77777777" w:rsidR="00792463" w:rsidRPr="0028157E" w:rsidRDefault="00792463" w:rsidP="0056199B">
            <w:pPr>
              <w:jc w:val="center"/>
              <w:rPr>
                <w:rFonts w:eastAsia="Times New Roman"/>
                <w:b/>
                <w:bCs/>
                <w:i/>
                <w:iCs/>
                <w:color w:val="000000"/>
                <w:sz w:val="24"/>
                <w:szCs w:val="24"/>
                <w:lang w:eastAsia="en-US"/>
              </w:rPr>
            </w:pPr>
            <w:r w:rsidRPr="0028157E">
              <w:rPr>
                <w:rFonts w:eastAsia="Times New Roman"/>
                <w:b/>
                <w:bCs/>
                <w:i/>
                <w:iCs/>
                <w:color w:val="000000"/>
                <w:sz w:val="24"/>
                <w:szCs w:val="24"/>
                <w:lang w:eastAsia="en-US"/>
              </w:rPr>
              <w:t>SEVA</w:t>
            </w:r>
          </w:p>
        </w:tc>
        <w:tc>
          <w:tcPr>
            <w:tcW w:w="990" w:type="dxa"/>
            <w:noWrap/>
            <w:vAlign w:val="center"/>
            <w:hideMark/>
          </w:tcPr>
          <w:p w14:paraId="372EE764" w14:textId="2247E9EC" w:rsidR="00792463" w:rsidRPr="0028157E" w:rsidRDefault="00792463">
            <w:pPr>
              <w:jc w:val="center"/>
              <w:rPr>
                <w:rFonts w:eastAsia="Times New Roman"/>
                <w:b/>
                <w:bCs/>
                <w:i/>
                <w:iCs/>
                <w:color w:val="000000"/>
                <w:sz w:val="24"/>
                <w:szCs w:val="24"/>
                <w:lang w:eastAsia="en-US"/>
              </w:rPr>
            </w:pPr>
            <w:r w:rsidRPr="0028157E">
              <w:rPr>
                <w:rFonts w:eastAsia="Times New Roman"/>
                <w:b/>
                <w:bCs/>
                <w:i/>
                <w:iCs/>
                <w:color w:val="000000"/>
                <w:sz w:val="24"/>
                <w:szCs w:val="24"/>
                <w:lang w:eastAsia="en-US"/>
              </w:rPr>
              <w:t>Site</w:t>
            </w:r>
          </w:p>
        </w:tc>
        <w:tc>
          <w:tcPr>
            <w:tcW w:w="1635" w:type="dxa"/>
            <w:noWrap/>
            <w:vAlign w:val="center"/>
            <w:hideMark/>
          </w:tcPr>
          <w:p w14:paraId="1D6FC358" w14:textId="77777777" w:rsidR="00792463" w:rsidRPr="0028157E" w:rsidRDefault="00792463">
            <w:pPr>
              <w:jc w:val="center"/>
              <w:rPr>
                <w:rFonts w:eastAsia="Times New Roman"/>
                <w:b/>
                <w:bCs/>
                <w:i/>
                <w:iCs/>
                <w:color w:val="000000"/>
                <w:sz w:val="24"/>
                <w:szCs w:val="24"/>
                <w:lang w:eastAsia="en-US"/>
              </w:rPr>
            </w:pPr>
            <w:r w:rsidRPr="0028157E">
              <w:rPr>
                <w:rFonts w:eastAsia="Times New Roman"/>
                <w:b/>
                <w:bCs/>
                <w:i/>
                <w:iCs/>
                <w:color w:val="000000"/>
                <w:sz w:val="24"/>
                <w:szCs w:val="24"/>
                <w:lang w:eastAsia="en-US"/>
              </w:rPr>
              <w:t>Specie</w:t>
            </w:r>
          </w:p>
        </w:tc>
        <w:tc>
          <w:tcPr>
            <w:tcW w:w="660" w:type="dxa"/>
            <w:noWrap/>
            <w:vAlign w:val="center"/>
            <w:hideMark/>
          </w:tcPr>
          <w:p w14:paraId="63A5BC8A" w14:textId="77777777" w:rsidR="00792463" w:rsidRPr="0028157E" w:rsidRDefault="00792463">
            <w:pPr>
              <w:jc w:val="center"/>
              <w:rPr>
                <w:rFonts w:eastAsia="Times New Roman"/>
                <w:b/>
                <w:bCs/>
                <w:i/>
                <w:iCs/>
                <w:color w:val="000000"/>
                <w:sz w:val="24"/>
                <w:szCs w:val="24"/>
                <w:lang w:eastAsia="en-US"/>
              </w:rPr>
            </w:pPr>
            <w:r w:rsidRPr="0028157E">
              <w:rPr>
                <w:rFonts w:eastAsia="Times New Roman"/>
                <w:b/>
                <w:bCs/>
                <w:i/>
                <w:iCs/>
                <w:color w:val="000000"/>
                <w:sz w:val="24"/>
                <w:szCs w:val="24"/>
                <w:lang w:eastAsia="en-US"/>
              </w:rPr>
              <w:t>Zn</w:t>
            </w:r>
          </w:p>
        </w:tc>
        <w:tc>
          <w:tcPr>
            <w:tcW w:w="1290" w:type="dxa"/>
            <w:noWrap/>
            <w:vAlign w:val="center"/>
            <w:hideMark/>
          </w:tcPr>
          <w:p w14:paraId="683EF576" w14:textId="77777777" w:rsidR="00792463" w:rsidRPr="0028157E" w:rsidRDefault="00792463">
            <w:pPr>
              <w:jc w:val="center"/>
              <w:rPr>
                <w:rFonts w:eastAsia="Times New Roman"/>
                <w:b/>
                <w:bCs/>
                <w:i/>
                <w:iCs/>
                <w:color w:val="000000"/>
                <w:sz w:val="24"/>
                <w:szCs w:val="24"/>
                <w:lang w:eastAsia="en-US"/>
              </w:rPr>
            </w:pPr>
            <w:r w:rsidRPr="0028157E">
              <w:rPr>
                <w:rFonts w:eastAsia="Times New Roman"/>
                <w:b/>
                <w:bCs/>
                <w:i/>
                <w:iCs/>
                <w:color w:val="000000"/>
                <w:sz w:val="24"/>
                <w:szCs w:val="24"/>
                <w:lang w:eastAsia="en-US"/>
              </w:rPr>
              <w:t>TP (CSIA)</w:t>
            </w:r>
          </w:p>
        </w:tc>
        <w:tc>
          <w:tcPr>
            <w:tcW w:w="1035" w:type="dxa"/>
            <w:noWrap/>
            <w:vAlign w:val="center"/>
            <w:hideMark/>
          </w:tcPr>
          <w:p w14:paraId="525BAF52" w14:textId="77777777" w:rsidR="00792463" w:rsidRPr="0028157E" w:rsidRDefault="00792463">
            <w:pPr>
              <w:jc w:val="center"/>
              <w:rPr>
                <w:rFonts w:eastAsia="Times New Roman"/>
                <w:b/>
                <w:bCs/>
                <w:i/>
                <w:iCs/>
                <w:color w:val="000000"/>
                <w:sz w:val="24"/>
                <w:szCs w:val="24"/>
                <w:lang w:eastAsia="en-US"/>
              </w:rPr>
            </w:pPr>
            <w:r w:rsidRPr="0028157E">
              <w:rPr>
                <w:rFonts w:eastAsia="Times New Roman"/>
                <w:b/>
                <w:bCs/>
                <w:i/>
                <w:iCs/>
                <w:color w:val="000000"/>
                <w:sz w:val="24"/>
                <w:szCs w:val="24"/>
                <w:lang w:eastAsia="en-US"/>
              </w:rPr>
              <w:t>TP (Zn)</w:t>
            </w:r>
          </w:p>
        </w:tc>
      </w:tr>
      <w:tr w:rsidR="00792463" w:rsidRPr="0028157E" w14:paraId="06E4B5C5" w14:textId="77777777" w:rsidTr="0064579A">
        <w:trPr>
          <w:trHeight w:val="315"/>
          <w:jc w:val="center"/>
        </w:trPr>
        <w:tc>
          <w:tcPr>
            <w:tcW w:w="1065" w:type="dxa"/>
            <w:noWrap/>
            <w:vAlign w:val="center"/>
            <w:hideMark/>
          </w:tcPr>
          <w:p w14:paraId="197CF21A"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35819</w:t>
            </w:r>
          </w:p>
        </w:tc>
        <w:tc>
          <w:tcPr>
            <w:tcW w:w="990" w:type="dxa"/>
            <w:noWrap/>
            <w:vAlign w:val="center"/>
            <w:hideMark/>
          </w:tcPr>
          <w:p w14:paraId="696099EC" w14:textId="3BE5D72E"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39FDE1B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Barbary sheep</w:t>
            </w:r>
          </w:p>
        </w:tc>
        <w:tc>
          <w:tcPr>
            <w:tcW w:w="660" w:type="dxa"/>
            <w:noWrap/>
            <w:vAlign w:val="center"/>
            <w:hideMark/>
          </w:tcPr>
          <w:p w14:paraId="5BC8909A"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1.05</w:t>
            </w:r>
          </w:p>
        </w:tc>
        <w:tc>
          <w:tcPr>
            <w:tcW w:w="1290" w:type="dxa"/>
            <w:noWrap/>
            <w:vAlign w:val="center"/>
            <w:hideMark/>
          </w:tcPr>
          <w:p w14:paraId="38605876" w14:textId="7B7CCE62" w:rsidR="00792463" w:rsidRPr="0028157E" w:rsidRDefault="00792463">
            <w:pPr>
              <w:jc w:val="center"/>
              <w:rPr>
                <w:rFonts w:eastAsia="Times New Roman"/>
                <w:color w:val="ED7D31"/>
                <w:sz w:val="24"/>
                <w:szCs w:val="24"/>
                <w:lang w:eastAsia="en-US"/>
              </w:rPr>
            </w:pPr>
          </w:p>
        </w:tc>
        <w:tc>
          <w:tcPr>
            <w:tcW w:w="1035" w:type="dxa"/>
            <w:noWrap/>
            <w:vAlign w:val="center"/>
            <w:hideMark/>
          </w:tcPr>
          <w:p w14:paraId="632E6BA6"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2.2</w:t>
            </w:r>
          </w:p>
        </w:tc>
      </w:tr>
      <w:tr w:rsidR="00792463" w:rsidRPr="0028157E" w14:paraId="651D9AF5" w14:textId="77777777" w:rsidTr="0064579A">
        <w:trPr>
          <w:trHeight w:val="315"/>
          <w:jc w:val="center"/>
        </w:trPr>
        <w:tc>
          <w:tcPr>
            <w:tcW w:w="1065" w:type="dxa"/>
            <w:noWrap/>
            <w:vAlign w:val="center"/>
            <w:hideMark/>
          </w:tcPr>
          <w:p w14:paraId="0F1E00B7"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35821</w:t>
            </w:r>
          </w:p>
        </w:tc>
        <w:tc>
          <w:tcPr>
            <w:tcW w:w="990" w:type="dxa"/>
            <w:noWrap/>
            <w:vAlign w:val="center"/>
            <w:hideMark/>
          </w:tcPr>
          <w:p w14:paraId="0D0E1E29" w14:textId="7E067B29"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71A7CEC7"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Barbary sheep</w:t>
            </w:r>
          </w:p>
        </w:tc>
        <w:tc>
          <w:tcPr>
            <w:tcW w:w="660" w:type="dxa"/>
            <w:noWrap/>
            <w:vAlign w:val="center"/>
            <w:hideMark/>
          </w:tcPr>
          <w:p w14:paraId="4DB497DC"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1.26</w:t>
            </w:r>
          </w:p>
        </w:tc>
        <w:tc>
          <w:tcPr>
            <w:tcW w:w="1290" w:type="dxa"/>
            <w:noWrap/>
            <w:vAlign w:val="center"/>
            <w:hideMark/>
          </w:tcPr>
          <w:p w14:paraId="2432BE99"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2.1</w:t>
            </w:r>
          </w:p>
        </w:tc>
        <w:tc>
          <w:tcPr>
            <w:tcW w:w="1035" w:type="dxa"/>
            <w:noWrap/>
            <w:vAlign w:val="center"/>
            <w:hideMark/>
          </w:tcPr>
          <w:p w14:paraId="49C6A7BB"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2.0</w:t>
            </w:r>
          </w:p>
        </w:tc>
      </w:tr>
      <w:tr w:rsidR="00792463" w:rsidRPr="0028157E" w14:paraId="316F50C8" w14:textId="77777777" w:rsidTr="0064579A">
        <w:trPr>
          <w:trHeight w:val="315"/>
          <w:jc w:val="center"/>
        </w:trPr>
        <w:tc>
          <w:tcPr>
            <w:tcW w:w="1065" w:type="dxa"/>
            <w:noWrap/>
            <w:vAlign w:val="center"/>
            <w:hideMark/>
          </w:tcPr>
          <w:p w14:paraId="3BCE83AB"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35830</w:t>
            </w:r>
          </w:p>
        </w:tc>
        <w:tc>
          <w:tcPr>
            <w:tcW w:w="990" w:type="dxa"/>
            <w:noWrap/>
            <w:vAlign w:val="center"/>
            <w:hideMark/>
          </w:tcPr>
          <w:p w14:paraId="7C9E08B7" w14:textId="59AFD3F2"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55C14D4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Barbary sheep</w:t>
            </w:r>
          </w:p>
        </w:tc>
        <w:tc>
          <w:tcPr>
            <w:tcW w:w="660" w:type="dxa"/>
            <w:noWrap/>
            <w:vAlign w:val="center"/>
            <w:hideMark/>
          </w:tcPr>
          <w:p w14:paraId="73BDFC0C"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0.82</w:t>
            </w:r>
          </w:p>
        </w:tc>
        <w:tc>
          <w:tcPr>
            <w:tcW w:w="1290" w:type="dxa"/>
            <w:noWrap/>
            <w:vAlign w:val="center"/>
            <w:hideMark/>
          </w:tcPr>
          <w:p w14:paraId="5A7B4A19"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2.1</w:t>
            </w:r>
          </w:p>
        </w:tc>
        <w:tc>
          <w:tcPr>
            <w:tcW w:w="1035" w:type="dxa"/>
            <w:noWrap/>
            <w:vAlign w:val="center"/>
            <w:hideMark/>
          </w:tcPr>
          <w:p w14:paraId="46D69718"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617E69FD" w14:textId="77777777" w:rsidTr="0064579A">
        <w:trPr>
          <w:trHeight w:val="315"/>
          <w:jc w:val="center"/>
        </w:trPr>
        <w:tc>
          <w:tcPr>
            <w:tcW w:w="1065" w:type="dxa"/>
            <w:noWrap/>
            <w:vAlign w:val="center"/>
            <w:hideMark/>
          </w:tcPr>
          <w:p w14:paraId="167AD310"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35831</w:t>
            </w:r>
          </w:p>
        </w:tc>
        <w:tc>
          <w:tcPr>
            <w:tcW w:w="990" w:type="dxa"/>
            <w:noWrap/>
            <w:vAlign w:val="center"/>
            <w:hideMark/>
          </w:tcPr>
          <w:p w14:paraId="00FFCE74" w14:textId="4962D516"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709FF01C"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Barbary sheep</w:t>
            </w:r>
          </w:p>
        </w:tc>
        <w:tc>
          <w:tcPr>
            <w:tcW w:w="660" w:type="dxa"/>
            <w:noWrap/>
            <w:vAlign w:val="center"/>
            <w:hideMark/>
          </w:tcPr>
          <w:p w14:paraId="42CB5650"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1.16</w:t>
            </w:r>
          </w:p>
        </w:tc>
        <w:tc>
          <w:tcPr>
            <w:tcW w:w="1290" w:type="dxa"/>
            <w:noWrap/>
            <w:vAlign w:val="center"/>
            <w:hideMark/>
          </w:tcPr>
          <w:p w14:paraId="0DBB0EE9" w14:textId="6F959597" w:rsidR="00792463" w:rsidRPr="0028157E" w:rsidRDefault="00792463">
            <w:pPr>
              <w:jc w:val="center"/>
              <w:rPr>
                <w:rFonts w:eastAsia="Times New Roman"/>
                <w:color w:val="ED7D31"/>
                <w:sz w:val="24"/>
                <w:szCs w:val="24"/>
                <w:lang w:eastAsia="en-US"/>
              </w:rPr>
            </w:pPr>
          </w:p>
        </w:tc>
        <w:tc>
          <w:tcPr>
            <w:tcW w:w="1035" w:type="dxa"/>
            <w:noWrap/>
            <w:vAlign w:val="center"/>
            <w:hideMark/>
          </w:tcPr>
          <w:p w14:paraId="5C37BDEF"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2.1</w:t>
            </w:r>
          </w:p>
        </w:tc>
      </w:tr>
      <w:tr w:rsidR="00792463" w:rsidRPr="0028157E" w14:paraId="445DCB70" w14:textId="77777777" w:rsidTr="0064579A">
        <w:trPr>
          <w:trHeight w:val="315"/>
          <w:jc w:val="center"/>
        </w:trPr>
        <w:tc>
          <w:tcPr>
            <w:tcW w:w="1065" w:type="dxa"/>
            <w:noWrap/>
            <w:vAlign w:val="center"/>
            <w:hideMark/>
          </w:tcPr>
          <w:p w14:paraId="49B50BE4"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35824</w:t>
            </w:r>
          </w:p>
        </w:tc>
        <w:tc>
          <w:tcPr>
            <w:tcW w:w="990" w:type="dxa"/>
            <w:noWrap/>
            <w:vAlign w:val="center"/>
            <w:hideMark/>
          </w:tcPr>
          <w:p w14:paraId="419602C5" w14:textId="5898B193"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32F50A59" w14:textId="5E914277" w:rsidR="00792463" w:rsidRPr="0028157E" w:rsidRDefault="00E22655">
            <w:pPr>
              <w:jc w:val="center"/>
              <w:rPr>
                <w:rFonts w:eastAsia="Times New Roman"/>
                <w:color w:val="000000"/>
                <w:sz w:val="24"/>
                <w:szCs w:val="24"/>
                <w:lang w:eastAsia="en-US"/>
              </w:rPr>
            </w:pPr>
            <w:r>
              <w:rPr>
                <w:rFonts w:eastAsia="Times New Roman"/>
                <w:color w:val="000000"/>
                <w:sz w:val="24"/>
                <w:szCs w:val="24"/>
                <w:lang w:eastAsia="en-US"/>
              </w:rPr>
              <w:t>Hartebeest</w:t>
            </w:r>
          </w:p>
        </w:tc>
        <w:tc>
          <w:tcPr>
            <w:tcW w:w="660" w:type="dxa"/>
            <w:noWrap/>
            <w:vAlign w:val="center"/>
            <w:hideMark/>
          </w:tcPr>
          <w:p w14:paraId="7D9AB672"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1.22</w:t>
            </w:r>
          </w:p>
        </w:tc>
        <w:tc>
          <w:tcPr>
            <w:tcW w:w="1290" w:type="dxa"/>
            <w:noWrap/>
            <w:vAlign w:val="center"/>
            <w:hideMark/>
          </w:tcPr>
          <w:p w14:paraId="33562382"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2.2</w:t>
            </w:r>
          </w:p>
        </w:tc>
        <w:tc>
          <w:tcPr>
            <w:tcW w:w="1035" w:type="dxa"/>
            <w:noWrap/>
            <w:vAlign w:val="center"/>
            <w:hideMark/>
          </w:tcPr>
          <w:p w14:paraId="0A9D01E1"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2.1</w:t>
            </w:r>
          </w:p>
        </w:tc>
      </w:tr>
      <w:tr w:rsidR="00792463" w:rsidRPr="0028157E" w14:paraId="6C8C9E9C" w14:textId="77777777" w:rsidTr="0064579A">
        <w:trPr>
          <w:trHeight w:val="315"/>
          <w:jc w:val="center"/>
        </w:trPr>
        <w:tc>
          <w:tcPr>
            <w:tcW w:w="1065" w:type="dxa"/>
            <w:noWrap/>
            <w:vAlign w:val="center"/>
            <w:hideMark/>
          </w:tcPr>
          <w:p w14:paraId="5D525217"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35833</w:t>
            </w:r>
          </w:p>
        </w:tc>
        <w:tc>
          <w:tcPr>
            <w:tcW w:w="990" w:type="dxa"/>
            <w:noWrap/>
            <w:vAlign w:val="center"/>
            <w:hideMark/>
          </w:tcPr>
          <w:p w14:paraId="3A24245B" w14:textId="74E127A5"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7939565" w14:textId="1C93A899" w:rsidR="00792463" w:rsidRPr="0028157E" w:rsidRDefault="006C577F">
            <w:pPr>
              <w:jc w:val="center"/>
              <w:rPr>
                <w:rFonts w:eastAsia="Times New Roman"/>
                <w:color w:val="000000"/>
                <w:sz w:val="24"/>
                <w:szCs w:val="24"/>
                <w:lang w:eastAsia="en-US"/>
              </w:rPr>
            </w:pPr>
            <w:r>
              <w:rPr>
                <w:rFonts w:eastAsia="Times New Roman"/>
                <w:color w:val="000000"/>
                <w:sz w:val="24"/>
                <w:szCs w:val="24"/>
                <w:lang w:eastAsia="en-US"/>
              </w:rPr>
              <w:t>Gazelle</w:t>
            </w:r>
          </w:p>
        </w:tc>
        <w:tc>
          <w:tcPr>
            <w:tcW w:w="660" w:type="dxa"/>
            <w:noWrap/>
            <w:vAlign w:val="center"/>
            <w:hideMark/>
          </w:tcPr>
          <w:p w14:paraId="13D7117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1.10</w:t>
            </w:r>
          </w:p>
        </w:tc>
        <w:tc>
          <w:tcPr>
            <w:tcW w:w="1290" w:type="dxa"/>
            <w:noWrap/>
            <w:vAlign w:val="center"/>
            <w:hideMark/>
          </w:tcPr>
          <w:p w14:paraId="3CC5F0E6"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2.0</w:t>
            </w:r>
          </w:p>
        </w:tc>
        <w:tc>
          <w:tcPr>
            <w:tcW w:w="1035" w:type="dxa"/>
            <w:noWrap/>
            <w:vAlign w:val="center"/>
            <w:hideMark/>
          </w:tcPr>
          <w:p w14:paraId="10B78C43"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2.2</w:t>
            </w:r>
          </w:p>
        </w:tc>
      </w:tr>
      <w:tr w:rsidR="00792463" w:rsidRPr="0028157E" w14:paraId="5B280B71" w14:textId="77777777" w:rsidTr="0064579A">
        <w:trPr>
          <w:trHeight w:val="315"/>
          <w:jc w:val="center"/>
        </w:trPr>
        <w:tc>
          <w:tcPr>
            <w:tcW w:w="1065" w:type="dxa"/>
            <w:noWrap/>
            <w:vAlign w:val="center"/>
            <w:hideMark/>
          </w:tcPr>
          <w:p w14:paraId="69ADB052"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35820</w:t>
            </w:r>
          </w:p>
        </w:tc>
        <w:tc>
          <w:tcPr>
            <w:tcW w:w="990" w:type="dxa"/>
            <w:noWrap/>
            <w:vAlign w:val="center"/>
            <w:hideMark/>
          </w:tcPr>
          <w:p w14:paraId="47521820" w14:textId="7CBADD93"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33745167"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Equid</w:t>
            </w:r>
          </w:p>
        </w:tc>
        <w:tc>
          <w:tcPr>
            <w:tcW w:w="660" w:type="dxa"/>
            <w:noWrap/>
            <w:vAlign w:val="center"/>
            <w:hideMark/>
          </w:tcPr>
          <w:p w14:paraId="1063A4BA"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1.32</w:t>
            </w:r>
          </w:p>
        </w:tc>
        <w:tc>
          <w:tcPr>
            <w:tcW w:w="1290" w:type="dxa"/>
            <w:noWrap/>
            <w:vAlign w:val="center"/>
            <w:hideMark/>
          </w:tcPr>
          <w:p w14:paraId="59B331E9"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2.0</w:t>
            </w:r>
          </w:p>
        </w:tc>
        <w:tc>
          <w:tcPr>
            <w:tcW w:w="1035" w:type="dxa"/>
            <w:noWrap/>
            <w:vAlign w:val="center"/>
            <w:hideMark/>
          </w:tcPr>
          <w:p w14:paraId="4A8E9647"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2.0</w:t>
            </w:r>
          </w:p>
        </w:tc>
      </w:tr>
      <w:tr w:rsidR="00792463" w:rsidRPr="0028157E" w14:paraId="4BCA5678" w14:textId="77777777" w:rsidTr="0064579A">
        <w:trPr>
          <w:trHeight w:val="315"/>
          <w:jc w:val="center"/>
        </w:trPr>
        <w:tc>
          <w:tcPr>
            <w:tcW w:w="1065" w:type="dxa"/>
            <w:noWrap/>
            <w:vAlign w:val="center"/>
            <w:hideMark/>
          </w:tcPr>
          <w:p w14:paraId="2A4BCC3D"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35822</w:t>
            </w:r>
          </w:p>
        </w:tc>
        <w:tc>
          <w:tcPr>
            <w:tcW w:w="990" w:type="dxa"/>
            <w:noWrap/>
            <w:vAlign w:val="center"/>
            <w:hideMark/>
          </w:tcPr>
          <w:p w14:paraId="38E70000" w14:textId="27D33B54"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0F7D08D"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Equid</w:t>
            </w:r>
          </w:p>
        </w:tc>
        <w:tc>
          <w:tcPr>
            <w:tcW w:w="660" w:type="dxa"/>
            <w:noWrap/>
            <w:vAlign w:val="center"/>
            <w:hideMark/>
          </w:tcPr>
          <w:p w14:paraId="0E086ED1"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1.34</w:t>
            </w:r>
          </w:p>
        </w:tc>
        <w:tc>
          <w:tcPr>
            <w:tcW w:w="1290" w:type="dxa"/>
            <w:noWrap/>
            <w:vAlign w:val="center"/>
            <w:hideMark/>
          </w:tcPr>
          <w:p w14:paraId="7490073D"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1.7</w:t>
            </w:r>
          </w:p>
        </w:tc>
        <w:tc>
          <w:tcPr>
            <w:tcW w:w="1035" w:type="dxa"/>
            <w:noWrap/>
            <w:vAlign w:val="center"/>
            <w:hideMark/>
          </w:tcPr>
          <w:p w14:paraId="54729BA8"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1.9</w:t>
            </w:r>
          </w:p>
        </w:tc>
      </w:tr>
      <w:tr w:rsidR="00792463" w:rsidRPr="0028157E" w14:paraId="01067116" w14:textId="77777777" w:rsidTr="0064579A">
        <w:trPr>
          <w:trHeight w:val="315"/>
          <w:jc w:val="center"/>
        </w:trPr>
        <w:tc>
          <w:tcPr>
            <w:tcW w:w="1065" w:type="dxa"/>
            <w:noWrap/>
            <w:vAlign w:val="center"/>
            <w:hideMark/>
          </w:tcPr>
          <w:p w14:paraId="2C641CA7"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35825</w:t>
            </w:r>
          </w:p>
        </w:tc>
        <w:tc>
          <w:tcPr>
            <w:tcW w:w="990" w:type="dxa"/>
            <w:noWrap/>
            <w:vAlign w:val="center"/>
            <w:hideMark/>
          </w:tcPr>
          <w:p w14:paraId="17ABEB17" w14:textId="6D97C0C8"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3966A29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Equid</w:t>
            </w:r>
          </w:p>
        </w:tc>
        <w:tc>
          <w:tcPr>
            <w:tcW w:w="660" w:type="dxa"/>
            <w:noWrap/>
            <w:vAlign w:val="center"/>
            <w:hideMark/>
          </w:tcPr>
          <w:p w14:paraId="3177DDB6"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1.38</w:t>
            </w:r>
          </w:p>
        </w:tc>
        <w:tc>
          <w:tcPr>
            <w:tcW w:w="1290" w:type="dxa"/>
            <w:noWrap/>
            <w:vAlign w:val="center"/>
            <w:hideMark/>
          </w:tcPr>
          <w:p w14:paraId="5E814FB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1.7</w:t>
            </w:r>
          </w:p>
        </w:tc>
        <w:tc>
          <w:tcPr>
            <w:tcW w:w="1035" w:type="dxa"/>
            <w:noWrap/>
            <w:vAlign w:val="center"/>
            <w:hideMark/>
          </w:tcPr>
          <w:p w14:paraId="21DB9C43"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1.9</w:t>
            </w:r>
          </w:p>
        </w:tc>
      </w:tr>
      <w:tr w:rsidR="00792463" w:rsidRPr="0028157E" w14:paraId="39506EEB" w14:textId="77777777" w:rsidTr="0064579A">
        <w:trPr>
          <w:trHeight w:val="315"/>
          <w:jc w:val="center"/>
        </w:trPr>
        <w:tc>
          <w:tcPr>
            <w:tcW w:w="1065" w:type="dxa"/>
            <w:noWrap/>
            <w:vAlign w:val="center"/>
            <w:hideMark/>
          </w:tcPr>
          <w:p w14:paraId="6F2D1C0D"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35826</w:t>
            </w:r>
          </w:p>
        </w:tc>
        <w:tc>
          <w:tcPr>
            <w:tcW w:w="990" w:type="dxa"/>
            <w:noWrap/>
            <w:vAlign w:val="center"/>
            <w:hideMark/>
          </w:tcPr>
          <w:p w14:paraId="309A0E5E" w14:textId="71CBAC7E"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212603E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Equid</w:t>
            </w:r>
          </w:p>
        </w:tc>
        <w:tc>
          <w:tcPr>
            <w:tcW w:w="660" w:type="dxa"/>
            <w:noWrap/>
            <w:vAlign w:val="center"/>
            <w:hideMark/>
          </w:tcPr>
          <w:p w14:paraId="4A70103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1.34</w:t>
            </w:r>
          </w:p>
        </w:tc>
        <w:tc>
          <w:tcPr>
            <w:tcW w:w="1290" w:type="dxa"/>
            <w:noWrap/>
            <w:vAlign w:val="center"/>
            <w:hideMark/>
          </w:tcPr>
          <w:p w14:paraId="482A749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2.1</w:t>
            </w:r>
          </w:p>
        </w:tc>
        <w:tc>
          <w:tcPr>
            <w:tcW w:w="1035" w:type="dxa"/>
            <w:noWrap/>
            <w:vAlign w:val="center"/>
            <w:hideMark/>
          </w:tcPr>
          <w:p w14:paraId="1FC73BDE"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1.9</w:t>
            </w:r>
          </w:p>
        </w:tc>
      </w:tr>
      <w:tr w:rsidR="00792463" w:rsidRPr="0028157E" w14:paraId="0BB9C309" w14:textId="77777777" w:rsidTr="0064579A">
        <w:trPr>
          <w:trHeight w:val="315"/>
          <w:jc w:val="center"/>
        </w:trPr>
        <w:tc>
          <w:tcPr>
            <w:tcW w:w="1065" w:type="dxa"/>
            <w:noWrap/>
            <w:vAlign w:val="center"/>
            <w:hideMark/>
          </w:tcPr>
          <w:p w14:paraId="5DBBFAD8"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35829</w:t>
            </w:r>
          </w:p>
        </w:tc>
        <w:tc>
          <w:tcPr>
            <w:tcW w:w="990" w:type="dxa"/>
            <w:noWrap/>
            <w:vAlign w:val="center"/>
            <w:hideMark/>
          </w:tcPr>
          <w:p w14:paraId="0F9329A2" w14:textId="2DA55715"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BB0D451"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Gazelle</w:t>
            </w:r>
          </w:p>
        </w:tc>
        <w:tc>
          <w:tcPr>
            <w:tcW w:w="660" w:type="dxa"/>
            <w:noWrap/>
            <w:vAlign w:val="center"/>
            <w:hideMark/>
          </w:tcPr>
          <w:p w14:paraId="69CDDE32"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0.85</w:t>
            </w:r>
          </w:p>
        </w:tc>
        <w:tc>
          <w:tcPr>
            <w:tcW w:w="1290" w:type="dxa"/>
            <w:noWrap/>
            <w:vAlign w:val="center"/>
            <w:hideMark/>
          </w:tcPr>
          <w:p w14:paraId="19D21BE7"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1.9</w:t>
            </w:r>
          </w:p>
        </w:tc>
        <w:tc>
          <w:tcPr>
            <w:tcW w:w="1035" w:type="dxa"/>
            <w:noWrap/>
            <w:vAlign w:val="center"/>
            <w:hideMark/>
          </w:tcPr>
          <w:p w14:paraId="2C852A70"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0D185398" w14:textId="77777777" w:rsidTr="0064579A">
        <w:trPr>
          <w:trHeight w:val="315"/>
          <w:jc w:val="center"/>
        </w:trPr>
        <w:tc>
          <w:tcPr>
            <w:tcW w:w="1065" w:type="dxa"/>
            <w:noWrap/>
            <w:vAlign w:val="center"/>
            <w:hideMark/>
          </w:tcPr>
          <w:p w14:paraId="707BFA85"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35835</w:t>
            </w:r>
          </w:p>
        </w:tc>
        <w:tc>
          <w:tcPr>
            <w:tcW w:w="990" w:type="dxa"/>
            <w:noWrap/>
            <w:vAlign w:val="center"/>
            <w:hideMark/>
          </w:tcPr>
          <w:p w14:paraId="5F46C0BE" w14:textId="3B0A9D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385D1FC0"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Gazelle</w:t>
            </w:r>
          </w:p>
        </w:tc>
        <w:tc>
          <w:tcPr>
            <w:tcW w:w="660" w:type="dxa"/>
            <w:noWrap/>
            <w:vAlign w:val="center"/>
            <w:hideMark/>
          </w:tcPr>
          <w:p w14:paraId="6797E3B6"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1.08</w:t>
            </w:r>
          </w:p>
        </w:tc>
        <w:tc>
          <w:tcPr>
            <w:tcW w:w="1290" w:type="dxa"/>
            <w:noWrap/>
            <w:vAlign w:val="center"/>
            <w:hideMark/>
          </w:tcPr>
          <w:p w14:paraId="4907AA96"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2.0</w:t>
            </w:r>
          </w:p>
        </w:tc>
        <w:tc>
          <w:tcPr>
            <w:tcW w:w="1035" w:type="dxa"/>
            <w:noWrap/>
            <w:vAlign w:val="center"/>
            <w:hideMark/>
          </w:tcPr>
          <w:p w14:paraId="462824CB"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2.2</w:t>
            </w:r>
          </w:p>
        </w:tc>
      </w:tr>
      <w:tr w:rsidR="00792463" w:rsidRPr="0028157E" w14:paraId="534F9E3B" w14:textId="77777777" w:rsidTr="0064579A">
        <w:trPr>
          <w:trHeight w:val="315"/>
          <w:jc w:val="center"/>
        </w:trPr>
        <w:tc>
          <w:tcPr>
            <w:tcW w:w="1065" w:type="dxa"/>
            <w:noWrap/>
            <w:vAlign w:val="center"/>
            <w:hideMark/>
          </w:tcPr>
          <w:p w14:paraId="794BAB82"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35823</w:t>
            </w:r>
          </w:p>
        </w:tc>
        <w:tc>
          <w:tcPr>
            <w:tcW w:w="990" w:type="dxa"/>
            <w:noWrap/>
            <w:vAlign w:val="center"/>
            <w:hideMark/>
          </w:tcPr>
          <w:p w14:paraId="66FF8A64" w14:textId="2147BA18"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746D1B61"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Hare</w:t>
            </w:r>
          </w:p>
        </w:tc>
        <w:tc>
          <w:tcPr>
            <w:tcW w:w="660" w:type="dxa"/>
            <w:noWrap/>
            <w:vAlign w:val="center"/>
            <w:hideMark/>
          </w:tcPr>
          <w:p w14:paraId="18C05E83" w14:textId="57BAF8B8" w:rsidR="00792463" w:rsidRPr="0028157E" w:rsidRDefault="00792463">
            <w:pPr>
              <w:jc w:val="center"/>
              <w:rPr>
                <w:rFonts w:eastAsia="Times New Roman"/>
                <w:color w:val="000000"/>
                <w:sz w:val="24"/>
                <w:szCs w:val="24"/>
                <w:lang w:eastAsia="en-US"/>
              </w:rPr>
            </w:pPr>
          </w:p>
        </w:tc>
        <w:tc>
          <w:tcPr>
            <w:tcW w:w="1290" w:type="dxa"/>
            <w:noWrap/>
            <w:vAlign w:val="center"/>
            <w:hideMark/>
          </w:tcPr>
          <w:p w14:paraId="26F68E40"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2.3</w:t>
            </w:r>
          </w:p>
        </w:tc>
        <w:tc>
          <w:tcPr>
            <w:tcW w:w="1035" w:type="dxa"/>
            <w:noWrap/>
            <w:vAlign w:val="center"/>
            <w:hideMark/>
          </w:tcPr>
          <w:p w14:paraId="5BBBEBBD" w14:textId="3AE4880E" w:rsidR="00792463" w:rsidRPr="0028157E" w:rsidRDefault="00792463">
            <w:pPr>
              <w:jc w:val="center"/>
              <w:rPr>
                <w:rFonts w:eastAsia="Times New Roman"/>
                <w:color w:val="7F7F7F"/>
                <w:sz w:val="24"/>
                <w:szCs w:val="24"/>
                <w:lang w:eastAsia="en-US"/>
              </w:rPr>
            </w:pPr>
          </w:p>
        </w:tc>
      </w:tr>
      <w:tr w:rsidR="00792463" w:rsidRPr="0028157E" w14:paraId="48D1FDC2" w14:textId="77777777" w:rsidTr="0064579A">
        <w:trPr>
          <w:trHeight w:val="315"/>
          <w:jc w:val="center"/>
        </w:trPr>
        <w:tc>
          <w:tcPr>
            <w:tcW w:w="1065" w:type="dxa"/>
            <w:noWrap/>
            <w:vAlign w:val="center"/>
            <w:hideMark/>
          </w:tcPr>
          <w:p w14:paraId="30761ED7"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35827</w:t>
            </w:r>
          </w:p>
        </w:tc>
        <w:tc>
          <w:tcPr>
            <w:tcW w:w="990" w:type="dxa"/>
            <w:noWrap/>
            <w:vAlign w:val="center"/>
            <w:hideMark/>
          </w:tcPr>
          <w:p w14:paraId="3E89FD0A" w14:textId="6C44596D"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4EBD47CB" w14:textId="15278A5C"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Hartebeest</w:t>
            </w:r>
          </w:p>
        </w:tc>
        <w:tc>
          <w:tcPr>
            <w:tcW w:w="660" w:type="dxa"/>
            <w:noWrap/>
            <w:vAlign w:val="center"/>
            <w:hideMark/>
          </w:tcPr>
          <w:p w14:paraId="4E780472"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1.26</w:t>
            </w:r>
          </w:p>
        </w:tc>
        <w:tc>
          <w:tcPr>
            <w:tcW w:w="1290" w:type="dxa"/>
            <w:noWrap/>
            <w:vAlign w:val="center"/>
            <w:hideMark/>
          </w:tcPr>
          <w:p w14:paraId="6D4F711D"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2.3</w:t>
            </w:r>
          </w:p>
        </w:tc>
        <w:tc>
          <w:tcPr>
            <w:tcW w:w="1035" w:type="dxa"/>
            <w:noWrap/>
            <w:vAlign w:val="center"/>
            <w:hideMark/>
          </w:tcPr>
          <w:p w14:paraId="1BB34E5D"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2.0</w:t>
            </w:r>
          </w:p>
        </w:tc>
      </w:tr>
      <w:tr w:rsidR="00792463" w:rsidRPr="0028157E" w14:paraId="1341D44B" w14:textId="77777777" w:rsidTr="0064579A">
        <w:trPr>
          <w:trHeight w:val="315"/>
          <w:jc w:val="center"/>
        </w:trPr>
        <w:tc>
          <w:tcPr>
            <w:tcW w:w="1065" w:type="dxa"/>
            <w:noWrap/>
            <w:vAlign w:val="center"/>
            <w:hideMark/>
          </w:tcPr>
          <w:p w14:paraId="3B00C941"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35836</w:t>
            </w:r>
          </w:p>
        </w:tc>
        <w:tc>
          <w:tcPr>
            <w:tcW w:w="990" w:type="dxa"/>
            <w:noWrap/>
            <w:vAlign w:val="center"/>
            <w:hideMark/>
          </w:tcPr>
          <w:p w14:paraId="28358AEC" w14:textId="28F3A44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291F3E1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Rhinoceros</w:t>
            </w:r>
          </w:p>
        </w:tc>
        <w:tc>
          <w:tcPr>
            <w:tcW w:w="660" w:type="dxa"/>
            <w:noWrap/>
            <w:vAlign w:val="center"/>
            <w:hideMark/>
          </w:tcPr>
          <w:p w14:paraId="2E9D3D8A"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1.10</w:t>
            </w:r>
          </w:p>
        </w:tc>
        <w:tc>
          <w:tcPr>
            <w:tcW w:w="1290" w:type="dxa"/>
            <w:noWrap/>
            <w:vAlign w:val="center"/>
            <w:hideMark/>
          </w:tcPr>
          <w:p w14:paraId="614E9A6B"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2.3</w:t>
            </w:r>
          </w:p>
        </w:tc>
        <w:tc>
          <w:tcPr>
            <w:tcW w:w="1035" w:type="dxa"/>
            <w:noWrap/>
            <w:vAlign w:val="center"/>
            <w:hideMark/>
          </w:tcPr>
          <w:p w14:paraId="1F86D90F"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2.2</w:t>
            </w:r>
          </w:p>
        </w:tc>
      </w:tr>
      <w:tr w:rsidR="00792463" w:rsidRPr="0028157E" w14:paraId="07A22B2A" w14:textId="77777777" w:rsidTr="0064579A">
        <w:trPr>
          <w:trHeight w:val="315"/>
          <w:jc w:val="center"/>
        </w:trPr>
        <w:tc>
          <w:tcPr>
            <w:tcW w:w="1065" w:type="dxa"/>
            <w:noWrap/>
            <w:vAlign w:val="center"/>
            <w:hideMark/>
          </w:tcPr>
          <w:p w14:paraId="5F79EB6E"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34565</w:t>
            </w:r>
          </w:p>
        </w:tc>
        <w:tc>
          <w:tcPr>
            <w:tcW w:w="990" w:type="dxa"/>
            <w:noWrap/>
            <w:vAlign w:val="center"/>
            <w:hideMark/>
          </w:tcPr>
          <w:p w14:paraId="6349BEEA" w14:textId="25F2A5E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F2DFCB0"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Equid</w:t>
            </w:r>
          </w:p>
        </w:tc>
        <w:tc>
          <w:tcPr>
            <w:tcW w:w="660" w:type="dxa"/>
            <w:noWrap/>
            <w:vAlign w:val="center"/>
            <w:hideMark/>
          </w:tcPr>
          <w:p w14:paraId="4243B212"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1.14</w:t>
            </w:r>
          </w:p>
        </w:tc>
        <w:tc>
          <w:tcPr>
            <w:tcW w:w="1290" w:type="dxa"/>
            <w:noWrap/>
            <w:vAlign w:val="center"/>
            <w:hideMark/>
          </w:tcPr>
          <w:p w14:paraId="3A1336FA" w14:textId="68D3E596" w:rsidR="00792463" w:rsidRPr="0028157E" w:rsidRDefault="00792463">
            <w:pPr>
              <w:jc w:val="center"/>
              <w:rPr>
                <w:rFonts w:eastAsia="Times New Roman"/>
                <w:color w:val="ED7D31"/>
                <w:sz w:val="24"/>
                <w:szCs w:val="24"/>
                <w:lang w:eastAsia="en-US"/>
              </w:rPr>
            </w:pPr>
          </w:p>
        </w:tc>
        <w:tc>
          <w:tcPr>
            <w:tcW w:w="1035" w:type="dxa"/>
            <w:noWrap/>
            <w:vAlign w:val="center"/>
            <w:hideMark/>
          </w:tcPr>
          <w:p w14:paraId="0E30F7E1"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2.1</w:t>
            </w:r>
          </w:p>
        </w:tc>
      </w:tr>
      <w:tr w:rsidR="00792463" w:rsidRPr="0028157E" w14:paraId="4F33B536" w14:textId="77777777" w:rsidTr="0064579A">
        <w:trPr>
          <w:trHeight w:val="315"/>
          <w:jc w:val="center"/>
        </w:trPr>
        <w:tc>
          <w:tcPr>
            <w:tcW w:w="1065" w:type="dxa"/>
            <w:noWrap/>
            <w:vAlign w:val="center"/>
            <w:hideMark/>
          </w:tcPr>
          <w:p w14:paraId="735E951D"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35828</w:t>
            </w:r>
          </w:p>
        </w:tc>
        <w:tc>
          <w:tcPr>
            <w:tcW w:w="990" w:type="dxa"/>
            <w:noWrap/>
            <w:vAlign w:val="center"/>
            <w:hideMark/>
          </w:tcPr>
          <w:p w14:paraId="0E8B75D8" w14:textId="241B94B2"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734A022" w14:textId="0FB3F25F" w:rsidR="00792463" w:rsidRPr="0028157E" w:rsidRDefault="00582B82">
            <w:pPr>
              <w:jc w:val="center"/>
              <w:rPr>
                <w:rFonts w:eastAsia="Times New Roman"/>
                <w:color w:val="000000"/>
                <w:sz w:val="24"/>
                <w:szCs w:val="24"/>
                <w:lang w:eastAsia="en-US"/>
              </w:rPr>
            </w:pPr>
            <w:r>
              <w:rPr>
                <w:rFonts w:eastAsia="Times New Roman"/>
                <w:color w:val="000000"/>
                <w:sz w:val="24"/>
                <w:szCs w:val="24"/>
                <w:lang w:eastAsia="en-US"/>
              </w:rPr>
              <w:t>Fox</w:t>
            </w:r>
          </w:p>
        </w:tc>
        <w:tc>
          <w:tcPr>
            <w:tcW w:w="660" w:type="dxa"/>
            <w:noWrap/>
            <w:vAlign w:val="center"/>
            <w:hideMark/>
          </w:tcPr>
          <w:p w14:paraId="58F008D3"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0.61</w:t>
            </w:r>
          </w:p>
        </w:tc>
        <w:tc>
          <w:tcPr>
            <w:tcW w:w="1290" w:type="dxa"/>
            <w:noWrap/>
            <w:vAlign w:val="center"/>
            <w:hideMark/>
          </w:tcPr>
          <w:p w14:paraId="0B8F63A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2.9</w:t>
            </w:r>
          </w:p>
        </w:tc>
        <w:tc>
          <w:tcPr>
            <w:tcW w:w="1035" w:type="dxa"/>
            <w:noWrap/>
            <w:vAlign w:val="center"/>
            <w:hideMark/>
          </w:tcPr>
          <w:p w14:paraId="16EE4E04"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2.6</w:t>
            </w:r>
          </w:p>
        </w:tc>
      </w:tr>
      <w:tr w:rsidR="00792463" w:rsidRPr="0028157E" w14:paraId="6864CE2A" w14:textId="77777777" w:rsidTr="0064579A">
        <w:trPr>
          <w:trHeight w:val="315"/>
          <w:jc w:val="center"/>
        </w:trPr>
        <w:tc>
          <w:tcPr>
            <w:tcW w:w="1065" w:type="dxa"/>
            <w:noWrap/>
            <w:vAlign w:val="center"/>
            <w:hideMark/>
          </w:tcPr>
          <w:p w14:paraId="0DBBB695"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35832</w:t>
            </w:r>
          </w:p>
        </w:tc>
        <w:tc>
          <w:tcPr>
            <w:tcW w:w="990" w:type="dxa"/>
            <w:noWrap/>
            <w:vAlign w:val="center"/>
            <w:hideMark/>
          </w:tcPr>
          <w:p w14:paraId="75581D0F" w14:textId="5124250A"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505FCBB9" w14:textId="1198053E" w:rsidR="00792463" w:rsidRPr="0028157E" w:rsidRDefault="00582B82">
            <w:pPr>
              <w:jc w:val="center"/>
              <w:rPr>
                <w:rFonts w:eastAsia="Times New Roman"/>
                <w:color w:val="000000"/>
                <w:sz w:val="24"/>
                <w:szCs w:val="24"/>
                <w:lang w:eastAsia="en-US"/>
              </w:rPr>
            </w:pPr>
            <w:r>
              <w:rPr>
                <w:rFonts w:eastAsia="Times New Roman"/>
                <w:color w:val="000000"/>
                <w:sz w:val="24"/>
                <w:szCs w:val="24"/>
                <w:lang w:eastAsia="en-US"/>
              </w:rPr>
              <w:t>Gazelle</w:t>
            </w:r>
          </w:p>
        </w:tc>
        <w:tc>
          <w:tcPr>
            <w:tcW w:w="660" w:type="dxa"/>
            <w:noWrap/>
            <w:vAlign w:val="center"/>
            <w:hideMark/>
          </w:tcPr>
          <w:p w14:paraId="06175B0B" w14:textId="6A4E7CFF" w:rsidR="00792463" w:rsidRPr="0028157E" w:rsidRDefault="00582B82">
            <w:pPr>
              <w:jc w:val="center"/>
              <w:rPr>
                <w:rFonts w:eastAsia="Times New Roman"/>
                <w:color w:val="000000"/>
                <w:sz w:val="24"/>
                <w:szCs w:val="24"/>
                <w:lang w:eastAsia="en-US"/>
              </w:rPr>
            </w:pPr>
            <w:r>
              <w:rPr>
                <w:rFonts w:eastAsia="Times New Roman"/>
                <w:color w:val="000000"/>
                <w:sz w:val="24"/>
                <w:szCs w:val="24"/>
                <w:lang w:eastAsia="en-US"/>
              </w:rPr>
              <w:t>1.24</w:t>
            </w:r>
          </w:p>
        </w:tc>
        <w:tc>
          <w:tcPr>
            <w:tcW w:w="1290" w:type="dxa"/>
            <w:noWrap/>
            <w:vAlign w:val="center"/>
            <w:hideMark/>
          </w:tcPr>
          <w:p w14:paraId="490C5883" w14:textId="100C77D5" w:rsidR="00792463" w:rsidRPr="0028157E" w:rsidRDefault="00792463">
            <w:pPr>
              <w:jc w:val="center"/>
              <w:rPr>
                <w:rFonts w:eastAsia="Times New Roman"/>
                <w:color w:val="000000"/>
                <w:sz w:val="24"/>
                <w:szCs w:val="24"/>
                <w:lang w:eastAsia="en-US"/>
              </w:rPr>
            </w:pPr>
          </w:p>
        </w:tc>
        <w:tc>
          <w:tcPr>
            <w:tcW w:w="1035" w:type="dxa"/>
            <w:noWrap/>
            <w:vAlign w:val="center"/>
            <w:hideMark/>
          </w:tcPr>
          <w:p w14:paraId="79AC772C" w14:textId="7C39A0E6" w:rsidR="00792463" w:rsidRPr="0028157E" w:rsidRDefault="00582B82">
            <w:pPr>
              <w:jc w:val="center"/>
              <w:rPr>
                <w:rFonts w:eastAsia="Times New Roman"/>
                <w:color w:val="7F7F7F"/>
                <w:sz w:val="24"/>
                <w:szCs w:val="24"/>
                <w:lang w:eastAsia="en-US"/>
              </w:rPr>
            </w:pPr>
            <w:r>
              <w:rPr>
                <w:rFonts w:eastAsia="Times New Roman"/>
                <w:color w:val="7F7F7F"/>
                <w:sz w:val="24"/>
                <w:szCs w:val="24"/>
                <w:lang w:eastAsia="en-US"/>
              </w:rPr>
              <w:t>2.0</w:t>
            </w:r>
          </w:p>
        </w:tc>
      </w:tr>
      <w:tr w:rsidR="00792463" w:rsidRPr="0028157E" w14:paraId="3788BD3C" w14:textId="77777777" w:rsidTr="0064579A">
        <w:trPr>
          <w:trHeight w:val="315"/>
          <w:jc w:val="center"/>
        </w:trPr>
        <w:tc>
          <w:tcPr>
            <w:tcW w:w="1065" w:type="dxa"/>
            <w:noWrap/>
            <w:vAlign w:val="center"/>
            <w:hideMark/>
          </w:tcPr>
          <w:p w14:paraId="7E4612C5"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35834</w:t>
            </w:r>
          </w:p>
        </w:tc>
        <w:tc>
          <w:tcPr>
            <w:tcW w:w="990" w:type="dxa"/>
            <w:noWrap/>
            <w:vAlign w:val="center"/>
            <w:hideMark/>
          </w:tcPr>
          <w:p w14:paraId="614B16E3" w14:textId="2F6D4463"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8B9DE1B"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Canid</w:t>
            </w:r>
          </w:p>
        </w:tc>
        <w:tc>
          <w:tcPr>
            <w:tcW w:w="660" w:type="dxa"/>
            <w:noWrap/>
            <w:vAlign w:val="center"/>
            <w:hideMark/>
          </w:tcPr>
          <w:p w14:paraId="2D8A6AE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0.42</w:t>
            </w:r>
          </w:p>
        </w:tc>
        <w:tc>
          <w:tcPr>
            <w:tcW w:w="1290" w:type="dxa"/>
            <w:noWrap/>
            <w:vAlign w:val="center"/>
            <w:hideMark/>
          </w:tcPr>
          <w:p w14:paraId="3234097E"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2.7</w:t>
            </w:r>
          </w:p>
        </w:tc>
        <w:tc>
          <w:tcPr>
            <w:tcW w:w="1035" w:type="dxa"/>
            <w:noWrap/>
            <w:vAlign w:val="center"/>
            <w:hideMark/>
          </w:tcPr>
          <w:p w14:paraId="115CFDFE"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2.8</w:t>
            </w:r>
          </w:p>
        </w:tc>
      </w:tr>
      <w:tr w:rsidR="00792463" w:rsidRPr="0028157E" w14:paraId="36EE343D" w14:textId="77777777" w:rsidTr="0064579A">
        <w:trPr>
          <w:trHeight w:val="315"/>
          <w:jc w:val="center"/>
        </w:trPr>
        <w:tc>
          <w:tcPr>
            <w:tcW w:w="1065" w:type="dxa"/>
            <w:noWrap/>
            <w:vAlign w:val="center"/>
            <w:hideMark/>
          </w:tcPr>
          <w:p w14:paraId="13D076F9"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34566</w:t>
            </w:r>
          </w:p>
        </w:tc>
        <w:tc>
          <w:tcPr>
            <w:tcW w:w="990" w:type="dxa"/>
            <w:noWrap/>
            <w:vAlign w:val="center"/>
            <w:hideMark/>
          </w:tcPr>
          <w:p w14:paraId="3F70EF92" w14:textId="0DE5671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6AA387F5"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Barbary sheep</w:t>
            </w:r>
          </w:p>
        </w:tc>
        <w:tc>
          <w:tcPr>
            <w:tcW w:w="660" w:type="dxa"/>
            <w:noWrap/>
            <w:vAlign w:val="center"/>
            <w:hideMark/>
          </w:tcPr>
          <w:p w14:paraId="1EA3ACA1"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0.82</w:t>
            </w:r>
          </w:p>
        </w:tc>
        <w:tc>
          <w:tcPr>
            <w:tcW w:w="1290" w:type="dxa"/>
            <w:noWrap/>
            <w:vAlign w:val="center"/>
            <w:hideMark/>
          </w:tcPr>
          <w:p w14:paraId="0822622D" w14:textId="34B121D2" w:rsidR="00792463" w:rsidRPr="0028157E" w:rsidRDefault="00792463">
            <w:pPr>
              <w:jc w:val="center"/>
              <w:rPr>
                <w:rFonts w:eastAsia="Times New Roman"/>
                <w:color w:val="ED7D31"/>
                <w:sz w:val="24"/>
                <w:szCs w:val="24"/>
                <w:lang w:eastAsia="en-US"/>
              </w:rPr>
            </w:pPr>
          </w:p>
        </w:tc>
        <w:tc>
          <w:tcPr>
            <w:tcW w:w="1035" w:type="dxa"/>
            <w:noWrap/>
            <w:vAlign w:val="center"/>
            <w:hideMark/>
          </w:tcPr>
          <w:p w14:paraId="2A1D08FA"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08681EC0" w14:textId="77777777" w:rsidTr="0064579A">
        <w:trPr>
          <w:trHeight w:val="315"/>
          <w:jc w:val="center"/>
        </w:trPr>
        <w:tc>
          <w:tcPr>
            <w:tcW w:w="1065" w:type="dxa"/>
            <w:noWrap/>
            <w:vAlign w:val="center"/>
            <w:hideMark/>
          </w:tcPr>
          <w:p w14:paraId="6B56E4B2"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35961</w:t>
            </w:r>
          </w:p>
        </w:tc>
        <w:tc>
          <w:tcPr>
            <w:tcW w:w="990" w:type="dxa"/>
            <w:noWrap/>
            <w:vAlign w:val="center"/>
            <w:hideMark/>
          </w:tcPr>
          <w:p w14:paraId="7F906703" w14:textId="0A6B32CF"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61CCE316"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0C30ACB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0.83</w:t>
            </w:r>
          </w:p>
        </w:tc>
        <w:tc>
          <w:tcPr>
            <w:tcW w:w="1290" w:type="dxa"/>
            <w:noWrap/>
            <w:vAlign w:val="center"/>
            <w:hideMark/>
          </w:tcPr>
          <w:p w14:paraId="425ECDA2"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2.6</w:t>
            </w:r>
          </w:p>
        </w:tc>
        <w:tc>
          <w:tcPr>
            <w:tcW w:w="1035" w:type="dxa"/>
            <w:noWrap/>
            <w:vAlign w:val="center"/>
            <w:hideMark/>
          </w:tcPr>
          <w:p w14:paraId="4A03A1EF"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4B023C98" w14:textId="77777777" w:rsidTr="0064579A">
        <w:trPr>
          <w:trHeight w:val="315"/>
          <w:jc w:val="center"/>
        </w:trPr>
        <w:tc>
          <w:tcPr>
            <w:tcW w:w="1065" w:type="dxa"/>
            <w:noWrap/>
            <w:vAlign w:val="center"/>
            <w:hideMark/>
          </w:tcPr>
          <w:p w14:paraId="1D7065D2"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35962</w:t>
            </w:r>
          </w:p>
        </w:tc>
        <w:tc>
          <w:tcPr>
            <w:tcW w:w="990" w:type="dxa"/>
            <w:noWrap/>
            <w:vAlign w:val="center"/>
            <w:hideMark/>
          </w:tcPr>
          <w:p w14:paraId="7BFEFA5C" w14:textId="4D88E78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7FD789CA" w14:textId="1827B01E"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0ACDF9A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0.71</w:t>
            </w:r>
          </w:p>
        </w:tc>
        <w:tc>
          <w:tcPr>
            <w:tcW w:w="1290" w:type="dxa"/>
            <w:noWrap/>
            <w:vAlign w:val="center"/>
            <w:hideMark/>
          </w:tcPr>
          <w:p w14:paraId="1AEF4B78" w14:textId="459C2299" w:rsidR="00792463" w:rsidRPr="0028157E" w:rsidRDefault="00792463">
            <w:pPr>
              <w:jc w:val="center"/>
              <w:rPr>
                <w:rFonts w:eastAsia="Times New Roman"/>
                <w:color w:val="ED7D31"/>
                <w:sz w:val="24"/>
                <w:szCs w:val="24"/>
                <w:lang w:eastAsia="en-US"/>
              </w:rPr>
            </w:pPr>
          </w:p>
        </w:tc>
        <w:tc>
          <w:tcPr>
            <w:tcW w:w="1035" w:type="dxa"/>
            <w:noWrap/>
            <w:vAlign w:val="center"/>
            <w:hideMark/>
          </w:tcPr>
          <w:p w14:paraId="692EFF3A"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6AC93D72" w14:textId="77777777" w:rsidTr="0064579A">
        <w:trPr>
          <w:trHeight w:val="315"/>
          <w:jc w:val="center"/>
        </w:trPr>
        <w:tc>
          <w:tcPr>
            <w:tcW w:w="1065" w:type="dxa"/>
            <w:noWrap/>
            <w:vAlign w:val="center"/>
            <w:hideMark/>
          </w:tcPr>
          <w:p w14:paraId="2FDB7BF8"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lastRenderedPageBreak/>
              <w:t>35967</w:t>
            </w:r>
          </w:p>
        </w:tc>
        <w:tc>
          <w:tcPr>
            <w:tcW w:w="990" w:type="dxa"/>
            <w:noWrap/>
            <w:vAlign w:val="center"/>
            <w:hideMark/>
          </w:tcPr>
          <w:p w14:paraId="122FB063" w14:textId="11E82E29"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4A8E90E5" w14:textId="133FA7ED"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5A596D3E"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0.78</w:t>
            </w:r>
          </w:p>
        </w:tc>
        <w:tc>
          <w:tcPr>
            <w:tcW w:w="1290" w:type="dxa"/>
            <w:noWrap/>
            <w:vAlign w:val="center"/>
            <w:hideMark/>
          </w:tcPr>
          <w:p w14:paraId="33C0CB60" w14:textId="0C19D816" w:rsidR="00792463" w:rsidRPr="0028157E" w:rsidRDefault="00792463">
            <w:pPr>
              <w:jc w:val="center"/>
              <w:rPr>
                <w:rFonts w:eastAsia="Times New Roman"/>
                <w:color w:val="ED7D31"/>
                <w:sz w:val="24"/>
                <w:szCs w:val="24"/>
                <w:lang w:eastAsia="en-US"/>
              </w:rPr>
            </w:pPr>
          </w:p>
        </w:tc>
        <w:tc>
          <w:tcPr>
            <w:tcW w:w="1035" w:type="dxa"/>
            <w:noWrap/>
            <w:vAlign w:val="center"/>
            <w:hideMark/>
          </w:tcPr>
          <w:p w14:paraId="0646F247"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3B5DA2F8" w14:textId="77777777" w:rsidTr="0064579A">
        <w:trPr>
          <w:trHeight w:val="315"/>
          <w:jc w:val="center"/>
        </w:trPr>
        <w:tc>
          <w:tcPr>
            <w:tcW w:w="1065" w:type="dxa"/>
            <w:noWrap/>
            <w:vAlign w:val="center"/>
            <w:hideMark/>
          </w:tcPr>
          <w:p w14:paraId="45472C55"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35970</w:t>
            </w:r>
          </w:p>
        </w:tc>
        <w:tc>
          <w:tcPr>
            <w:tcW w:w="990" w:type="dxa"/>
            <w:noWrap/>
            <w:vAlign w:val="center"/>
            <w:hideMark/>
          </w:tcPr>
          <w:p w14:paraId="567CA4B3" w14:textId="5683852E"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06C74F7B" w14:textId="0E99109A"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2740DD1B"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0.76</w:t>
            </w:r>
          </w:p>
        </w:tc>
        <w:tc>
          <w:tcPr>
            <w:tcW w:w="1290" w:type="dxa"/>
            <w:noWrap/>
            <w:vAlign w:val="center"/>
            <w:hideMark/>
          </w:tcPr>
          <w:p w14:paraId="7E6F09DB" w14:textId="211EA416" w:rsidR="00792463" w:rsidRPr="0028157E" w:rsidRDefault="00792463">
            <w:pPr>
              <w:jc w:val="center"/>
              <w:rPr>
                <w:rFonts w:eastAsia="Times New Roman"/>
                <w:color w:val="ED7D31"/>
                <w:sz w:val="24"/>
                <w:szCs w:val="24"/>
                <w:lang w:eastAsia="en-US"/>
              </w:rPr>
            </w:pPr>
          </w:p>
        </w:tc>
        <w:tc>
          <w:tcPr>
            <w:tcW w:w="1035" w:type="dxa"/>
            <w:noWrap/>
            <w:vAlign w:val="center"/>
            <w:hideMark/>
          </w:tcPr>
          <w:p w14:paraId="04DA077B"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663B2B3A" w14:textId="77777777" w:rsidTr="0064579A">
        <w:trPr>
          <w:trHeight w:val="315"/>
          <w:jc w:val="center"/>
        </w:trPr>
        <w:tc>
          <w:tcPr>
            <w:tcW w:w="1065" w:type="dxa"/>
            <w:noWrap/>
            <w:vAlign w:val="center"/>
            <w:hideMark/>
          </w:tcPr>
          <w:p w14:paraId="1241E128"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35979</w:t>
            </w:r>
          </w:p>
        </w:tc>
        <w:tc>
          <w:tcPr>
            <w:tcW w:w="990" w:type="dxa"/>
            <w:noWrap/>
            <w:vAlign w:val="center"/>
            <w:hideMark/>
          </w:tcPr>
          <w:p w14:paraId="046785F0" w14:textId="2F89A60D"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28A09D4" w14:textId="4EB41431"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54A7C1FC"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0.76</w:t>
            </w:r>
          </w:p>
        </w:tc>
        <w:tc>
          <w:tcPr>
            <w:tcW w:w="1290" w:type="dxa"/>
            <w:noWrap/>
            <w:vAlign w:val="center"/>
            <w:hideMark/>
          </w:tcPr>
          <w:p w14:paraId="42C9D4B0" w14:textId="6D7782F9" w:rsidR="00792463" w:rsidRPr="0028157E" w:rsidRDefault="00792463">
            <w:pPr>
              <w:jc w:val="center"/>
              <w:rPr>
                <w:rFonts w:eastAsia="Times New Roman"/>
                <w:color w:val="ED7D31"/>
                <w:sz w:val="24"/>
                <w:szCs w:val="24"/>
                <w:lang w:eastAsia="en-US"/>
              </w:rPr>
            </w:pPr>
          </w:p>
        </w:tc>
        <w:tc>
          <w:tcPr>
            <w:tcW w:w="1035" w:type="dxa"/>
            <w:noWrap/>
            <w:vAlign w:val="center"/>
            <w:hideMark/>
          </w:tcPr>
          <w:p w14:paraId="53F12C3E"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132779E3" w14:textId="77777777" w:rsidTr="0064579A">
        <w:trPr>
          <w:trHeight w:val="315"/>
          <w:jc w:val="center"/>
        </w:trPr>
        <w:tc>
          <w:tcPr>
            <w:tcW w:w="1065" w:type="dxa"/>
            <w:noWrap/>
            <w:vAlign w:val="center"/>
            <w:hideMark/>
          </w:tcPr>
          <w:p w14:paraId="06F62EB5"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35985</w:t>
            </w:r>
          </w:p>
        </w:tc>
        <w:tc>
          <w:tcPr>
            <w:tcW w:w="990" w:type="dxa"/>
            <w:noWrap/>
            <w:vAlign w:val="center"/>
            <w:hideMark/>
          </w:tcPr>
          <w:p w14:paraId="2D6A990A" w14:textId="1CE88F3C"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6D7DF2D1" w14:textId="20CB9F2E"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13D92222" w14:textId="3EA66BE5" w:rsidR="00792463" w:rsidRPr="0028157E" w:rsidRDefault="00792463">
            <w:pPr>
              <w:jc w:val="center"/>
              <w:rPr>
                <w:rFonts w:eastAsia="Times New Roman"/>
                <w:color w:val="000000"/>
                <w:sz w:val="24"/>
                <w:szCs w:val="24"/>
                <w:lang w:eastAsia="en-US"/>
              </w:rPr>
            </w:pPr>
          </w:p>
        </w:tc>
        <w:tc>
          <w:tcPr>
            <w:tcW w:w="1290" w:type="dxa"/>
            <w:noWrap/>
            <w:vAlign w:val="center"/>
            <w:hideMark/>
          </w:tcPr>
          <w:p w14:paraId="0BFF1C8A"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2.2</w:t>
            </w:r>
          </w:p>
        </w:tc>
        <w:tc>
          <w:tcPr>
            <w:tcW w:w="1035" w:type="dxa"/>
            <w:noWrap/>
            <w:vAlign w:val="center"/>
            <w:hideMark/>
          </w:tcPr>
          <w:p w14:paraId="54F697B9" w14:textId="11861546" w:rsidR="00792463" w:rsidRPr="0028157E" w:rsidRDefault="00792463">
            <w:pPr>
              <w:jc w:val="center"/>
              <w:rPr>
                <w:rFonts w:eastAsia="Times New Roman"/>
                <w:color w:val="7F7F7F"/>
                <w:sz w:val="24"/>
                <w:szCs w:val="24"/>
                <w:lang w:eastAsia="en-US"/>
              </w:rPr>
            </w:pPr>
          </w:p>
        </w:tc>
      </w:tr>
      <w:tr w:rsidR="00792463" w:rsidRPr="0028157E" w14:paraId="636F799C" w14:textId="77777777" w:rsidTr="0064579A">
        <w:trPr>
          <w:trHeight w:val="315"/>
          <w:jc w:val="center"/>
        </w:trPr>
        <w:tc>
          <w:tcPr>
            <w:tcW w:w="1065" w:type="dxa"/>
            <w:noWrap/>
            <w:vAlign w:val="center"/>
            <w:hideMark/>
          </w:tcPr>
          <w:p w14:paraId="6C7BBF98"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35963.A</w:t>
            </w:r>
          </w:p>
        </w:tc>
        <w:tc>
          <w:tcPr>
            <w:tcW w:w="990" w:type="dxa"/>
            <w:noWrap/>
            <w:vAlign w:val="center"/>
            <w:hideMark/>
          </w:tcPr>
          <w:p w14:paraId="62722B05" w14:textId="5FEAD32D"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50E941F2" w14:textId="4EB460C1"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1F93C6AB"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0.75</w:t>
            </w:r>
          </w:p>
        </w:tc>
        <w:tc>
          <w:tcPr>
            <w:tcW w:w="1290" w:type="dxa"/>
            <w:noWrap/>
            <w:vAlign w:val="center"/>
            <w:hideMark/>
          </w:tcPr>
          <w:p w14:paraId="03395B3A" w14:textId="78F0AC2B" w:rsidR="00792463" w:rsidRPr="0028157E" w:rsidRDefault="00792463">
            <w:pPr>
              <w:jc w:val="center"/>
              <w:rPr>
                <w:rFonts w:eastAsia="Times New Roman"/>
                <w:color w:val="ED7D31"/>
                <w:sz w:val="24"/>
                <w:szCs w:val="24"/>
                <w:lang w:eastAsia="en-US"/>
              </w:rPr>
            </w:pPr>
          </w:p>
        </w:tc>
        <w:tc>
          <w:tcPr>
            <w:tcW w:w="1035" w:type="dxa"/>
            <w:noWrap/>
            <w:vAlign w:val="center"/>
            <w:hideMark/>
          </w:tcPr>
          <w:p w14:paraId="4A6D7006"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3EF417AA" w14:textId="77777777" w:rsidTr="0064579A">
        <w:trPr>
          <w:trHeight w:val="315"/>
          <w:jc w:val="center"/>
        </w:trPr>
        <w:tc>
          <w:tcPr>
            <w:tcW w:w="1065" w:type="dxa"/>
            <w:noWrap/>
            <w:vAlign w:val="center"/>
            <w:hideMark/>
          </w:tcPr>
          <w:p w14:paraId="469947F0"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35963.B</w:t>
            </w:r>
          </w:p>
        </w:tc>
        <w:tc>
          <w:tcPr>
            <w:tcW w:w="990" w:type="dxa"/>
            <w:noWrap/>
            <w:vAlign w:val="center"/>
            <w:hideMark/>
          </w:tcPr>
          <w:p w14:paraId="01699C1B" w14:textId="4409E894"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4B966A16" w14:textId="4B2C5274"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6470A343"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0.83</w:t>
            </w:r>
          </w:p>
        </w:tc>
        <w:tc>
          <w:tcPr>
            <w:tcW w:w="1290" w:type="dxa"/>
            <w:noWrap/>
            <w:vAlign w:val="center"/>
            <w:hideMark/>
          </w:tcPr>
          <w:p w14:paraId="50341B67" w14:textId="7E63FA10" w:rsidR="00792463" w:rsidRPr="0028157E" w:rsidRDefault="00792463">
            <w:pPr>
              <w:jc w:val="center"/>
              <w:rPr>
                <w:rFonts w:eastAsia="Times New Roman"/>
                <w:color w:val="ED7D31"/>
                <w:sz w:val="24"/>
                <w:szCs w:val="24"/>
                <w:lang w:eastAsia="en-US"/>
              </w:rPr>
            </w:pPr>
          </w:p>
        </w:tc>
        <w:tc>
          <w:tcPr>
            <w:tcW w:w="1035" w:type="dxa"/>
            <w:noWrap/>
            <w:vAlign w:val="center"/>
            <w:hideMark/>
          </w:tcPr>
          <w:p w14:paraId="7A0C24FE"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020C9FC5" w14:textId="77777777" w:rsidTr="0064579A">
        <w:trPr>
          <w:trHeight w:val="315"/>
          <w:jc w:val="center"/>
        </w:trPr>
        <w:tc>
          <w:tcPr>
            <w:tcW w:w="1065" w:type="dxa"/>
            <w:noWrap/>
            <w:vAlign w:val="center"/>
            <w:hideMark/>
          </w:tcPr>
          <w:p w14:paraId="353CA41C"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35981</w:t>
            </w:r>
          </w:p>
        </w:tc>
        <w:tc>
          <w:tcPr>
            <w:tcW w:w="990" w:type="dxa"/>
            <w:noWrap/>
            <w:vAlign w:val="center"/>
            <w:hideMark/>
          </w:tcPr>
          <w:p w14:paraId="7270875B" w14:textId="5C7D346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6205AF4F" w14:textId="4A50C968"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0F23504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0.92</w:t>
            </w:r>
          </w:p>
        </w:tc>
        <w:tc>
          <w:tcPr>
            <w:tcW w:w="1290" w:type="dxa"/>
            <w:noWrap/>
            <w:vAlign w:val="center"/>
            <w:hideMark/>
          </w:tcPr>
          <w:p w14:paraId="58CB80D1" w14:textId="184B8123" w:rsidR="00792463" w:rsidRPr="0028157E" w:rsidRDefault="00792463">
            <w:pPr>
              <w:jc w:val="center"/>
              <w:rPr>
                <w:rFonts w:eastAsia="Times New Roman"/>
                <w:color w:val="ED7D31"/>
                <w:sz w:val="24"/>
                <w:szCs w:val="24"/>
                <w:lang w:eastAsia="en-US"/>
              </w:rPr>
            </w:pPr>
          </w:p>
        </w:tc>
        <w:tc>
          <w:tcPr>
            <w:tcW w:w="1035" w:type="dxa"/>
            <w:noWrap/>
            <w:vAlign w:val="center"/>
            <w:hideMark/>
          </w:tcPr>
          <w:p w14:paraId="1219C7A4"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2.3</w:t>
            </w:r>
          </w:p>
        </w:tc>
      </w:tr>
      <w:tr w:rsidR="00792463" w:rsidRPr="0028157E" w14:paraId="46215DC4" w14:textId="77777777" w:rsidTr="0064579A">
        <w:trPr>
          <w:trHeight w:val="315"/>
          <w:jc w:val="center"/>
        </w:trPr>
        <w:tc>
          <w:tcPr>
            <w:tcW w:w="1065" w:type="dxa"/>
            <w:noWrap/>
            <w:vAlign w:val="center"/>
            <w:hideMark/>
          </w:tcPr>
          <w:p w14:paraId="3959FD18"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35977</w:t>
            </w:r>
          </w:p>
        </w:tc>
        <w:tc>
          <w:tcPr>
            <w:tcW w:w="990" w:type="dxa"/>
            <w:noWrap/>
            <w:vAlign w:val="center"/>
            <w:hideMark/>
          </w:tcPr>
          <w:p w14:paraId="4C4F41DC" w14:textId="23A5D3D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79E71FC" w14:textId="2BBC9475"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34879AF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0.76</w:t>
            </w:r>
          </w:p>
        </w:tc>
        <w:tc>
          <w:tcPr>
            <w:tcW w:w="1290" w:type="dxa"/>
            <w:noWrap/>
            <w:vAlign w:val="center"/>
            <w:hideMark/>
          </w:tcPr>
          <w:p w14:paraId="51504447" w14:textId="7C980C90" w:rsidR="00792463" w:rsidRPr="0028157E" w:rsidRDefault="00792463">
            <w:pPr>
              <w:jc w:val="center"/>
              <w:rPr>
                <w:rFonts w:eastAsia="Times New Roman"/>
                <w:color w:val="ED7D31"/>
                <w:sz w:val="24"/>
                <w:szCs w:val="24"/>
                <w:lang w:eastAsia="en-US"/>
              </w:rPr>
            </w:pPr>
          </w:p>
        </w:tc>
        <w:tc>
          <w:tcPr>
            <w:tcW w:w="1035" w:type="dxa"/>
            <w:noWrap/>
            <w:vAlign w:val="center"/>
            <w:hideMark/>
          </w:tcPr>
          <w:p w14:paraId="0F583622"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137A872E" w14:textId="77777777" w:rsidTr="0064579A">
        <w:trPr>
          <w:trHeight w:val="315"/>
          <w:jc w:val="center"/>
        </w:trPr>
        <w:tc>
          <w:tcPr>
            <w:tcW w:w="1065" w:type="dxa"/>
            <w:noWrap/>
            <w:vAlign w:val="center"/>
            <w:hideMark/>
          </w:tcPr>
          <w:p w14:paraId="0916F083"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35978</w:t>
            </w:r>
          </w:p>
        </w:tc>
        <w:tc>
          <w:tcPr>
            <w:tcW w:w="990" w:type="dxa"/>
            <w:noWrap/>
            <w:vAlign w:val="center"/>
            <w:hideMark/>
          </w:tcPr>
          <w:p w14:paraId="50158FEE" w14:textId="7026FC20"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663F7C18" w14:textId="22A355B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2C888E5F"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0.74</w:t>
            </w:r>
          </w:p>
        </w:tc>
        <w:tc>
          <w:tcPr>
            <w:tcW w:w="1290" w:type="dxa"/>
            <w:noWrap/>
            <w:vAlign w:val="center"/>
            <w:hideMark/>
          </w:tcPr>
          <w:p w14:paraId="0DCA8A56" w14:textId="6F1CB562" w:rsidR="00792463" w:rsidRPr="0028157E" w:rsidRDefault="00792463">
            <w:pPr>
              <w:jc w:val="center"/>
              <w:rPr>
                <w:rFonts w:eastAsia="Times New Roman"/>
                <w:color w:val="ED7D31"/>
                <w:sz w:val="24"/>
                <w:szCs w:val="24"/>
                <w:lang w:eastAsia="en-US"/>
              </w:rPr>
            </w:pPr>
          </w:p>
        </w:tc>
        <w:tc>
          <w:tcPr>
            <w:tcW w:w="1035" w:type="dxa"/>
            <w:noWrap/>
            <w:vAlign w:val="center"/>
            <w:hideMark/>
          </w:tcPr>
          <w:p w14:paraId="2E29C515"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5DFB4CDC" w14:textId="77777777" w:rsidTr="0064579A">
        <w:trPr>
          <w:trHeight w:val="315"/>
          <w:jc w:val="center"/>
        </w:trPr>
        <w:tc>
          <w:tcPr>
            <w:tcW w:w="1065" w:type="dxa"/>
            <w:noWrap/>
            <w:vAlign w:val="center"/>
            <w:hideMark/>
          </w:tcPr>
          <w:p w14:paraId="5EA0AD4D"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35971.A</w:t>
            </w:r>
          </w:p>
        </w:tc>
        <w:tc>
          <w:tcPr>
            <w:tcW w:w="990" w:type="dxa"/>
            <w:noWrap/>
            <w:vAlign w:val="center"/>
            <w:hideMark/>
          </w:tcPr>
          <w:p w14:paraId="552548A6" w14:textId="3B675142"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260F4CE" w14:textId="05A5371C"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2C9C36EA"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0.80</w:t>
            </w:r>
          </w:p>
        </w:tc>
        <w:tc>
          <w:tcPr>
            <w:tcW w:w="1290" w:type="dxa"/>
            <w:noWrap/>
            <w:vAlign w:val="center"/>
            <w:hideMark/>
          </w:tcPr>
          <w:p w14:paraId="7FF36BB2" w14:textId="2E3FD064" w:rsidR="00792463" w:rsidRPr="0028157E" w:rsidRDefault="00792463">
            <w:pPr>
              <w:jc w:val="center"/>
              <w:rPr>
                <w:rFonts w:eastAsia="Times New Roman"/>
                <w:color w:val="ED7D31"/>
                <w:sz w:val="24"/>
                <w:szCs w:val="24"/>
                <w:lang w:eastAsia="en-US"/>
              </w:rPr>
            </w:pPr>
          </w:p>
        </w:tc>
        <w:tc>
          <w:tcPr>
            <w:tcW w:w="1035" w:type="dxa"/>
            <w:noWrap/>
            <w:vAlign w:val="center"/>
            <w:hideMark/>
          </w:tcPr>
          <w:p w14:paraId="387790D0"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646DF69F" w14:textId="77777777" w:rsidTr="0064579A">
        <w:trPr>
          <w:trHeight w:val="315"/>
          <w:jc w:val="center"/>
        </w:trPr>
        <w:tc>
          <w:tcPr>
            <w:tcW w:w="1065" w:type="dxa"/>
            <w:noWrap/>
            <w:vAlign w:val="center"/>
            <w:hideMark/>
          </w:tcPr>
          <w:p w14:paraId="0CC070D6"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35971.B</w:t>
            </w:r>
          </w:p>
        </w:tc>
        <w:tc>
          <w:tcPr>
            <w:tcW w:w="990" w:type="dxa"/>
            <w:noWrap/>
            <w:vAlign w:val="center"/>
            <w:hideMark/>
          </w:tcPr>
          <w:p w14:paraId="4DB57E35" w14:textId="612A4E0A"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46B7A77F" w14:textId="2F00BAF0"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0EA190BA"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0.79</w:t>
            </w:r>
          </w:p>
        </w:tc>
        <w:tc>
          <w:tcPr>
            <w:tcW w:w="1290" w:type="dxa"/>
            <w:noWrap/>
            <w:vAlign w:val="center"/>
            <w:hideMark/>
          </w:tcPr>
          <w:p w14:paraId="6739DE06" w14:textId="4A1052D7" w:rsidR="00792463" w:rsidRPr="0028157E" w:rsidRDefault="00792463">
            <w:pPr>
              <w:jc w:val="center"/>
              <w:rPr>
                <w:rFonts w:eastAsia="Times New Roman"/>
                <w:color w:val="ED7D31"/>
                <w:sz w:val="24"/>
                <w:szCs w:val="24"/>
                <w:lang w:eastAsia="en-US"/>
              </w:rPr>
            </w:pPr>
          </w:p>
        </w:tc>
        <w:tc>
          <w:tcPr>
            <w:tcW w:w="1035" w:type="dxa"/>
            <w:noWrap/>
            <w:vAlign w:val="center"/>
            <w:hideMark/>
          </w:tcPr>
          <w:p w14:paraId="32077DB2"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4B7B1DF6" w14:textId="77777777" w:rsidTr="0064579A">
        <w:trPr>
          <w:trHeight w:val="315"/>
          <w:jc w:val="center"/>
        </w:trPr>
        <w:tc>
          <w:tcPr>
            <w:tcW w:w="1065" w:type="dxa"/>
            <w:noWrap/>
            <w:vAlign w:val="center"/>
            <w:hideMark/>
          </w:tcPr>
          <w:p w14:paraId="699B0D3F"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35975</w:t>
            </w:r>
          </w:p>
        </w:tc>
        <w:tc>
          <w:tcPr>
            <w:tcW w:w="990" w:type="dxa"/>
            <w:noWrap/>
            <w:vAlign w:val="center"/>
            <w:hideMark/>
          </w:tcPr>
          <w:p w14:paraId="7C5821C5" w14:textId="6F46F126"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5C147462" w14:textId="0F9E1FFD"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17C1AA26"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0.85</w:t>
            </w:r>
          </w:p>
        </w:tc>
        <w:tc>
          <w:tcPr>
            <w:tcW w:w="1290" w:type="dxa"/>
            <w:noWrap/>
            <w:vAlign w:val="center"/>
            <w:hideMark/>
          </w:tcPr>
          <w:p w14:paraId="7BA91F69"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2.6</w:t>
            </w:r>
          </w:p>
        </w:tc>
        <w:tc>
          <w:tcPr>
            <w:tcW w:w="1035" w:type="dxa"/>
            <w:noWrap/>
            <w:vAlign w:val="center"/>
            <w:hideMark/>
          </w:tcPr>
          <w:p w14:paraId="2226F469"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430A28D7" w14:textId="77777777" w:rsidTr="0064579A">
        <w:trPr>
          <w:trHeight w:val="315"/>
          <w:jc w:val="center"/>
        </w:trPr>
        <w:tc>
          <w:tcPr>
            <w:tcW w:w="1065" w:type="dxa"/>
            <w:noWrap/>
            <w:vAlign w:val="center"/>
            <w:hideMark/>
          </w:tcPr>
          <w:p w14:paraId="4D393A96"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35975</w:t>
            </w:r>
          </w:p>
        </w:tc>
        <w:tc>
          <w:tcPr>
            <w:tcW w:w="990" w:type="dxa"/>
            <w:noWrap/>
            <w:vAlign w:val="center"/>
            <w:hideMark/>
          </w:tcPr>
          <w:p w14:paraId="27896CA1" w14:textId="403DF704"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5E1911B0" w14:textId="243A2095"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02C8656F" w14:textId="6500BC95" w:rsidR="00792463" w:rsidRPr="0028157E" w:rsidRDefault="00792463">
            <w:pPr>
              <w:jc w:val="center"/>
              <w:rPr>
                <w:rFonts w:eastAsia="Times New Roman"/>
                <w:color w:val="000000"/>
                <w:sz w:val="24"/>
                <w:szCs w:val="24"/>
                <w:lang w:eastAsia="en-US"/>
              </w:rPr>
            </w:pPr>
          </w:p>
        </w:tc>
        <w:tc>
          <w:tcPr>
            <w:tcW w:w="1290" w:type="dxa"/>
            <w:noWrap/>
            <w:vAlign w:val="center"/>
            <w:hideMark/>
          </w:tcPr>
          <w:p w14:paraId="5CE7F44B" w14:textId="684F92C4" w:rsidR="00792463" w:rsidRPr="0028157E" w:rsidRDefault="00792463">
            <w:pPr>
              <w:jc w:val="center"/>
              <w:rPr>
                <w:rFonts w:eastAsia="Times New Roman"/>
                <w:color w:val="000000"/>
                <w:sz w:val="24"/>
                <w:szCs w:val="24"/>
                <w:lang w:eastAsia="en-US"/>
              </w:rPr>
            </w:pPr>
          </w:p>
        </w:tc>
        <w:tc>
          <w:tcPr>
            <w:tcW w:w="1035" w:type="dxa"/>
            <w:noWrap/>
            <w:vAlign w:val="center"/>
            <w:hideMark/>
          </w:tcPr>
          <w:p w14:paraId="4993B817" w14:textId="4FBE65F5" w:rsidR="00792463" w:rsidRPr="0028157E" w:rsidRDefault="00792463">
            <w:pPr>
              <w:jc w:val="center"/>
              <w:rPr>
                <w:rFonts w:eastAsia="Times New Roman"/>
                <w:color w:val="7F7F7F"/>
                <w:sz w:val="24"/>
                <w:szCs w:val="24"/>
                <w:lang w:eastAsia="en-US"/>
              </w:rPr>
            </w:pPr>
          </w:p>
        </w:tc>
      </w:tr>
      <w:tr w:rsidR="00792463" w:rsidRPr="0028157E" w14:paraId="4A5D4C1C" w14:textId="77777777" w:rsidTr="0064579A">
        <w:trPr>
          <w:trHeight w:val="315"/>
          <w:jc w:val="center"/>
        </w:trPr>
        <w:tc>
          <w:tcPr>
            <w:tcW w:w="1065" w:type="dxa"/>
            <w:noWrap/>
            <w:vAlign w:val="center"/>
            <w:hideMark/>
          </w:tcPr>
          <w:p w14:paraId="77CD9BD1"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35980</w:t>
            </w:r>
          </w:p>
        </w:tc>
        <w:tc>
          <w:tcPr>
            <w:tcW w:w="990" w:type="dxa"/>
            <w:noWrap/>
            <w:vAlign w:val="center"/>
            <w:hideMark/>
          </w:tcPr>
          <w:p w14:paraId="25DF875B" w14:textId="565A526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0B586D3A" w14:textId="6218108F"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5A630244" w14:textId="5040214E" w:rsidR="00792463" w:rsidRPr="0028157E" w:rsidRDefault="00792463">
            <w:pPr>
              <w:jc w:val="center"/>
              <w:rPr>
                <w:rFonts w:eastAsia="Times New Roman"/>
                <w:color w:val="000000"/>
                <w:sz w:val="24"/>
                <w:szCs w:val="24"/>
                <w:lang w:eastAsia="en-US"/>
              </w:rPr>
            </w:pPr>
          </w:p>
        </w:tc>
        <w:tc>
          <w:tcPr>
            <w:tcW w:w="1290" w:type="dxa"/>
            <w:noWrap/>
            <w:vAlign w:val="center"/>
            <w:hideMark/>
          </w:tcPr>
          <w:p w14:paraId="235ACD63" w14:textId="474A81A1" w:rsidR="00792463" w:rsidRPr="0028157E" w:rsidRDefault="00792463">
            <w:pPr>
              <w:jc w:val="center"/>
              <w:rPr>
                <w:rFonts w:eastAsia="Times New Roman"/>
                <w:color w:val="000000"/>
                <w:sz w:val="24"/>
                <w:szCs w:val="24"/>
                <w:lang w:eastAsia="en-US"/>
              </w:rPr>
            </w:pPr>
          </w:p>
        </w:tc>
        <w:tc>
          <w:tcPr>
            <w:tcW w:w="1035" w:type="dxa"/>
            <w:noWrap/>
            <w:vAlign w:val="center"/>
            <w:hideMark/>
          </w:tcPr>
          <w:p w14:paraId="6D860AE8" w14:textId="105BE498" w:rsidR="00792463" w:rsidRPr="0028157E" w:rsidRDefault="00792463">
            <w:pPr>
              <w:jc w:val="center"/>
              <w:rPr>
                <w:rFonts w:eastAsia="Times New Roman"/>
                <w:color w:val="7F7F7F"/>
                <w:sz w:val="24"/>
                <w:szCs w:val="24"/>
                <w:lang w:eastAsia="en-US"/>
              </w:rPr>
            </w:pPr>
          </w:p>
        </w:tc>
      </w:tr>
      <w:tr w:rsidR="00792463" w:rsidRPr="0028157E" w14:paraId="24981D81" w14:textId="77777777" w:rsidTr="0064579A">
        <w:trPr>
          <w:trHeight w:val="315"/>
          <w:jc w:val="center"/>
        </w:trPr>
        <w:tc>
          <w:tcPr>
            <w:tcW w:w="1065" w:type="dxa"/>
            <w:noWrap/>
            <w:vAlign w:val="center"/>
            <w:hideMark/>
          </w:tcPr>
          <w:p w14:paraId="783DA250"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35959</w:t>
            </w:r>
          </w:p>
        </w:tc>
        <w:tc>
          <w:tcPr>
            <w:tcW w:w="990" w:type="dxa"/>
            <w:noWrap/>
            <w:vAlign w:val="center"/>
            <w:hideMark/>
          </w:tcPr>
          <w:p w14:paraId="6F88D696" w14:textId="305D4C4C"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6F9D3EB0" w14:textId="0644D87A"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7E7ACC10" w14:textId="1A318422" w:rsidR="00792463" w:rsidRPr="0028157E" w:rsidRDefault="00792463">
            <w:pPr>
              <w:jc w:val="center"/>
              <w:rPr>
                <w:rFonts w:eastAsia="Times New Roman"/>
                <w:color w:val="000000"/>
                <w:sz w:val="24"/>
                <w:szCs w:val="24"/>
                <w:lang w:eastAsia="en-US"/>
              </w:rPr>
            </w:pPr>
          </w:p>
        </w:tc>
        <w:tc>
          <w:tcPr>
            <w:tcW w:w="1290" w:type="dxa"/>
            <w:noWrap/>
            <w:vAlign w:val="center"/>
            <w:hideMark/>
          </w:tcPr>
          <w:p w14:paraId="47F371D5" w14:textId="78A6CE96" w:rsidR="00792463" w:rsidRPr="0028157E" w:rsidRDefault="00792463">
            <w:pPr>
              <w:jc w:val="center"/>
              <w:rPr>
                <w:rFonts w:eastAsia="Times New Roman"/>
                <w:color w:val="000000"/>
                <w:sz w:val="24"/>
                <w:szCs w:val="24"/>
                <w:lang w:eastAsia="en-US"/>
              </w:rPr>
            </w:pPr>
          </w:p>
        </w:tc>
        <w:tc>
          <w:tcPr>
            <w:tcW w:w="1035" w:type="dxa"/>
            <w:noWrap/>
            <w:vAlign w:val="center"/>
            <w:hideMark/>
          </w:tcPr>
          <w:p w14:paraId="6162C122" w14:textId="32504036" w:rsidR="00792463" w:rsidRPr="0028157E" w:rsidRDefault="00792463">
            <w:pPr>
              <w:jc w:val="center"/>
              <w:rPr>
                <w:rFonts w:eastAsia="Times New Roman"/>
                <w:color w:val="7F7F7F"/>
                <w:sz w:val="24"/>
                <w:szCs w:val="24"/>
                <w:lang w:eastAsia="en-US"/>
              </w:rPr>
            </w:pPr>
          </w:p>
        </w:tc>
      </w:tr>
      <w:tr w:rsidR="00792463" w:rsidRPr="0028157E" w14:paraId="394B8FBD" w14:textId="77777777" w:rsidTr="0064579A">
        <w:trPr>
          <w:trHeight w:val="315"/>
          <w:jc w:val="center"/>
        </w:trPr>
        <w:tc>
          <w:tcPr>
            <w:tcW w:w="1065" w:type="dxa"/>
            <w:noWrap/>
            <w:vAlign w:val="center"/>
            <w:hideMark/>
          </w:tcPr>
          <w:p w14:paraId="7AB0A3C5"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35959</w:t>
            </w:r>
          </w:p>
        </w:tc>
        <w:tc>
          <w:tcPr>
            <w:tcW w:w="990" w:type="dxa"/>
            <w:noWrap/>
            <w:vAlign w:val="center"/>
            <w:hideMark/>
          </w:tcPr>
          <w:p w14:paraId="6587A876" w14:textId="4BBC2ADD"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2056A64A" w14:textId="0CC5328F"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37361C2E" w14:textId="04315C5D" w:rsidR="00792463" w:rsidRPr="0028157E" w:rsidRDefault="00792463">
            <w:pPr>
              <w:jc w:val="center"/>
              <w:rPr>
                <w:rFonts w:eastAsia="Times New Roman"/>
                <w:color w:val="000000"/>
                <w:sz w:val="24"/>
                <w:szCs w:val="24"/>
                <w:lang w:eastAsia="en-US"/>
              </w:rPr>
            </w:pPr>
          </w:p>
        </w:tc>
        <w:tc>
          <w:tcPr>
            <w:tcW w:w="1290" w:type="dxa"/>
            <w:noWrap/>
            <w:vAlign w:val="center"/>
            <w:hideMark/>
          </w:tcPr>
          <w:p w14:paraId="31E3EC80"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2.7</w:t>
            </w:r>
          </w:p>
        </w:tc>
        <w:tc>
          <w:tcPr>
            <w:tcW w:w="1035" w:type="dxa"/>
            <w:noWrap/>
            <w:vAlign w:val="center"/>
            <w:hideMark/>
          </w:tcPr>
          <w:p w14:paraId="0FF4B189" w14:textId="74B1090A" w:rsidR="00792463" w:rsidRPr="0028157E" w:rsidRDefault="00792463">
            <w:pPr>
              <w:jc w:val="center"/>
              <w:rPr>
                <w:rFonts w:eastAsia="Times New Roman"/>
                <w:color w:val="7F7F7F"/>
                <w:sz w:val="24"/>
                <w:szCs w:val="24"/>
                <w:lang w:eastAsia="en-US"/>
              </w:rPr>
            </w:pPr>
          </w:p>
        </w:tc>
      </w:tr>
      <w:tr w:rsidR="00792463" w:rsidRPr="0028157E" w14:paraId="668803F7" w14:textId="77777777" w:rsidTr="0064579A">
        <w:trPr>
          <w:trHeight w:val="315"/>
          <w:jc w:val="center"/>
        </w:trPr>
        <w:tc>
          <w:tcPr>
            <w:tcW w:w="1065" w:type="dxa"/>
            <w:noWrap/>
            <w:vAlign w:val="center"/>
            <w:hideMark/>
          </w:tcPr>
          <w:p w14:paraId="22D61DA1"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35960</w:t>
            </w:r>
          </w:p>
        </w:tc>
        <w:tc>
          <w:tcPr>
            <w:tcW w:w="990" w:type="dxa"/>
            <w:noWrap/>
            <w:vAlign w:val="center"/>
            <w:hideMark/>
          </w:tcPr>
          <w:p w14:paraId="0B3B6669" w14:textId="46B4B9BF"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00D4711D" w14:textId="1E46AAA2"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71040407"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0.81</w:t>
            </w:r>
          </w:p>
        </w:tc>
        <w:tc>
          <w:tcPr>
            <w:tcW w:w="1290" w:type="dxa"/>
            <w:noWrap/>
            <w:vAlign w:val="center"/>
            <w:hideMark/>
          </w:tcPr>
          <w:p w14:paraId="421B7DF9"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2.2</w:t>
            </w:r>
          </w:p>
        </w:tc>
        <w:tc>
          <w:tcPr>
            <w:tcW w:w="1035" w:type="dxa"/>
            <w:noWrap/>
            <w:vAlign w:val="center"/>
            <w:hideMark/>
          </w:tcPr>
          <w:p w14:paraId="33BCA162"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61904936" w14:textId="77777777" w:rsidTr="0064579A">
        <w:trPr>
          <w:trHeight w:val="315"/>
          <w:jc w:val="center"/>
        </w:trPr>
        <w:tc>
          <w:tcPr>
            <w:tcW w:w="1065" w:type="dxa"/>
            <w:noWrap/>
            <w:vAlign w:val="center"/>
            <w:hideMark/>
          </w:tcPr>
          <w:p w14:paraId="0B0D12FE"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35968</w:t>
            </w:r>
          </w:p>
        </w:tc>
        <w:tc>
          <w:tcPr>
            <w:tcW w:w="990" w:type="dxa"/>
            <w:noWrap/>
            <w:vAlign w:val="center"/>
            <w:hideMark/>
          </w:tcPr>
          <w:p w14:paraId="0F9E6235" w14:textId="180CBEF4"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4A2A4D1E" w14:textId="3C064FA9"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53DD44C6"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0.75</w:t>
            </w:r>
          </w:p>
        </w:tc>
        <w:tc>
          <w:tcPr>
            <w:tcW w:w="1290" w:type="dxa"/>
            <w:noWrap/>
            <w:vAlign w:val="center"/>
            <w:hideMark/>
          </w:tcPr>
          <w:p w14:paraId="6AA447B4"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2.5</w:t>
            </w:r>
          </w:p>
        </w:tc>
        <w:tc>
          <w:tcPr>
            <w:tcW w:w="1035" w:type="dxa"/>
            <w:noWrap/>
            <w:vAlign w:val="center"/>
            <w:hideMark/>
          </w:tcPr>
          <w:p w14:paraId="3B5FB42F"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0328C98A" w14:textId="77777777" w:rsidTr="0064579A">
        <w:trPr>
          <w:trHeight w:val="315"/>
          <w:jc w:val="center"/>
        </w:trPr>
        <w:tc>
          <w:tcPr>
            <w:tcW w:w="1065" w:type="dxa"/>
            <w:noWrap/>
            <w:vAlign w:val="center"/>
            <w:hideMark/>
          </w:tcPr>
          <w:p w14:paraId="77558A29"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35969</w:t>
            </w:r>
          </w:p>
        </w:tc>
        <w:tc>
          <w:tcPr>
            <w:tcW w:w="990" w:type="dxa"/>
            <w:noWrap/>
            <w:vAlign w:val="center"/>
            <w:hideMark/>
          </w:tcPr>
          <w:p w14:paraId="27A2362A" w14:textId="592AE900"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504B90F" w14:textId="5E398056"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713C3915"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0.92</w:t>
            </w:r>
          </w:p>
        </w:tc>
        <w:tc>
          <w:tcPr>
            <w:tcW w:w="1290" w:type="dxa"/>
            <w:noWrap/>
            <w:vAlign w:val="center"/>
            <w:hideMark/>
          </w:tcPr>
          <w:p w14:paraId="2E66C32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2.4</w:t>
            </w:r>
          </w:p>
        </w:tc>
        <w:tc>
          <w:tcPr>
            <w:tcW w:w="1035" w:type="dxa"/>
            <w:noWrap/>
            <w:vAlign w:val="center"/>
            <w:hideMark/>
          </w:tcPr>
          <w:p w14:paraId="375997FE"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2.3</w:t>
            </w:r>
          </w:p>
        </w:tc>
      </w:tr>
      <w:tr w:rsidR="00792463" w:rsidRPr="0028157E" w14:paraId="2AB40D03" w14:textId="77777777" w:rsidTr="0064579A">
        <w:trPr>
          <w:trHeight w:val="315"/>
          <w:jc w:val="center"/>
        </w:trPr>
        <w:tc>
          <w:tcPr>
            <w:tcW w:w="1065" w:type="dxa"/>
            <w:noWrap/>
            <w:vAlign w:val="center"/>
            <w:hideMark/>
          </w:tcPr>
          <w:p w14:paraId="4EC85394"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35972</w:t>
            </w:r>
          </w:p>
        </w:tc>
        <w:tc>
          <w:tcPr>
            <w:tcW w:w="990" w:type="dxa"/>
            <w:noWrap/>
            <w:vAlign w:val="center"/>
            <w:hideMark/>
          </w:tcPr>
          <w:p w14:paraId="763B2131" w14:textId="5EFD4D30"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55755022" w14:textId="3687247F"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1090019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0.75</w:t>
            </w:r>
          </w:p>
        </w:tc>
        <w:tc>
          <w:tcPr>
            <w:tcW w:w="1290" w:type="dxa"/>
            <w:noWrap/>
            <w:vAlign w:val="center"/>
            <w:hideMark/>
          </w:tcPr>
          <w:p w14:paraId="7F99E481"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2.5</w:t>
            </w:r>
          </w:p>
        </w:tc>
        <w:tc>
          <w:tcPr>
            <w:tcW w:w="1035" w:type="dxa"/>
            <w:noWrap/>
            <w:vAlign w:val="center"/>
            <w:hideMark/>
          </w:tcPr>
          <w:p w14:paraId="4DE02338"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3F5598CF" w14:textId="77777777" w:rsidTr="0064579A">
        <w:trPr>
          <w:trHeight w:val="315"/>
          <w:jc w:val="center"/>
        </w:trPr>
        <w:tc>
          <w:tcPr>
            <w:tcW w:w="1065" w:type="dxa"/>
            <w:noWrap/>
            <w:vAlign w:val="center"/>
            <w:hideMark/>
          </w:tcPr>
          <w:p w14:paraId="5863F49F"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35973</w:t>
            </w:r>
          </w:p>
        </w:tc>
        <w:tc>
          <w:tcPr>
            <w:tcW w:w="990" w:type="dxa"/>
            <w:noWrap/>
            <w:vAlign w:val="center"/>
            <w:hideMark/>
          </w:tcPr>
          <w:p w14:paraId="0DAC4B03" w14:textId="798FF1DA"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25C65E00" w14:textId="223E309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4610EA69"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0.69</w:t>
            </w:r>
          </w:p>
        </w:tc>
        <w:tc>
          <w:tcPr>
            <w:tcW w:w="1290" w:type="dxa"/>
            <w:noWrap/>
            <w:vAlign w:val="center"/>
            <w:hideMark/>
          </w:tcPr>
          <w:p w14:paraId="11FD91C5"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2.6</w:t>
            </w:r>
          </w:p>
        </w:tc>
        <w:tc>
          <w:tcPr>
            <w:tcW w:w="1035" w:type="dxa"/>
            <w:noWrap/>
            <w:vAlign w:val="center"/>
            <w:hideMark/>
          </w:tcPr>
          <w:p w14:paraId="47CDDAF4"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09BFDF44" w14:textId="77777777" w:rsidTr="0064579A">
        <w:trPr>
          <w:trHeight w:val="315"/>
          <w:jc w:val="center"/>
        </w:trPr>
        <w:tc>
          <w:tcPr>
            <w:tcW w:w="1065" w:type="dxa"/>
            <w:noWrap/>
            <w:vAlign w:val="center"/>
            <w:hideMark/>
          </w:tcPr>
          <w:p w14:paraId="51D412B1"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35974</w:t>
            </w:r>
          </w:p>
        </w:tc>
        <w:tc>
          <w:tcPr>
            <w:tcW w:w="990" w:type="dxa"/>
            <w:noWrap/>
            <w:vAlign w:val="center"/>
            <w:hideMark/>
          </w:tcPr>
          <w:p w14:paraId="4FDDF3CE" w14:textId="46DB8040"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0DF0812" w14:textId="6DD3FE33"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57455309"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0.71</w:t>
            </w:r>
          </w:p>
        </w:tc>
        <w:tc>
          <w:tcPr>
            <w:tcW w:w="1290" w:type="dxa"/>
            <w:noWrap/>
            <w:vAlign w:val="center"/>
            <w:hideMark/>
          </w:tcPr>
          <w:p w14:paraId="198F5876" w14:textId="78CBDA64" w:rsidR="00792463" w:rsidRPr="0028157E" w:rsidRDefault="00792463">
            <w:pPr>
              <w:jc w:val="center"/>
              <w:rPr>
                <w:rFonts w:eastAsia="Times New Roman"/>
                <w:color w:val="ED7D31"/>
                <w:sz w:val="24"/>
                <w:szCs w:val="24"/>
                <w:lang w:eastAsia="en-US"/>
              </w:rPr>
            </w:pPr>
          </w:p>
        </w:tc>
        <w:tc>
          <w:tcPr>
            <w:tcW w:w="1035" w:type="dxa"/>
            <w:noWrap/>
            <w:vAlign w:val="center"/>
            <w:hideMark/>
          </w:tcPr>
          <w:p w14:paraId="2B4178B1"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r w:rsidR="00792463" w:rsidRPr="0028157E" w14:paraId="5034CBC7" w14:textId="77777777" w:rsidTr="0064579A">
        <w:trPr>
          <w:trHeight w:val="315"/>
          <w:jc w:val="center"/>
        </w:trPr>
        <w:tc>
          <w:tcPr>
            <w:tcW w:w="1065" w:type="dxa"/>
            <w:noWrap/>
            <w:vAlign w:val="center"/>
            <w:hideMark/>
          </w:tcPr>
          <w:p w14:paraId="20E4F9B0"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35976</w:t>
            </w:r>
          </w:p>
        </w:tc>
        <w:tc>
          <w:tcPr>
            <w:tcW w:w="990" w:type="dxa"/>
            <w:noWrap/>
            <w:vAlign w:val="center"/>
            <w:hideMark/>
          </w:tcPr>
          <w:p w14:paraId="0B4BA171" w14:textId="3F8635E0"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6F7D30FB" w14:textId="1ACD9C7B"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30CD1195"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0.81</w:t>
            </w:r>
          </w:p>
        </w:tc>
        <w:tc>
          <w:tcPr>
            <w:tcW w:w="1290" w:type="dxa"/>
            <w:noWrap/>
            <w:vAlign w:val="center"/>
            <w:hideMark/>
          </w:tcPr>
          <w:p w14:paraId="46285978"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2.5</w:t>
            </w:r>
          </w:p>
        </w:tc>
        <w:tc>
          <w:tcPr>
            <w:tcW w:w="1035" w:type="dxa"/>
            <w:noWrap/>
            <w:vAlign w:val="center"/>
            <w:hideMark/>
          </w:tcPr>
          <w:p w14:paraId="14FD305B"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2.4</w:t>
            </w:r>
          </w:p>
        </w:tc>
      </w:tr>
      <w:tr w:rsidR="00792463" w:rsidRPr="0028157E" w14:paraId="73520642" w14:textId="77777777" w:rsidTr="0064579A">
        <w:trPr>
          <w:trHeight w:val="315"/>
          <w:jc w:val="center"/>
        </w:trPr>
        <w:tc>
          <w:tcPr>
            <w:tcW w:w="1065" w:type="dxa"/>
            <w:noWrap/>
            <w:vAlign w:val="center"/>
            <w:hideMark/>
          </w:tcPr>
          <w:p w14:paraId="147A7E64" w14:textId="77777777" w:rsidR="00792463" w:rsidRPr="0028157E" w:rsidRDefault="00792463" w:rsidP="0056199B">
            <w:pPr>
              <w:jc w:val="center"/>
              <w:rPr>
                <w:rFonts w:eastAsia="Times New Roman"/>
                <w:b/>
                <w:bCs/>
                <w:color w:val="000000"/>
                <w:sz w:val="24"/>
                <w:szCs w:val="24"/>
                <w:lang w:eastAsia="en-US"/>
              </w:rPr>
            </w:pPr>
            <w:r w:rsidRPr="0028157E">
              <w:rPr>
                <w:rFonts w:eastAsia="Times New Roman"/>
                <w:b/>
                <w:bCs/>
                <w:color w:val="000000"/>
                <w:sz w:val="24"/>
                <w:szCs w:val="24"/>
                <w:lang w:eastAsia="en-US"/>
              </w:rPr>
              <w:t>34561</w:t>
            </w:r>
          </w:p>
        </w:tc>
        <w:tc>
          <w:tcPr>
            <w:tcW w:w="990" w:type="dxa"/>
            <w:noWrap/>
            <w:vAlign w:val="center"/>
            <w:hideMark/>
          </w:tcPr>
          <w:p w14:paraId="3A4F87CA" w14:textId="5CF8E6CF"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Taforalt</w:t>
            </w:r>
          </w:p>
        </w:tc>
        <w:tc>
          <w:tcPr>
            <w:tcW w:w="1635" w:type="dxa"/>
            <w:noWrap/>
            <w:vAlign w:val="center"/>
            <w:hideMark/>
          </w:tcPr>
          <w:p w14:paraId="18191279" w14:textId="53BB8204"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adult human</w:t>
            </w:r>
          </w:p>
        </w:tc>
        <w:tc>
          <w:tcPr>
            <w:tcW w:w="660" w:type="dxa"/>
            <w:noWrap/>
            <w:vAlign w:val="center"/>
            <w:hideMark/>
          </w:tcPr>
          <w:p w14:paraId="14E66761" w14:textId="77777777" w:rsidR="00792463" w:rsidRPr="0028157E" w:rsidRDefault="00792463">
            <w:pPr>
              <w:jc w:val="center"/>
              <w:rPr>
                <w:rFonts w:eastAsia="Times New Roman"/>
                <w:color w:val="000000"/>
                <w:sz w:val="24"/>
                <w:szCs w:val="24"/>
                <w:lang w:eastAsia="en-US"/>
              </w:rPr>
            </w:pPr>
            <w:r w:rsidRPr="0028157E">
              <w:rPr>
                <w:rFonts w:eastAsia="Times New Roman"/>
                <w:color w:val="000000"/>
                <w:sz w:val="24"/>
                <w:szCs w:val="24"/>
                <w:lang w:eastAsia="en-US"/>
              </w:rPr>
              <w:t>0.68</w:t>
            </w:r>
          </w:p>
        </w:tc>
        <w:tc>
          <w:tcPr>
            <w:tcW w:w="1290" w:type="dxa"/>
            <w:noWrap/>
            <w:vAlign w:val="center"/>
            <w:hideMark/>
          </w:tcPr>
          <w:p w14:paraId="6618A949" w14:textId="5B77C618" w:rsidR="00792463" w:rsidRPr="0028157E" w:rsidRDefault="00792463">
            <w:pPr>
              <w:jc w:val="center"/>
              <w:rPr>
                <w:rFonts w:eastAsia="Times New Roman"/>
                <w:color w:val="ED7D31"/>
                <w:sz w:val="24"/>
                <w:szCs w:val="24"/>
                <w:lang w:eastAsia="en-US"/>
              </w:rPr>
            </w:pPr>
          </w:p>
        </w:tc>
        <w:tc>
          <w:tcPr>
            <w:tcW w:w="1035" w:type="dxa"/>
            <w:noWrap/>
            <w:vAlign w:val="center"/>
            <w:hideMark/>
          </w:tcPr>
          <w:p w14:paraId="5B23466F" w14:textId="77777777" w:rsidR="00792463" w:rsidRPr="0028157E" w:rsidRDefault="00792463">
            <w:pPr>
              <w:jc w:val="center"/>
              <w:rPr>
                <w:rFonts w:eastAsia="Times New Roman"/>
                <w:color w:val="7F7F7F"/>
                <w:sz w:val="24"/>
                <w:szCs w:val="24"/>
                <w:lang w:eastAsia="en-US"/>
              </w:rPr>
            </w:pPr>
            <w:r w:rsidRPr="0028157E">
              <w:rPr>
                <w:rFonts w:eastAsia="Times New Roman"/>
                <w:color w:val="7F7F7F"/>
                <w:sz w:val="24"/>
                <w:szCs w:val="24"/>
                <w:lang w:eastAsia="en-US"/>
              </w:rPr>
              <w:t>2.5</w:t>
            </w:r>
          </w:p>
        </w:tc>
      </w:tr>
    </w:tbl>
    <w:p w14:paraId="0000043C" w14:textId="77777777" w:rsidR="00784AF4" w:rsidRPr="00D70D43" w:rsidRDefault="00784AF4" w:rsidP="0064579A">
      <w:pPr>
        <w:spacing w:after="0" w:line="360" w:lineRule="auto"/>
        <w:jc w:val="center"/>
        <w:rPr>
          <w:rFonts w:ascii="Times New Roman" w:eastAsia="Times New Roman" w:hAnsi="Times New Roman" w:cs="Times New Roman"/>
          <w:sz w:val="24"/>
          <w:szCs w:val="24"/>
        </w:rPr>
      </w:pPr>
    </w:p>
    <w:p w14:paraId="0000043D" w14:textId="77777777" w:rsidR="00784AF4" w:rsidRPr="00D70D43" w:rsidRDefault="00784AF4">
      <w:pPr>
        <w:spacing w:after="0" w:line="360" w:lineRule="auto"/>
        <w:jc w:val="both"/>
        <w:rPr>
          <w:rFonts w:ascii="Times New Roman" w:eastAsia="Times New Roman" w:hAnsi="Times New Roman" w:cs="Times New Roman"/>
          <w:sz w:val="24"/>
          <w:szCs w:val="24"/>
        </w:rPr>
      </w:pPr>
    </w:p>
    <w:p w14:paraId="0000043E" w14:textId="32D4247B" w:rsidR="00784AF4" w:rsidRDefault="00784AF4">
      <w:pPr>
        <w:spacing w:after="0" w:line="360" w:lineRule="auto"/>
        <w:jc w:val="both"/>
        <w:rPr>
          <w:rFonts w:ascii="Times New Roman" w:eastAsia="Times New Roman" w:hAnsi="Times New Roman" w:cs="Times New Roman"/>
          <w:sz w:val="24"/>
          <w:szCs w:val="24"/>
        </w:rPr>
      </w:pPr>
    </w:p>
    <w:p w14:paraId="54C10D45" w14:textId="3B0FA3C5" w:rsidR="00FB1C86" w:rsidRPr="0064579A" w:rsidRDefault="0020388D">
      <w:pPr>
        <w:spacing w:after="0" w:line="360" w:lineRule="auto"/>
        <w:jc w:val="both"/>
        <w:rPr>
          <w:rFonts w:ascii="Times New Roman" w:eastAsia="Times New Roman" w:hAnsi="Times New Roman" w:cs="Times New Roman"/>
          <w:b/>
          <w:i/>
          <w:sz w:val="24"/>
          <w:szCs w:val="24"/>
        </w:rPr>
      </w:pPr>
      <w:bookmarkStart w:id="66" w:name="_Hlk137040387"/>
      <w:r w:rsidRPr="0064579A">
        <w:rPr>
          <w:rFonts w:ascii="Times New Roman" w:eastAsia="Times New Roman" w:hAnsi="Times New Roman" w:cs="Times New Roman"/>
          <w:b/>
          <w:i/>
          <w:sz w:val="24"/>
          <w:szCs w:val="24"/>
        </w:rPr>
        <w:t>5</w:t>
      </w:r>
      <w:r w:rsidR="009E64F1" w:rsidRPr="0064579A">
        <w:rPr>
          <w:rFonts w:ascii="Times New Roman" w:eastAsia="Times New Roman" w:hAnsi="Times New Roman" w:cs="Times New Roman"/>
          <w:b/>
          <w:i/>
          <w:sz w:val="24"/>
          <w:szCs w:val="24"/>
        </w:rPr>
        <w:t>.</w:t>
      </w:r>
      <w:r w:rsidRPr="0064579A">
        <w:rPr>
          <w:rFonts w:ascii="Times New Roman" w:eastAsia="Times New Roman" w:hAnsi="Times New Roman" w:cs="Times New Roman"/>
          <w:b/>
          <w:i/>
          <w:sz w:val="24"/>
          <w:szCs w:val="24"/>
        </w:rPr>
        <w:t>3</w:t>
      </w:r>
      <w:r w:rsidR="009E64F1" w:rsidRPr="0064579A">
        <w:rPr>
          <w:rFonts w:ascii="Times New Roman" w:eastAsia="Times New Roman" w:hAnsi="Times New Roman" w:cs="Times New Roman"/>
          <w:b/>
          <w:i/>
          <w:sz w:val="24"/>
          <w:szCs w:val="24"/>
        </w:rPr>
        <w:t xml:space="preserve"> Enamel hypoplasia </w:t>
      </w:r>
      <w:r w:rsidR="00126550">
        <w:rPr>
          <w:rFonts w:ascii="Times New Roman" w:eastAsia="Times New Roman" w:hAnsi="Times New Roman" w:cs="Times New Roman"/>
          <w:b/>
          <w:i/>
          <w:sz w:val="24"/>
          <w:szCs w:val="24"/>
        </w:rPr>
        <w:t>in the human teeth from Taforalt</w:t>
      </w:r>
      <w:r w:rsidR="009E64F1" w:rsidRPr="0064579A">
        <w:rPr>
          <w:rFonts w:ascii="Times New Roman" w:eastAsia="Times New Roman" w:hAnsi="Times New Roman" w:cs="Times New Roman"/>
          <w:b/>
          <w:i/>
          <w:sz w:val="24"/>
          <w:szCs w:val="24"/>
        </w:rPr>
        <w:t xml:space="preserve"> </w:t>
      </w:r>
    </w:p>
    <w:bookmarkEnd w:id="66"/>
    <w:p w14:paraId="5CB39B0B" w14:textId="77777777" w:rsidR="00F307A5" w:rsidRDefault="00F307A5">
      <w:pPr>
        <w:spacing w:after="0" w:line="360" w:lineRule="auto"/>
        <w:jc w:val="both"/>
        <w:rPr>
          <w:rFonts w:ascii="Times New Roman" w:eastAsia="Times New Roman" w:hAnsi="Times New Roman" w:cs="Times New Roman"/>
          <w:sz w:val="24"/>
          <w:szCs w:val="24"/>
        </w:rPr>
      </w:pPr>
    </w:p>
    <w:p w14:paraId="69011B43" w14:textId="73E58BD5" w:rsidR="00F307A5" w:rsidRPr="00FE7273" w:rsidRDefault="00F307A5" w:rsidP="00F307A5">
      <w:pPr>
        <w:spacing w:after="0" w:line="360" w:lineRule="auto"/>
        <w:jc w:val="both"/>
        <w:rPr>
          <w:rFonts w:ascii="Times New Roman" w:eastAsia="Times New Roman" w:hAnsi="Times New Roman" w:cs="Times New Roman"/>
          <w:sz w:val="24"/>
          <w:szCs w:val="24"/>
        </w:rPr>
      </w:pPr>
      <w:r w:rsidRPr="00FE7273">
        <w:rPr>
          <w:rFonts w:ascii="Times New Roman" w:eastAsia="Times New Roman" w:hAnsi="Times New Roman" w:cs="Times New Roman"/>
          <w:sz w:val="24"/>
          <w:szCs w:val="24"/>
        </w:rPr>
        <w:t>For zinc</w:t>
      </w:r>
      <w:r w:rsidR="0020388D" w:rsidRPr="00FE7273">
        <w:rPr>
          <w:rFonts w:ascii="Times New Roman" w:eastAsia="Times New Roman" w:hAnsi="Times New Roman" w:cs="Times New Roman"/>
          <w:sz w:val="24"/>
          <w:szCs w:val="24"/>
        </w:rPr>
        <w:t xml:space="preserve"> isotope analyses</w:t>
      </w:r>
      <w:r w:rsidRPr="00FE7273">
        <w:rPr>
          <w:rFonts w:ascii="Times New Roman" w:eastAsia="Times New Roman" w:hAnsi="Times New Roman" w:cs="Times New Roman"/>
          <w:sz w:val="24"/>
          <w:szCs w:val="24"/>
        </w:rPr>
        <w:t xml:space="preserve">, the </w:t>
      </w:r>
      <w:r w:rsidR="00294E1C" w:rsidRPr="00FE7273">
        <w:rPr>
          <w:rFonts w:ascii="Times New Roman" w:eastAsia="Times New Roman" w:hAnsi="Times New Roman" w:cs="Times New Roman"/>
          <w:sz w:val="24"/>
          <w:szCs w:val="24"/>
        </w:rPr>
        <w:t>teeth</w:t>
      </w:r>
      <w:r w:rsidRPr="00FE7273">
        <w:rPr>
          <w:rFonts w:ascii="Times New Roman" w:eastAsia="Times New Roman" w:hAnsi="Times New Roman" w:cs="Times New Roman"/>
          <w:sz w:val="24"/>
          <w:szCs w:val="24"/>
        </w:rPr>
        <w:t xml:space="preserve"> enamel of the human from Taforalt </w:t>
      </w:r>
      <w:r w:rsidR="00294E1C" w:rsidRPr="00FE7273">
        <w:rPr>
          <w:rFonts w:ascii="Times New Roman" w:eastAsia="Times New Roman" w:hAnsi="Times New Roman" w:cs="Times New Roman"/>
          <w:sz w:val="24"/>
          <w:szCs w:val="24"/>
        </w:rPr>
        <w:t>were</w:t>
      </w:r>
      <w:r w:rsidRPr="00FE7273">
        <w:rPr>
          <w:rFonts w:ascii="Times New Roman" w:eastAsia="Times New Roman" w:hAnsi="Times New Roman" w:cs="Times New Roman"/>
          <w:sz w:val="24"/>
          <w:szCs w:val="24"/>
        </w:rPr>
        <w:t xml:space="preserve"> sampled in several part</w:t>
      </w:r>
      <w:r w:rsidR="00294E1C" w:rsidRPr="00FE7273">
        <w:rPr>
          <w:rFonts w:ascii="Times New Roman" w:eastAsia="Times New Roman" w:hAnsi="Times New Roman" w:cs="Times New Roman"/>
          <w:sz w:val="24"/>
          <w:szCs w:val="24"/>
        </w:rPr>
        <w:t>s</w:t>
      </w:r>
      <w:r w:rsidRPr="00FE7273">
        <w:rPr>
          <w:rFonts w:ascii="Times New Roman" w:eastAsia="Times New Roman" w:hAnsi="Times New Roman" w:cs="Times New Roman"/>
          <w:sz w:val="24"/>
          <w:szCs w:val="24"/>
        </w:rPr>
        <w:t xml:space="preserve"> in order to detect possible dietary variation during the enamel formation (Figure in </w:t>
      </w:r>
      <w:r w:rsidR="0020388D" w:rsidRPr="00FE7273">
        <w:rPr>
          <w:rFonts w:ascii="Times New Roman" w:eastAsia="Times New Roman" w:hAnsi="Times New Roman" w:cs="Times New Roman"/>
          <w:sz w:val="24"/>
          <w:szCs w:val="24"/>
        </w:rPr>
        <w:t>S</w:t>
      </w:r>
      <w:r w:rsidR="0065065D" w:rsidRPr="00FE7273">
        <w:rPr>
          <w:rFonts w:ascii="Times New Roman" w:eastAsia="Times New Roman" w:hAnsi="Times New Roman" w:cs="Times New Roman"/>
          <w:sz w:val="24"/>
          <w:szCs w:val="24"/>
        </w:rPr>
        <w:t>5.2</w:t>
      </w:r>
      <w:r w:rsidRPr="00FE7273">
        <w:rPr>
          <w:rFonts w:ascii="Times New Roman" w:eastAsia="Times New Roman" w:hAnsi="Times New Roman" w:cs="Times New Roman"/>
          <w:sz w:val="24"/>
          <w:szCs w:val="24"/>
        </w:rPr>
        <w:t xml:space="preserve">). The majority of the teeth present hypoplasia located on the enamel or on the root. </w:t>
      </w:r>
    </w:p>
    <w:p w14:paraId="6A7FC53C" w14:textId="77777777" w:rsidR="00F307A5" w:rsidRPr="00FE7273" w:rsidRDefault="00F307A5" w:rsidP="00F307A5">
      <w:pPr>
        <w:spacing w:after="0" w:line="360" w:lineRule="auto"/>
        <w:jc w:val="both"/>
        <w:rPr>
          <w:rFonts w:ascii="Times New Roman" w:eastAsia="Times New Roman" w:hAnsi="Times New Roman" w:cs="Times New Roman"/>
          <w:sz w:val="24"/>
          <w:szCs w:val="24"/>
        </w:rPr>
      </w:pPr>
      <w:r w:rsidRPr="00FE7273">
        <w:rPr>
          <w:rFonts w:ascii="Times New Roman" w:eastAsia="Times New Roman" w:hAnsi="Times New Roman" w:cs="Times New Roman"/>
          <w:sz w:val="24"/>
          <w:szCs w:val="24"/>
        </w:rPr>
        <w:t xml:space="preserve">Enamel hypoplasia occurs as linear or pitted deformation that represent disruptions during the formation of enamel. </w:t>
      </w:r>
    </w:p>
    <w:p w14:paraId="42BE7E37" w14:textId="40F5AD9D" w:rsidR="00F307A5" w:rsidRPr="00F26517" w:rsidRDefault="00CD1F70" w:rsidP="00F307A5">
      <w:pPr>
        <w:spacing w:after="0" w:line="360" w:lineRule="auto"/>
        <w:jc w:val="both"/>
        <w:rPr>
          <w:rFonts w:ascii="Times New Roman" w:eastAsia="Times New Roman" w:hAnsi="Times New Roman" w:cs="Times New Roman"/>
          <w:color w:val="000000" w:themeColor="text1"/>
          <w:sz w:val="24"/>
          <w:szCs w:val="24"/>
        </w:rPr>
      </w:pPr>
      <w:r w:rsidRPr="00FE7273">
        <w:rPr>
          <w:rFonts w:ascii="Times New Roman" w:eastAsia="Times New Roman" w:hAnsi="Times New Roman" w:cs="Times New Roman"/>
          <w:sz w:val="24"/>
          <w:szCs w:val="24"/>
        </w:rPr>
        <w:t>Our results show that there is no correlation between the δ</w:t>
      </w:r>
      <w:r w:rsidRPr="00FE7273">
        <w:rPr>
          <w:rFonts w:ascii="Times New Roman" w:eastAsia="Times New Roman" w:hAnsi="Times New Roman" w:cs="Times New Roman"/>
          <w:sz w:val="24"/>
          <w:szCs w:val="24"/>
          <w:vertAlign w:val="superscript"/>
        </w:rPr>
        <w:t>66</w:t>
      </w:r>
      <w:r w:rsidRPr="00FE7273">
        <w:rPr>
          <w:rFonts w:ascii="Times New Roman" w:eastAsia="Times New Roman" w:hAnsi="Times New Roman" w:cs="Times New Roman"/>
          <w:sz w:val="24"/>
          <w:szCs w:val="24"/>
        </w:rPr>
        <w:t>Zn values recorded on the part of enamel with hypoplasia and the part with no hypoplasia</w:t>
      </w:r>
      <w:r w:rsidR="00F307A5" w:rsidRPr="00FE7273">
        <w:rPr>
          <w:rFonts w:ascii="Times New Roman" w:eastAsia="Times New Roman" w:hAnsi="Times New Roman" w:cs="Times New Roman"/>
          <w:sz w:val="24"/>
          <w:szCs w:val="24"/>
        </w:rPr>
        <w:t xml:space="preserve"> (Kruskal-Wallis chi-squared = 0.13958, </w:t>
      </w:r>
      <w:r w:rsidR="00F307A5" w:rsidRPr="00FE7273">
        <w:rPr>
          <w:rFonts w:ascii="Times New Roman" w:eastAsia="Times New Roman" w:hAnsi="Times New Roman" w:cs="Times New Roman"/>
          <w:sz w:val="24"/>
          <w:szCs w:val="24"/>
        </w:rPr>
        <w:lastRenderedPageBreak/>
        <w:t>df = 1, p-value = 0.7087)</w:t>
      </w:r>
      <w:r w:rsidR="00130701" w:rsidRPr="00FE7273">
        <w:rPr>
          <w:rFonts w:ascii="Times New Roman" w:eastAsia="Times New Roman" w:hAnsi="Times New Roman" w:cs="Times New Roman"/>
          <w:sz w:val="24"/>
          <w:szCs w:val="24"/>
        </w:rPr>
        <w:t xml:space="preserve"> (Figure</w:t>
      </w:r>
      <w:r w:rsidR="00F8134A" w:rsidRPr="00FE7273">
        <w:rPr>
          <w:rFonts w:ascii="Times New Roman" w:eastAsia="Times New Roman" w:hAnsi="Times New Roman" w:cs="Times New Roman"/>
          <w:sz w:val="24"/>
          <w:szCs w:val="24"/>
        </w:rPr>
        <w:t xml:space="preserve"> SI 5.</w:t>
      </w:r>
      <w:r w:rsidR="00DC2355" w:rsidRPr="00FE7273">
        <w:rPr>
          <w:rFonts w:ascii="Times New Roman" w:eastAsia="Times New Roman" w:hAnsi="Times New Roman" w:cs="Times New Roman"/>
          <w:sz w:val="24"/>
          <w:szCs w:val="24"/>
        </w:rPr>
        <w:t>2</w:t>
      </w:r>
      <w:r w:rsidR="00130701" w:rsidRPr="00FE7273">
        <w:rPr>
          <w:rFonts w:ascii="Times New Roman" w:eastAsia="Times New Roman" w:hAnsi="Times New Roman" w:cs="Times New Roman"/>
          <w:sz w:val="24"/>
          <w:szCs w:val="24"/>
        </w:rPr>
        <w:t>)</w:t>
      </w:r>
      <w:r w:rsidR="00F307A5" w:rsidRPr="00FE7273">
        <w:rPr>
          <w:rFonts w:ascii="Times New Roman" w:eastAsia="Times New Roman" w:hAnsi="Times New Roman" w:cs="Times New Roman"/>
          <w:sz w:val="24"/>
          <w:szCs w:val="24"/>
        </w:rPr>
        <w:t xml:space="preserve">. The enamel hypoplasia </w:t>
      </w:r>
      <w:r w:rsidRPr="00FE7273">
        <w:rPr>
          <w:rFonts w:ascii="Times New Roman" w:eastAsia="Times New Roman" w:hAnsi="Times New Roman" w:cs="Times New Roman"/>
          <w:sz w:val="24"/>
          <w:szCs w:val="24"/>
        </w:rPr>
        <w:t xml:space="preserve">is often associated </w:t>
      </w:r>
      <w:r w:rsidR="00F307A5" w:rsidRPr="00FE7273">
        <w:rPr>
          <w:rFonts w:ascii="Times New Roman" w:eastAsia="Times New Roman" w:hAnsi="Times New Roman" w:cs="Times New Roman"/>
          <w:sz w:val="24"/>
          <w:szCs w:val="24"/>
        </w:rPr>
        <w:t>with</w:t>
      </w:r>
      <w:r w:rsidR="00F307A5">
        <w:rPr>
          <w:rFonts w:ascii="Times New Roman" w:eastAsia="Times New Roman" w:hAnsi="Times New Roman" w:cs="Times New Roman"/>
          <w:sz w:val="24"/>
          <w:szCs w:val="24"/>
        </w:rPr>
        <w:t xml:space="preserve"> nutritional deficiency. Low intake of vitamin D from diet and the lack of exposure to sunlight could result in</w:t>
      </w:r>
      <w:r w:rsidR="0056604A">
        <w:rPr>
          <w:rFonts w:ascii="Times New Roman" w:eastAsia="Times New Roman" w:hAnsi="Times New Roman" w:cs="Times New Roman"/>
          <w:sz w:val="24"/>
          <w:szCs w:val="24"/>
        </w:rPr>
        <w:t xml:space="preserve"> the</w:t>
      </w:r>
      <w:r w:rsidR="00F307A5">
        <w:rPr>
          <w:rFonts w:ascii="Times New Roman" w:eastAsia="Times New Roman" w:hAnsi="Times New Roman" w:cs="Times New Roman"/>
          <w:sz w:val="24"/>
          <w:szCs w:val="24"/>
        </w:rPr>
        <w:t xml:space="preserve"> presence of EH </w:t>
      </w:r>
      <w:r w:rsidR="00130701">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{"citationID":"08qZt6xW","properties":{"formattedCitation":"\\super 91\\nosupersub{}","plainCitation":"91","noteIndex":0},"citationItems":[{"id":650,"uris":["http://zotero.org/users/7125028/items/FTNAZQAQ"],"itemData":{"id":650,"type":"article-journal","abstract":"Vitamin D is key to the musculoskeletal system. Its deficiency can arise from lack of exposure to sunlight and through dietary insufficiency. This can have an impact upon the oral health of an individual, including resulting in chronological hypoplasia enamel defects. Enamel hypoplasia is a quantitative defect in the enamel, presenting as pits, grooves, missing enamel or smaller teeth. The management of these defects can present a challenge to the dentist. This paper outlines the oral manifestations of vitamin D deficiency in the permanent dentition and the treatment modalities used in their management.","container-title":"British Dental Journal","DOI":"10.1038/s41415-020-1424-y","ISSN":"1476-5373","issue":"7","journalAbbreviation":"Br Dent J","language":"en","license":"2020 British Dental Association","note":"number: 7\npublisher: Nature Publishing Group","page":"515-518","source":"www.nature.com","title":"Oral manifestations of vitamin D deficiency in children","volume":"228","author":[{"family":"Fulton","given":"Andrew"},{"family":"Amlani","given":"Maya"},{"family":"Parekh","given":"Susan"}],"issued":{"date-parts":[["2020",4]]}}}],"schema":"https://github.com/citation-style-language/schema/raw/master/csl-citation.json"} </w:instrText>
      </w:r>
      <w:r w:rsidR="00130701">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91</w:t>
      </w:r>
      <w:r w:rsidR="00130701">
        <w:rPr>
          <w:rFonts w:ascii="Times New Roman" w:eastAsia="Times New Roman" w:hAnsi="Times New Roman" w:cs="Times New Roman"/>
          <w:sz w:val="24"/>
          <w:szCs w:val="24"/>
        </w:rPr>
        <w:fldChar w:fldCharType="end"/>
      </w:r>
      <w:r w:rsidR="00F307A5">
        <w:rPr>
          <w:rFonts w:ascii="Times New Roman" w:eastAsia="Times New Roman" w:hAnsi="Times New Roman" w:cs="Times New Roman"/>
          <w:sz w:val="24"/>
          <w:szCs w:val="24"/>
        </w:rPr>
        <w:t>. The site i</w:t>
      </w:r>
      <w:r w:rsidR="0056604A">
        <w:rPr>
          <w:rFonts w:ascii="Times New Roman" w:eastAsia="Times New Roman" w:hAnsi="Times New Roman" w:cs="Times New Roman"/>
          <w:sz w:val="24"/>
          <w:szCs w:val="24"/>
        </w:rPr>
        <w:t>s</w:t>
      </w:r>
      <w:r w:rsidR="00F307A5">
        <w:rPr>
          <w:rFonts w:ascii="Times New Roman" w:eastAsia="Times New Roman" w:hAnsi="Times New Roman" w:cs="Times New Roman"/>
          <w:sz w:val="24"/>
          <w:szCs w:val="24"/>
        </w:rPr>
        <w:t xml:space="preserve"> not located in high latitude where the exposure to sunlight is limited in winter, therefore the most likely explanation for this anomaly among the population of Taforalt could be related to the fact that the individuals did not consumed a lot of foods rich in vitamin D such as meat, liver, fish and dairy products This goes in line with our isotopic results. </w:t>
      </w:r>
      <w:r w:rsidR="00F307A5" w:rsidRPr="00F26517">
        <w:rPr>
          <w:rFonts w:ascii="Times New Roman" w:eastAsia="Times New Roman" w:hAnsi="Times New Roman" w:cs="Times New Roman"/>
          <w:color w:val="000000" w:themeColor="text1"/>
          <w:sz w:val="24"/>
          <w:szCs w:val="24"/>
        </w:rPr>
        <w:t xml:space="preserve">Many studies on modern populations have found that low socio-economic status have higher prevalence of enamel hypoplasia than the higher social status population </w:t>
      </w:r>
      <w:r w:rsidR="00130701">
        <w:rPr>
          <w:rFonts w:ascii="Times New Roman" w:eastAsia="Times New Roman" w:hAnsi="Times New Roman" w:cs="Times New Roman"/>
          <w:color w:val="000000" w:themeColor="text1"/>
          <w:sz w:val="24"/>
          <w:szCs w:val="24"/>
        </w:rPr>
        <w:fldChar w:fldCharType="begin"/>
      </w:r>
      <w:r w:rsidR="000E7E53">
        <w:rPr>
          <w:rFonts w:ascii="Times New Roman" w:eastAsia="Times New Roman" w:hAnsi="Times New Roman" w:cs="Times New Roman"/>
          <w:color w:val="000000" w:themeColor="text1"/>
          <w:sz w:val="24"/>
          <w:szCs w:val="24"/>
        </w:rPr>
        <w:instrText xml:space="preserve"> ADDIN ZOTERO_ITEM CSL_CITATION {"citationID":"OIWUGINd","properties":{"formattedCitation":"\\super 92,93\\nosupersub{}","plainCitation":"92,93","noteIndex":0},"citationItems":[{"id":761,"uris":["http://zotero.org/users/7125028/items/HVZRM9ZN"],"itemData":{"id":761,"type":"article-journal","abstract":"Linear enamel hypoplasia (LEH) has been utilised in human bioarchaeology as an indicator of growth disturbance during childhood. However, only a few studies have compared populations of different socio-economic status in the same time period. This study examines the association between the LEH occurrence pattern and social status in the 18th to 19th century populations in Japan. Detailed archaeological studies on burials from the Edo period (1603–1867) excavated in Tokyo have facilitated estimating an individual's social status by its burial type. In this study, 112 individuals from the Sugenji-Shokenji site were divided into three burial structure groups (ceramic jar coffins for middle-class warriors, wooden square coffins for low-class warriors and townspeople and wooden circular coffins for townspeople) and examined for the general prevalence of LEH, number of LEH and the chronological distribution of LEH. A high general prevalence of LEH was observed in every group, especially in lower canine (79.3–100.0%). However, individuals in the jar coffin group showed a lower prevalence and smaller number of LEH per tooth, suggesting that individuals of higher social status experienced better living environments in their childhood. There was no significant difference in the chronological distribution of LEH formation between coffin groups. Such data are essential for understanding the association between socio-economic status and living conditions in specific societies in the past. Copyright © 2015 John Wiley &amp; Sons, Ltd.","container-title":"International Journal of Osteoarchaeology","DOI":"10.1002/oa.2515","ISSN":"1099-1212","issue":"6","language":"en","note":"_eprint: https://onlinelibrary.wiley.com/doi/pdf/10.1002/oa.2515","page":"1034-1044","source":"Wiley Online Library","title":"The Relationship Between Linear Enamel Hypoplasia and Social Status in 18th to 19th Century Edo, Japan","volume":"26","author":[{"family":"Nakayama","given":"N."}],"issued":{"date-parts":[["2016"]]}}},{"id":766,"uris":["http://zotero.org/users/7125028/items/RZ2C4FWF"],"itemData":{"id":766,"type":"article-journal","abstract":"Analyses of historical skeletal samples provide useful comparisons of the prevalence of skeletal indicators of stress to documentary information on health, diet, and socioeconomic status. A sample of the permanent dentitions of 253 adults from the St. Thomas' Anglican Church 19th-century skeletal sample in Belleville, Ontario, was examined macroscopically for the prevalence of enamel defects on the six anterior maxillary and mandibular teeth. The maximum frequency of hypoplasias on the left mandibular canine is 36.1%. The prevalence of enamel defects is low to moderate compared to almost all other reported frequencies in historical samples, which is consistent with historical descriptions of this developing community of middle to high socioeconomic status Canadians. Hypoplasias are significantly more frequent in males but there are no significant differences in the mean age at death between individuals with hypoplasia and those without. Calculations of the peak ages of occurrence of hypoplasias fall within the commonly observed 2–4-year range. This is not consistent with separate studies, demographic, isotopic and historical, of the introduction of complementary foods to 19th-century Belleville infants and of the weaning process. These results do not support the view that peak ages of occurrence of hypoplastic defects are associated with the cessation of breast-feeding or the weaning process in general. Am. J. Hum. Biol. 11:513–524, 1999. © 1999 Wiley-Liss, Inc.","container-title":"American Journal of Human Biology","DOI":"10.1002/(SICI)1520-6300(1999)11:4&lt;513::AID-AJHB11&gt;3.0.CO;2-8","ISSN":"1520-6300","issue":"4","language":"en","note":"_eprint: https://onlinelibrary.wiley.com/doi/pdf/10.1002/%28SICI%291520-6300%281999%2911%3A4%3C513%3A%3AAID-AJHB11%3E3.0.CO%3B2-8","page":"513-524","source":"Wiley Online Library","title":"Enamel hypoplasia in a Canadian historic sample","volume":"11","author":[{"family":"Saunders","given":"Shelley R."},{"family":"Keenleyside","given":"Anne"}],"issued":{"date-parts":[["1999"]]}}}],"schema":"https://github.com/citation-style-language/schema/raw/master/csl-citation.json"} </w:instrText>
      </w:r>
      <w:r w:rsidR="00130701">
        <w:rPr>
          <w:rFonts w:ascii="Times New Roman" w:eastAsia="Times New Roman" w:hAnsi="Times New Roman" w:cs="Times New Roman"/>
          <w:color w:val="000000" w:themeColor="text1"/>
          <w:sz w:val="24"/>
          <w:szCs w:val="24"/>
        </w:rPr>
        <w:fldChar w:fldCharType="separate"/>
      </w:r>
      <w:r w:rsidR="000E7E53" w:rsidRPr="000E7E53">
        <w:rPr>
          <w:rFonts w:ascii="Times New Roman" w:hAnsi="Times New Roman" w:cs="Times New Roman"/>
          <w:sz w:val="24"/>
          <w:szCs w:val="24"/>
          <w:vertAlign w:val="superscript"/>
        </w:rPr>
        <w:t>92,93</w:t>
      </w:r>
      <w:r w:rsidR="00130701">
        <w:rPr>
          <w:rFonts w:ascii="Times New Roman" w:eastAsia="Times New Roman" w:hAnsi="Times New Roman" w:cs="Times New Roman"/>
          <w:color w:val="000000" w:themeColor="text1"/>
          <w:sz w:val="24"/>
          <w:szCs w:val="24"/>
        </w:rPr>
        <w:fldChar w:fldCharType="end"/>
      </w:r>
      <w:r w:rsidR="00F307A5" w:rsidRPr="00F26517">
        <w:rPr>
          <w:rFonts w:ascii="Times New Roman" w:eastAsia="Times New Roman" w:hAnsi="Times New Roman" w:cs="Times New Roman"/>
          <w:color w:val="000000" w:themeColor="text1"/>
          <w:sz w:val="24"/>
          <w:szCs w:val="24"/>
        </w:rPr>
        <w:t>.</w:t>
      </w:r>
      <w:r w:rsidR="0056604A">
        <w:rPr>
          <w:rFonts w:ascii="Times New Roman" w:eastAsia="Times New Roman" w:hAnsi="Times New Roman" w:cs="Times New Roman"/>
          <w:color w:val="000000" w:themeColor="text1"/>
          <w:sz w:val="24"/>
          <w:szCs w:val="24"/>
        </w:rPr>
        <w:t>This is because the latter have more access to food rich in meat.</w:t>
      </w:r>
      <w:r w:rsidR="00F307A5" w:rsidRPr="00F26517">
        <w:rPr>
          <w:rFonts w:ascii="Times New Roman" w:eastAsia="Times New Roman" w:hAnsi="Times New Roman" w:cs="Times New Roman"/>
          <w:color w:val="000000" w:themeColor="text1"/>
          <w:sz w:val="24"/>
          <w:szCs w:val="24"/>
        </w:rPr>
        <w:t xml:space="preserve"> In archaeological samples there is an increase incidence of EH during the transition to agriculture, associated with a nutrient-poor diet</w:t>
      </w:r>
      <w:r w:rsidR="0056604A">
        <w:rPr>
          <w:rFonts w:ascii="Times New Roman" w:eastAsia="Times New Roman" w:hAnsi="Times New Roman" w:cs="Times New Roman"/>
          <w:color w:val="000000" w:themeColor="text1"/>
          <w:sz w:val="24"/>
          <w:szCs w:val="24"/>
        </w:rPr>
        <w:t xml:space="preserve"> and the increase reliance on cereals</w:t>
      </w:r>
      <w:r w:rsidR="008B4920">
        <w:rPr>
          <w:rFonts w:ascii="Times New Roman" w:eastAsia="Times New Roman" w:hAnsi="Times New Roman" w:cs="Times New Roman"/>
          <w:color w:val="000000" w:themeColor="text1"/>
          <w:sz w:val="24"/>
          <w:szCs w:val="24"/>
        </w:rPr>
        <w:t xml:space="preserve"> </w:t>
      </w:r>
      <w:r w:rsidR="00200F32">
        <w:rPr>
          <w:rFonts w:ascii="Times New Roman" w:eastAsia="Times New Roman" w:hAnsi="Times New Roman" w:cs="Times New Roman"/>
          <w:color w:val="000000" w:themeColor="text1"/>
          <w:sz w:val="24"/>
          <w:szCs w:val="24"/>
        </w:rPr>
        <w:fldChar w:fldCharType="begin"/>
      </w:r>
      <w:r w:rsidR="000E7E53">
        <w:rPr>
          <w:rFonts w:ascii="Times New Roman" w:eastAsia="Times New Roman" w:hAnsi="Times New Roman" w:cs="Times New Roman"/>
          <w:color w:val="000000" w:themeColor="text1"/>
          <w:sz w:val="24"/>
          <w:szCs w:val="24"/>
        </w:rPr>
        <w:instrText xml:space="preserve"> ADDIN ZOTERO_ITEM CSL_CITATION {"citationID":"iUJO1HvA","properties":{"formattedCitation":"\\super 94\\nosupersub{}","plainCitation":"94","noteIndex":0},"citationItems":[{"id":772,"uris":["http://zotero.org/users/7125028/items/5MFXB3ZG"],"itemData":{"id":772,"type":"article-journal","container-title":"Food and History","DOI":"10.1484/J.FOOD.5.126399","ISSN":"1780-3187, 2034-2101","issue":"1-2","journalAbbreviation":"Food and History","language":"en","page":"23-52","source":"DOI.org (Crossref)","title":"The Subsistence and Foodways Transition during the Neolithization Process. Glimpses from a Contextualized Dental Perspective","volume":"19","author":[{"family":"Bocquentin","given":"Fanny"},{"family":"Chamel","given":"Berenice"},{"family":"Anton","given":"Marie"},{"family":"Noûs","given":"Camille"}],"issued":{"date-parts":[["2021",1]]}}}],"schema":"https://github.com/citation-style-language/schema/raw/master/csl-citation.json"} </w:instrText>
      </w:r>
      <w:r w:rsidR="00200F32">
        <w:rPr>
          <w:rFonts w:ascii="Times New Roman" w:eastAsia="Times New Roman" w:hAnsi="Times New Roman" w:cs="Times New Roman"/>
          <w:color w:val="000000" w:themeColor="text1"/>
          <w:sz w:val="24"/>
          <w:szCs w:val="24"/>
        </w:rPr>
        <w:fldChar w:fldCharType="separate"/>
      </w:r>
      <w:r w:rsidR="000E7E53" w:rsidRPr="000E7E53">
        <w:rPr>
          <w:rFonts w:ascii="Times New Roman" w:hAnsi="Times New Roman" w:cs="Times New Roman"/>
          <w:sz w:val="24"/>
          <w:szCs w:val="24"/>
          <w:vertAlign w:val="superscript"/>
        </w:rPr>
        <w:t>94</w:t>
      </w:r>
      <w:r w:rsidR="00200F32">
        <w:rPr>
          <w:rFonts w:ascii="Times New Roman" w:eastAsia="Times New Roman" w:hAnsi="Times New Roman" w:cs="Times New Roman"/>
          <w:color w:val="000000" w:themeColor="text1"/>
          <w:sz w:val="24"/>
          <w:szCs w:val="24"/>
        </w:rPr>
        <w:fldChar w:fldCharType="end"/>
      </w:r>
      <w:r w:rsidR="0056604A">
        <w:rPr>
          <w:rFonts w:ascii="Times New Roman" w:eastAsia="Times New Roman" w:hAnsi="Times New Roman" w:cs="Times New Roman"/>
          <w:color w:val="000000" w:themeColor="text1"/>
          <w:sz w:val="24"/>
          <w:szCs w:val="24"/>
        </w:rPr>
        <w:t>.</w:t>
      </w:r>
    </w:p>
    <w:p w14:paraId="20FCE1A5" w14:textId="02D79E61" w:rsidR="00F307A5" w:rsidRPr="005C6831" w:rsidRDefault="00F307A5" w:rsidP="00F307A5">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absence of the pattern between </w:t>
      </w:r>
      <w:r w:rsidRPr="00D70D43">
        <w:rPr>
          <w:rFonts w:ascii="Times New Roman" w:eastAsia="Times New Roman" w:hAnsi="Times New Roman" w:cs="Times New Roman"/>
          <w:sz w:val="24"/>
          <w:szCs w:val="24"/>
          <w:highlight w:val="white"/>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Zn</w:t>
      </w:r>
      <w:r>
        <w:rPr>
          <w:rFonts w:ascii="Times New Roman" w:eastAsia="Times New Roman" w:hAnsi="Times New Roman" w:cs="Times New Roman"/>
          <w:sz w:val="24"/>
          <w:szCs w:val="24"/>
        </w:rPr>
        <w:t xml:space="preserve"> and the location of EH could be related to the differential timing between the maturation of the enamel and the timing of the deposition of zinc and other minerals</w:t>
      </w:r>
      <w:r w:rsidR="001F2526">
        <w:rPr>
          <w:rFonts w:ascii="Times New Roman" w:eastAsia="Times New Roman" w:hAnsi="Times New Roman" w:cs="Times New Roman"/>
          <w:sz w:val="24"/>
          <w:szCs w:val="24"/>
        </w:rPr>
        <w:t xml:space="preserve"> </w:t>
      </w:r>
      <w:r w:rsidR="001F2526">
        <w:rPr>
          <w:rFonts w:ascii="Times New Roman" w:eastAsia="Times New Roman" w:hAnsi="Times New Roman" w:cs="Times New Roman"/>
          <w:sz w:val="24"/>
          <w:szCs w:val="24"/>
        </w:rPr>
        <w:fldChar w:fldCharType="begin"/>
      </w:r>
      <w:r w:rsidR="000E7E53">
        <w:rPr>
          <w:rFonts w:ascii="Times New Roman" w:eastAsia="Times New Roman" w:hAnsi="Times New Roman" w:cs="Times New Roman"/>
          <w:sz w:val="24"/>
          <w:szCs w:val="24"/>
        </w:rPr>
        <w:instrText xml:space="preserve"> ADDIN ZOTERO_ITEM CSL_CITATION {"citationID":"N4FfzhTN","properties":{"formattedCitation":"\\super 95,96\\nosupersub{}","plainCitation":"95,96","noteIndex":0},"citationItems":[{"id":774,"uris":["http://zotero.org/users/7125028/items/FYLFIZQI"],"itemData":{"id":774,"type":"article-journal","container-title":"Geochimica et Cosmochimica Acta","DOI":"10.1016/j.gca.2004.12.002","ISSN":"00167037","issue":"16","journalAbbreviation":"Geochimica et Cosmochimica Acta","language":"en","page":"4101-4116","source":"DOI.org (Crossref)","title":"Inverse methods for estimating primary input signals from time-averaged isotope profiles","volume":"69","author":[{"family":"Passey","given":"Benjamin H."},{"family":"Cerling","given":"Thure E."},{"family":"Schuster","given":"Gerard T."},{"family":"Robinson","given":"Todd F."},{"family":"Roeder","given":"Beverly L."},{"family":"Krueger","given":"Stephen K."}],"issued":{"date-parts":[["2005",8]]}}},{"id":252,"uris":["http://zotero.org/users/7125028/items/VLA232US"],"itemData":{"id":252,"type":"article-journal","abstract":"Weaning practices differ among great apes and likely diverged during the course of human evolution, but behavioral inference from the fossil record is hampered by a lack of unambiguous biomarkers. Here, we show that early-life dietary transitions are recorded in human deciduous tooth enamel as marked variations in Ca isotope ratios (δ44/42Ca). Using a sequential microsampling method along the enamel growth axis, we collected more than 150 enamel microsamples from 51 deciduous teeth of 12 different modern human individuals of known dietary histories, as well as nine enamel samples from permanent third molars. We measured and reconstructed the evolution of 44Ca/42Ca ratios in enamel from in utero development to first months of postnatal development. We show that the observed variations of δ44/42Ca record a transition from placental nutrition to an adult-like diet and that Ca isotopes reflect the duration of the breastfeeding period experienced by each infant. Typically, the δ44/42Ca values of individuals briefly or not breastfed show a systematic increase during the first 5–10 mo, whereas individuals with long breastfeeding histories display no measurable variation in δ44/42Ca of enamel formed during this time. The use of Ca isotope analysis in tooth enamel allows microsampling and offers an independent approach to tackle challenging questions related to past population dynamics and evolution of weaning practices in hominins.","container-title":"Proceedings of the National Academy of Sciences","DOI":"10.1073/pnas.1704412114","ISSN":"0027-8424, 1091-6490","issue":"24","journalAbbreviation":"PNAS","language":"en","note":"PMID: 28559355","page":"6268-6273","source":"www.pnas.org","title":"Assessing human weaning practices with calcium isotopes in tooth enamel","volume":"114","author":[{"family":"Tacail","given":"Théo"},{"family":"Thivichon-Prince","given":"Béatrice"},{"family":"Martin","given":"Jeremy E."},{"family":"Charles","given":"Cyril"},{"family":"Viriot","given":"Laurent"},{"family":"Balter","given":"Vincent"}],"issued":{"date-parts":[["2017",6,13]]}}}],"schema":"https://github.com/citation-style-language/schema/raw/master/csl-citation.json"} </w:instrText>
      </w:r>
      <w:r w:rsidR="001F2526">
        <w:rPr>
          <w:rFonts w:ascii="Times New Roman" w:eastAsia="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95,96</w:t>
      </w:r>
      <w:r w:rsidR="001F2526">
        <w:rPr>
          <w:rFonts w:ascii="Times New Roman" w:eastAsia="Times New Roman" w:hAnsi="Times New Roman" w:cs="Times New Roman"/>
          <w:sz w:val="24"/>
          <w:szCs w:val="24"/>
        </w:rPr>
        <w:fldChar w:fldCharType="end"/>
      </w:r>
      <w:r w:rsidR="001F252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20692C5E" w14:textId="77777777" w:rsidR="00F307A5" w:rsidRPr="005C6831" w:rsidRDefault="00F307A5" w:rsidP="00F307A5">
      <w:pPr>
        <w:spacing w:after="0" w:line="360" w:lineRule="auto"/>
        <w:jc w:val="both"/>
        <w:rPr>
          <w:rFonts w:ascii="Times New Roman" w:eastAsia="Times New Roman" w:hAnsi="Times New Roman" w:cs="Times New Roman"/>
          <w:sz w:val="24"/>
          <w:szCs w:val="24"/>
        </w:rPr>
      </w:pPr>
    </w:p>
    <w:p w14:paraId="24774BD2" w14:textId="0FA47A94" w:rsidR="009E64F1" w:rsidRDefault="009E64F1">
      <w:pPr>
        <w:spacing w:after="0" w:line="360" w:lineRule="auto"/>
        <w:jc w:val="both"/>
        <w:rPr>
          <w:rFonts w:ascii="Times New Roman" w:eastAsia="Times New Roman" w:hAnsi="Times New Roman" w:cs="Times New Roman"/>
          <w:sz w:val="24"/>
          <w:szCs w:val="24"/>
        </w:rPr>
      </w:pPr>
    </w:p>
    <w:p w14:paraId="33FF3797" w14:textId="7F3E8C35" w:rsidR="009E64F1" w:rsidRDefault="009E64F1" w:rsidP="0064579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D95D793" wp14:editId="351D20A0">
            <wp:extent cx="6820092" cy="414293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Zinc hypoplasia .png"/>
                    <pic:cNvPicPr/>
                  </pic:nvPicPr>
                  <pic:blipFill rotWithShape="1">
                    <a:blip r:embed="rId38">
                      <a:extLst>
                        <a:ext uri="{28A0092B-C50C-407E-A947-70E740481C1C}">
                          <a14:useLocalDpi xmlns:a14="http://schemas.microsoft.com/office/drawing/2010/main" val="0"/>
                        </a:ext>
                      </a:extLst>
                    </a:blip>
                    <a:srcRect l="2427" t="14530" r="18429"/>
                    <a:stretch/>
                  </pic:blipFill>
                  <pic:spPr bwMode="auto">
                    <a:xfrm>
                      <a:off x="0" y="0"/>
                      <a:ext cx="6868692" cy="4172457"/>
                    </a:xfrm>
                    <a:prstGeom prst="rect">
                      <a:avLst/>
                    </a:prstGeom>
                    <a:ln>
                      <a:noFill/>
                    </a:ln>
                    <a:extLst>
                      <a:ext uri="{53640926-AAD7-44D8-BBD7-CCE9431645EC}">
                        <a14:shadowObscured xmlns:a14="http://schemas.microsoft.com/office/drawing/2010/main"/>
                      </a:ext>
                    </a:extLst>
                  </pic:spPr>
                </pic:pic>
              </a:graphicData>
            </a:graphic>
          </wp:inline>
        </w:drawing>
      </w:r>
    </w:p>
    <w:p w14:paraId="7E3FBB0D" w14:textId="1B147B7E" w:rsidR="002E374D" w:rsidRPr="0064579A" w:rsidRDefault="00120C73">
      <w:pPr>
        <w:spacing w:after="0" w:line="360" w:lineRule="auto"/>
        <w:jc w:val="both"/>
        <w:rPr>
          <w:rFonts w:ascii="Times New Roman" w:eastAsia="Times New Roman" w:hAnsi="Times New Roman" w:cs="Times New Roman"/>
          <w:sz w:val="24"/>
          <w:szCs w:val="24"/>
          <w:highlight w:val="white"/>
        </w:rPr>
      </w:pPr>
      <w:bookmarkStart w:id="67" w:name="_Hlk137040397"/>
      <w:r w:rsidRPr="0064579A">
        <w:rPr>
          <w:rFonts w:ascii="Times New Roman" w:eastAsia="Times New Roman" w:hAnsi="Times New Roman" w:cs="Times New Roman"/>
          <w:b/>
          <w:sz w:val="24"/>
          <w:szCs w:val="24"/>
        </w:rPr>
        <w:t>Figure S</w:t>
      </w:r>
      <w:r w:rsidR="0020388D" w:rsidRPr="0064579A">
        <w:rPr>
          <w:rFonts w:ascii="Times New Roman" w:eastAsia="Times New Roman" w:hAnsi="Times New Roman" w:cs="Times New Roman"/>
          <w:b/>
          <w:sz w:val="24"/>
          <w:szCs w:val="24"/>
        </w:rPr>
        <w:t>5.</w:t>
      </w:r>
      <w:r w:rsidR="0007221D">
        <w:rPr>
          <w:rFonts w:ascii="Times New Roman" w:eastAsia="Times New Roman" w:hAnsi="Times New Roman" w:cs="Times New Roman"/>
          <w:b/>
          <w:sz w:val="24"/>
          <w:szCs w:val="24"/>
        </w:rPr>
        <w:t>3</w:t>
      </w:r>
      <w:r w:rsidRPr="0064579A">
        <w:rPr>
          <w:rFonts w:ascii="Times New Roman" w:eastAsia="Times New Roman" w:hAnsi="Times New Roman" w:cs="Times New Roman"/>
          <w:b/>
          <w:sz w:val="24"/>
          <w:szCs w:val="24"/>
        </w:rPr>
        <w:t>:</w:t>
      </w:r>
      <w:r w:rsidRPr="0064579A">
        <w:rPr>
          <w:rFonts w:ascii="Times New Roman" w:eastAsia="Times New Roman" w:hAnsi="Times New Roman" w:cs="Times New Roman"/>
          <w:sz w:val="24"/>
          <w:szCs w:val="24"/>
        </w:rPr>
        <w:t xml:space="preserve"> </w:t>
      </w:r>
      <w:r w:rsidR="002E374D" w:rsidRPr="0064579A">
        <w:rPr>
          <w:rFonts w:ascii="Times New Roman" w:eastAsia="Times New Roman" w:hAnsi="Times New Roman" w:cs="Times New Roman"/>
          <w:sz w:val="24"/>
          <w:szCs w:val="24"/>
        </w:rPr>
        <w:t xml:space="preserve">The </w:t>
      </w:r>
      <w:r w:rsidR="002E374D" w:rsidRPr="0064579A">
        <w:rPr>
          <w:rFonts w:ascii="Times New Roman" w:eastAsia="Times New Roman" w:hAnsi="Times New Roman" w:cs="Times New Roman"/>
          <w:sz w:val="24"/>
          <w:szCs w:val="24"/>
          <w:highlight w:val="white"/>
        </w:rPr>
        <w:t xml:space="preserve">zinc isotope ratio for each human tooth sampled from areas with hypoplasia and with no hypoplasia. </w:t>
      </w:r>
      <w:r w:rsidR="00072C4F" w:rsidRPr="0064579A">
        <w:rPr>
          <w:rFonts w:ascii="Times New Roman" w:eastAsia="Times New Roman" w:hAnsi="Times New Roman" w:cs="Times New Roman"/>
          <w:sz w:val="24"/>
          <w:szCs w:val="24"/>
          <w:highlight w:val="white"/>
        </w:rPr>
        <w:t>For</w:t>
      </w:r>
      <w:r w:rsidR="002E374D" w:rsidRPr="0064579A">
        <w:rPr>
          <w:rFonts w:ascii="Times New Roman" w:eastAsia="Times New Roman" w:hAnsi="Times New Roman" w:cs="Times New Roman"/>
          <w:sz w:val="24"/>
          <w:szCs w:val="24"/>
          <w:highlight w:val="white"/>
        </w:rPr>
        <w:t xml:space="preserve"> unassigned teeth, the samples belonging to the same tooth are circled in grey. </w:t>
      </w:r>
      <w:r w:rsidR="00072C4F" w:rsidRPr="0064579A">
        <w:rPr>
          <w:rFonts w:ascii="Times New Roman" w:eastAsia="Times New Roman" w:hAnsi="Times New Roman" w:cs="Times New Roman"/>
          <w:sz w:val="24"/>
          <w:szCs w:val="24"/>
          <w:highlight w:val="white"/>
        </w:rPr>
        <w:t>The x-axis corresponds to the tooth type</w:t>
      </w:r>
      <w:bookmarkEnd w:id="67"/>
      <w:r w:rsidR="00072C4F" w:rsidRPr="0064579A">
        <w:rPr>
          <w:rFonts w:ascii="Times New Roman" w:eastAsia="Times New Roman" w:hAnsi="Times New Roman" w:cs="Times New Roman"/>
          <w:sz w:val="24"/>
          <w:szCs w:val="24"/>
          <w:highlight w:val="white"/>
        </w:rPr>
        <w:t xml:space="preserve">. </w:t>
      </w:r>
    </w:p>
    <w:p w14:paraId="3F0AC756" w14:textId="1B8E0B88" w:rsidR="002D7F82" w:rsidRDefault="002D7F82">
      <w:pPr>
        <w:spacing w:after="0" w:line="360" w:lineRule="auto"/>
        <w:jc w:val="both"/>
        <w:rPr>
          <w:rFonts w:ascii="Times New Roman" w:eastAsia="Times New Roman" w:hAnsi="Times New Roman" w:cs="Times New Roman"/>
          <w:sz w:val="20"/>
          <w:szCs w:val="24"/>
          <w:highlight w:val="white"/>
        </w:rPr>
      </w:pPr>
    </w:p>
    <w:p w14:paraId="335D195A" w14:textId="15A26D56" w:rsidR="002D7F82" w:rsidRDefault="002D7F82">
      <w:pPr>
        <w:spacing w:after="0" w:line="360" w:lineRule="auto"/>
        <w:jc w:val="both"/>
        <w:rPr>
          <w:rFonts w:ascii="Times New Roman" w:eastAsia="Times New Roman" w:hAnsi="Times New Roman" w:cs="Times New Roman"/>
          <w:sz w:val="20"/>
          <w:szCs w:val="24"/>
          <w:highlight w:val="white"/>
        </w:rPr>
      </w:pPr>
    </w:p>
    <w:p w14:paraId="13493557" w14:textId="7A900DD0" w:rsidR="002D7F82" w:rsidRDefault="002D7F82">
      <w:pPr>
        <w:spacing w:after="0" w:line="360" w:lineRule="auto"/>
        <w:jc w:val="both"/>
        <w:rPr>
          <w:rFonts w:ascii="Times New Roman" w:eastAsia="Times New Roman" w:hAnsi="Times New Roman" w:cs="Times New Roman"/>
          <w:sz w:val="20"/>
          <w:szCs w:val="24"/>
          <w:highlight w:val="white"/>
        </w:rPr>
      </w:pPr>
    </w:p>
    <w:p w14:paraId="036EE225" w14:textId="4FE66967" w:rsidR="002D7F82" w:rsidRDefault="002D7F82">
      <w:pPr>
        <w:spacing w:after="0" w:line="360" w:lineRule="auto"/>
        <w:jc w:val="both"/>
        <w:rPr>
          <w:rFonts w:ascii="Times New Roman" w:eastAsia="Times New Roman" w:hAnsi="Times New Roman" w:cs="Times New Roman"/>
          <w:sz w:val="20"/>
          <w:szCs w:val="24"/>
          <w:highlight w:val="white"/>
        </w:rPr>
      </w:pPr>
    </w:p>
    <w:p w14:paraId="55666497" w14:textId="77777777" w:rsidR="002D7F82" w:rsidRPr="003C7995" w:rsidRDefault="002D7F82">
      <w:pPr>
        <w:spacing w:after="0" w:line="360" w:lineRule="auto"/>
        <w:jc w:val="both"/>
        <w:rPr>
          <w:rFonts w:ascii="Times New Roman" w:eastAsia="Times New Roman" w:hAnsi="Times New Roman" w:cs="Times New Roman"/>
          <w:sz w:val="20"/>
          <w:szCs w:val="24"/>
          <w:highlight w:val="white"/>
        </w:rPr>
      </w:pPr>
    </w:p>
    <w:p w14:paraId="20E0C440" w14:textId="1F7870C0" w:rsidR="00FB1C86" w:rsidRDefault="00FB1C86">
      <w:pPr>
        <w:spacing w:after="0" w:line="360" w:lineRule="auto"/>
        <w:jc w:val="both"/>
        <w:rPr>
          <w:rFonts w:ascii="Times New Roman" w:eastAsia="Times New Roman" w:hAnsi="Times New Roman" w:cs="Times New Roman"/>
          <w:sz w:val="24"/>
          <w:szCs w:val="24"/>
        </w:rPr>
      </w:pPr>
    </w:p>
    <w:p w14:paraId="6A8A2F1B" w14:textId="3AAD5AA5" w:rsidR="0020388D" w:rsidRPr="0064579A" w:rsidRDefault="0020388D">
      <w:pPr>
        <w:spacing w:after="0" w:line="360" w:lineRule="auto"/>
        <w:jc w:val="both"/>
        <w:rPr>
          <w:rFonts w:ascii="Times New Roman" w:eastAsia="Times New Roman" w:hAnsi="Times New Roman" w:cs="Times New Roman"/>
          <w:b/>
          <w:i/>
          <w:sz w:val="24"/>
          <w:szCs w:val="24"/>
        </w:rPr>
      </w:pPr>
      <w:bookmarkStart w:id="68" w:name="_Hlk137040403"/>
      <w:r w:rsidRPr="0064579A">
        <w:rPr>
          <w:rFonts w:ascii="Times New Roman" w:eastAsia="Times New Roman" w:hAnsi="Times New Roman" w:cs="Times New Roman"/>
          <w:b/>
          <w:i/>
          <w:sz w:val="24"/>
          <w:szCs w:val="24"/>
        </w:rPr>
        <w:t>5.4 I</w:t>
      </w:r>
      <w:r w:rsidR="00213217" w:rsidRPr="0064579A">
        <w:rPr>
          <w:rFonts w:ascii="Times New Roman" w:eastAsia="Times New Roman" w:hAnsi="Times New Roman" w:cs="Times New Roman"/>
          <w:b/>
          <w:i/>
          <w:sz w:val="24"/>
          <w:szCs w:val="24"/>
        </w:rPr>
        <w:t>dentified i</w:t>
      </w:r>
      <w:r w:rsidRPr="0064579A">
        <w:rPr>
          <w:rFonts w:ascii="Times New Roman" w:eastAsia="Times New Roman" w:hAnsi="Times New Roman" w:cs="Times New Roman"/>
          <w:b/>
          <w:i/>
          <w:sz w:val="24"/>
          <w:szCs w:val="24"/>
        </w:rPr>
        <w:t>ndividual</w:t>
      </w:r>
      <w:r w:rsidR="00213217" w:rsidRPr="0064579A">
        <w:rPr>
          <w:rFonts w:ascii="Times New Roman" w:eastAsia="Times New Roman" w:hAnsi="Times New Roman" w:cs="Times New Roman"/>
          <w:b/>
          <w:i/>
          <w:sz w:val="24"/>
          <w:szCs w:val="24"/>
        </w:rPr>
        <w:t>s’</w:t>
      </w:r>
      <w:r w:rsidRPr="0064579A">
        <w:rPr>
          <w:rFonts w:ascii="Times New Roman" w:eastAsia="Times New Roman" w:hAnsi="Times New Roman" w:cs="Times New Roman"/>
          <w:b/>
          <w:i/>
          <w:sz w:val="24"/>
          <w:szCs w:val="24"/>
        </w:rPr>
        <w:t xml:space="preserve"> summaries based on all isotope measurements</w:t>
      </w:r>
    </w:p>
    <w:bookmarkEnd w:id="68"/>
    <w:p w14:paraId="09406FC1" w14:textId="77777777" w:rsidR="001925CC" w:rsidRDefault="001925CC" w:rsidP="001925CC">
      <w:pPr>
        <w:spacing w:after="0" w:line="360" w:lineRule="auto"/>
        <w:jc w:val="both"/>
        <w:rPr>
          <w:rFonts w:ascii="Times New Roman" w:eastAsia="Times New Roman" w:hAnsi="Times New Roman" w:cs="Times New Roman"/>
          <w:sz w:val="24"/>
          <w:szCs w:val="24"/>
          <w:highlight w:val="white"/>
        </w:rPr>
      </w:pPr>
    </w:p>
    <w:p w14:paraId="080BEEB2" w14:textId="3B61EA89" w:rsidR="001925CC" w:rsidRDefault="001925CC" w:rsidP="001925C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Individual 1:</w:t>
      </w:r>
      <w:r w:rsidR="00A478A0">
        <w:rPr>
          <w:rFonts w:ascii="Times New Roman" w:hAnsi="Times New Roman" w:cs="Times New Roman"/>
          <w:b/>
          <w:sz w:val="24"/>
          <w:szCs w:val="24"/>
        </w:rPr>
        <w:t xml:space="preserve"> a male individual with a plant-based diet</w:t>
      </w:r>
    </w:p>
    <w:p w14:paraId="4CD0E340" w14:textId="1EA797D7" w:rsidR="001925CC" w:rsidRDefault="001925CC" w:rsidP="001925CC">
      <w:pP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Most of our human samples come from individual 1, which is a young male as revealed by the aDNA</w:t>
      </w:r>
      <w:r w:rsidR="001F2526">
        <w:rPr>
          <w:rFonts w:ascii="Times New Roman" w:hAnsi="Times New Roman" w:cs="Times New Roman"/>
          <w:color w:val="000000"/>
          <w:sz w:val="24"/>
          <w:szCs w:val="24"/>
        </w:rPr>
        <w:fldChar w:fldCharType="begin"/>
      </w:r>
      <w:r w:rsidR="000E7E53">
        <w:rPr>
          <w:rFonts w:ascii="Times New Roman" w:hAnsi="Times New Roman" w:cs="Times New Roman"/>
          <w:color w:val="000000"/>
          <w:sz w:val="24"/>
          <w:szCs w:val="24"/>
        </w:rPr>
        <w:instrText xml:space="preserve"> ADDIN ZOTERO_ITEM CSL_CITATION {"citationID":"PWIjn7eN","properties":{"formattedCitation":"\\super 97\\nosupersub{}","plainCitation":"97","noteIndex":0},"citationItems":[{"id":183,"uris":["http://zotero.org/users/7125028/items/ELU9L6LQ"],"itemData":{"id":183,"type":"article-journal","abstract":"North Africa is a key region for understanding human history, but the genetic history of its people is largely unknown. We present genomic data from seven 15,000-year-old modern humans, attributed to the Iberomaurusian culture, from Morocco. We find a genetic affinity with early Holocene Near Easterners, best represented by Levantine Natufians, suggesting a pre-agricultural connection between Africa and the Near East. We do not find evidence for gene flow from Paleolithic Europeans to Late Pleistocene North Africans. The Taforalt individuals derive one-third of their ancestry from sub-Saharan Africans, best approximated by a mixture of genetic components preserved in present-day West and East Africans. Thus, we provide direct evidence for genetic interactions between modern humans across Africa and Eurasia in the Pleistocene.","container-title":"Science (New York, N.Y.)","DOI":"10.1126/science.aar8380","ISSN":"1095-9203","issue":"6388","journalAbbreviation":"Science","language":"eng","note":"PMID: 29545507","page":"548-552","source":"PubMed","title":"Pleistocene North African genomes link Near Eastern and sub-Saharan African human populations","volume":"360","author":[{"family":"Loosdrecht","given":"Marieke","non-dropping-particle":"van de"},{"family":"Bouzouggar","given":"Abdeljalil"},{"family":"Humphrey","given":"Louise"},{"family":"Posth","given":"Cosimo"},{"family":"Barton","given":"Nick"},{"family":"Aximu-Petri","given":"Ayinuer"},{"family":"Nickel","given":"Birgit"},{"family":"Nagel","given":"Sarah"},{"family":"Talbi","given":"El Hassan"},{"family":"El Hajraoui","given":"Mohammed Abdeljalil"},{"family":"Amzazi","given":"Saaïd"},{"family":"Hublin","given":"Jean-Jacques"},{"family":"Pääbo","given":"Svante"},{"family":"Schiffels","given":"Stephan"},{"family":"Meyer","given":"Matthias"},{"family":"Haak","given":"Wolfgang"},{"family":"Jeong","given":"Choongwon"},{"family":"Krause","given":"Johannes"}],"issued":{"date-parts":[["2018",5,4]]}}}],"schema":"https://github.com/citation-style-language/schema/raw/master/csl-citation.json"} </w:instrText>
      </w:r>
      <w:r w:rsidR="001F2526">
        <w:rPr>
          <w:rFonts w:ascii="Times New Roman" w:hAnsi="Times New Roman" w:cs="Times New Roman"/>
          <w:color w:val="000000"/>
          <w:sz w:val="24"/>
          <w:szCs w:val="24"/>
        </w:rPr>
        <w:fldChar w:fldCharType="separate"/>
      </w:r>
      <w:r w:rsidR="000E7E53" w:rsidRPr="000E7E53">
        <w:rPr>
          <w:rFonts w:ascii="Times New Roman" w:hAnsi="Times New Roman" w:cs="Times New Roman"/>
          <w:sz w:val="24"/>
          <w:szCs w:val="24"/>
          <w:vertAlign w:val="superscript"/>
        </w:rPr>
        <w:t>97</w:t>
      </w:r>
      <w:r w:rsidR="001F2526">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w:t>
      </w:r>
      <w:r>
        <w:rPr>
          <w:rFonts w:ascii="Times New Roman" w:hAnsi="Times New Roman" w:cs="Times New Roman"/>
          <w:sz w:val="24"/>
          <w:szCs w:val="24"/>
        </w:rPr>
        <w:t xml:space="preserve">estimated age </w:t>
      </w:r>
      <w:r w:rsidR="00807640">
        <w:rPr>
          <w:rFonts w:ascii="Times New Roman" w:hAnsi="Times New Roman" w:cs="Times New Roman"/>
          <w:sz w:val="24"/>
          <w:szCs w:val="24"/>
        </w:rPr>
        <w:t xml:space="preserve">at </w:t>
      </w:r>
      <w:r>
        <w:rPr>
          <w:rFonts w:ascii="Times New Roman" w:hAnsi="Times New Roman" w:cs="Times New Roman"/>
          <w:sz w:val="24"/>
          <w:szCs w:val="24"/>
        </w:rPr>
        <w:t xml:space="preserve">death is 20 years. </w:t>
      </w:r>
    </w:p>
    <w:p w14:paraId="04AAFE1F" w14:textId="7DC5BE97" w:rsidR="001925CC" w:rsidRDefault="001925CC" w:rsidP="001925CC">
      <w:pP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The range of enamel analyzed for zinc and strontium for this individual are formed between 4 </w:t>
      </w:r>
      <w:r w:rsidR="00716CC2">
        <w:rPr>
          <w:rFonts w:ascii="Times New Roman" w:hAnsi="Times New Roman" w:cs="Times New Roman"/>
          <w:color w:val="000000"/>
          <w:sz w:val="24"/>
          <w:szCs w:val="24"/>
        </w:rPr>
        <w:t>months</w:t>
      </w:r>
      <w:r>
        <w:rPr>
          <w:rFonts w:ascii="Times New Roman" w:hAnsi="Times New Roman" w:cs="Times New Roman"/>
          <w:color w:val="000000"/>
          <w:sz w:val="24"/>
          <w:szCs w:val="24"/>
        </w:rPr>
        <w:t xml:space="preserve"> (I2) and 8 years (M2). The zinc isotopic ratio does not show any significant changes during </w:t>
      </w:r>
      <w:r>
        <w:rPr>
          <w:rFonts w:ascii="Times New Roman" w:hAnsi="Times New Roman" w:cs="Times New Roman"/>
          <w:color w:val="000000"/>
          <w:sz w:val="24"/>
          <w:szCs w:val="24"/>
        </w:rPr>
        <w:lastRenderedPageBreak/>
        <w:t>this period (0.78</w:t>
      </w:r>
      <w:r>
        <w:rPr>
          <w:rFonts w:ascii="Times New Roman" w:eastAsia="Times New Roman" w:hAnsi="Times New Roman" w:cs="Times New Roman"/>
          <w:sz w:val="24"/>
          <w:szCs w:val="24"/>
        </w:rPr>
        <w:t>‰</w:t>
      </w:r>
      <w:r>
        <w:rPr>
          <w:rFonts w:ascii="Times New Roman" w:hAnsi="Times New Roman" w:cs="Times New Roman"/>
          <w:color w:val="000000"/>
          <w:sz w:val="24"/>
          <w:szCs w:val="24"/>
        </w:rPr>
        <w:t xml:space="preserve">±0.05) (Figure </w:t>
      </w:r>
      <w:r w:rsidR="00F8134A">
        <w:rPr>
          <w:rFonts w:ascii="Times New Roman" w:hAnsi="Times New Roman" w:cs="Times New Roman"/>
          <w:color w:val="000000"/>
          <w:sz w:val="24"/>
          <w:szCs w:val="24"/>
        </w:rPr>
        <w:t>SI 5.1</w:t>
      </w:r>
      <w:r>
        <w:rPr>
          <w:rFonts w:ascii="Times New Roman" w:hAnsi="Times New Roman" w:cs="Times New Roman"/>
          <w:color w:val="000000"/>
          <w:sz w:val="24"/>
          <w:szCs w:val="24"/>
        </w:rPr>
        <w:t>). On the other hand, the range δ</w:t>
      </w:r>
      <w:r>
        <w:rPr>
          <w:rFonts w:ascii="Times New Roman" w:hAnsi="Times New Roman" w:cs="Times New Roman"/>
          <w:color w:val="000000"/>
          <w:sz w:val="24"/>
          <w:szCs w:val="24"/>
          <w:vertAlign w:val="superscript"/>
        </w:rPr>
        <w:t>15</w:t>
      </w:r>
      <w:r>
        <w:rPr>
          <w:rFonts w:ascii="Times New Roman" w:hAnsi="Times New Roman" w:cs="Times New Roman"/>
          <w:color w:val="000000"/>
          <w:sz w:val="24"/>
          <w:szCs w:val="24"/>
        </w:rPr>
        <w:t xml:space="preserve">N values are obtained from both teeth dentine (4- 16 years) and bone which usually records the last years of life </w:t>
      </w:r>
      <w:r>
        <w:rPr>
          <w:rFonts w:ascii="Times New Roman" w:hAnsi="Times New Roman" w:cs="Times New Roman"/>
          <w:sz w:val="24"/>
          <w:szCs w:val="24"/>
        </w:rPr>
        <w:t>due to the constant bone remodeling</w:t>
      </w:r>
      <w:r>
        <w:rPr>
          <w:rFonts w:ascii="Times New Roman" w:hAnsi="Times New Roman" w:cs="Times New Roman"/>
          <w:color w:val="000000"/>
          <w:sz w:val="24"/>
          <w:szCs w:val="24"/>
        </w:rPr>
        <w:t>.</w:t>
      </w:r>
      <w:r>
        <w:rPr>
          <w:rFonts w:ascii="Times New Roman" w:hAnsi="Times New Roman" w:cs="Times New Roman"/>
          <w:sz w:val="24"/>
          <w:szCs w:val="24"/>
        </w:rPr>
        <w:t xml:space="preserve"> His bone collagen also shows the lowest </w:t>
      </w:r>
      <w:r>
        <w:rPr>
          <w:rStyle w:val="Accentuation"/>
          <w:rFonts w:ascii="Times New Roman" w:hAnsi="Times New Roman" w:cs="Times New Roman"/>
          <w:sz w:val="24"/>
          <w:szCs w:val="24"/>
        </w:rPr>
        <w:t>δ</w:t>
      </w:r>
      <w:r>
        <w:rPr>
          <w:rFonts w:ascii="Times New Roman" w:hAnsi="Times New Roman" w:cs="Times New Roman"/>
          <w:sz w:val="24"/>
          <w:szCs w:val="24"/>
          <w:vertAlign w:val="superscript"/>
        </w:rPr>
        <w:t>15</w:t>
      </w:r>
      <w:r>
        <w:rPr>
          <w:rFonts w:ascii="Times New Roman" w:hAnsi="Times New Roman" w:cs="Times New Roman"/>
          <w:sz w:val="24"/>
          <w:szCs w:val="24"/>
        </w:rPr>
        <w:t>N</w:t>
      </w:r>
      <w:r>
        <w:rPr>
          <w:rFonts w:ascii="Times New Roman" w:hAnsi="Times New Roman" w:cs="Times New Roman"/>
          <w:sz w:val="24"/>
          <w:szCs w:val="24"/>
          <w:vertAlign w:val="subscript"/>
        </w:rPr>
        <w:t xml:space="preserve">bulk </w:t>
      </w:r>
      <w:r>
        <w:rPr>
          <w:rFonts w:ascii="Times New Roman" w:hAnsi="Times New Roman" w:cs="Times New Roman"/>
          <w:sz w:val="24"/>
          <w:szCs w:val="24"/>
        </w:rPr>
        <w:t>value in the analyzed samples. The lowest TP 2.2 in Taforalt is obtained from</w:t>
      </w:r>
      <w:r w:rsidR="00792463">
        <w:rPr>
          <w:rFonts w:ascii="Times New Roman" w:hAnsi="Times New Roman" w:cs="Times New Roman"/>
          <w:sz w:val="24"/>
          <w:szCs w:val="24"/>
        </w:rPr>
        <w:t xml:space="preserve"> the bone collagen of </w:t>
      </w:r>
      <w:r>
        <w:rPr>
          <w:rFonts w:ascii="Times New Roman" w:hAnsi="Times New Roman" w:cs="Times New Roman"/>
          <w:sz w:val="24"/>
          <w:szCs w:val="24"/>
        </w:rPr>
        <w:t>this individual, indicating a predominantly plant-based diet</w:t>
      </w:r>
      <w:r w:rsidR="00792463">
        <w:rPr>
          <w:rFonts w:ascii="Times New Roman" w:hAnsi="Times New Roman" w:cs="Times New Roman"/>
          <w:sz w:val="24"/>
          <w:szCs w:val="24"/>
        </w:rPr>
        <w:t xml:space="preserve"> (~20 </w:t>
      </w:r>
      <w:r w:rsidR="00D03F12">
        <w:rPr>
          <w:rFonts w:ascii="Times New Roman" w:hAnsi="Times New Roman" w:cs="Times New Roman"/>
          <w:sz w:val="24"/>
          <w:szCs w:val="24"/>
        </w:rPr>
        <w:t>years</w:t>
      </w:r>
      <w:proofErr w:type="gramStart"/>
      <w:r w:rsidR="00792463">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To our knowledge this is the lowest TP value ever recorded in a pre-agriculturist population. The teeth collagen of this male, formed earlier in life, recorded higher values than his bone collagen suggesting </w:t>
      </w:r>
      <w:r w:rsidR="00D03F12" w:rsidRPr="00D03F12">
        <w:rPr>
          <w:rFonts w:ascii="Times New Roman" w:hAnsi="Times New Roman" w:cs="Times New Roman"/>
          <w:sz w:val="24"/>
          <w:szCs w:val="24"/>
        </w:rPr>
        <w:t>a switch to a plant-based diet shortly before his death</w:t>
      </w:r>
      <w:r>
        <w:rPr>
          <w:rFonts w:ascii="Times New Roman" w:hAnsi="Times New Roman" w:cs="Times New Roman"/>
          <w:sz w:val="24"/>
          <w:szCs w:val="24"/>
        </w:rPr>
        <w:t xml:space="preserve">. Interestingly, 50% of </w:t>
      </w:r>
      <w:r w:rsidR="00A9024B" w:rsidRPr="00A9024B">
        <w:rPr>
          <w:rFonts w:ascii="Times New Roman" w:hAnsi="Times New Roman" w:cs="Times New Roman"/>
          <w:sz w:val="24"/>
          <w:szCs w:val="24"/>
        </w:rPr>
        <w:t>the remaining teeth of this individual</w:t>
      </w:r>
      <w:r w:rsidR="00A9024B">
        <w:rPr>
          <w:rFonts w:ascii="Times New Roman" w:hAnsi="Times New Roman" w:cs="Times New Roman"/>
          <w:sz w:val="24"/>
          <w:szCs w:val="24"/>
        </w:rPr>
        <w:t xml:space="preserve"> </w:t>
      </w:r>
      <w:r>
        <w:rPr>
          <w:rFonts w:ascii="Times New Roman" w:hAnsi="Times New Roman" w:cs="Times New Roman"/>
          <w:sz w:val="24"/>
          <w:szCs w:val="24"/>
        </w:rPr>
        <w:t>were affected by caries</w:t>
      </w:r>
      <w:r w:rsidR="00D03F12">
        <w:rPr>
          <w:rFonts w:ascii="Times New Roman" w:hAnsi="Times New Roman" w:cs="Times New Roman"/>
          <w:sz w:val="24"/>
          <w:szCs w:val="24"/>
        </w:rPr>
        <w:fldChar w:fldCharType="begin"/>
      </w:r>
      <w:r w:rsidR="000475E4">
        <w:rPr>
          <w:rFonts w:ascii="Times New Roman" w:hAnsi="Times New Roman" w:cs="Times New Roman"/>
          <w:sz w:val="24"/>
          <w:szCs w:val="24"/>
        </w:rPr>
        <w:instrText xml:space="preserve"> ADDIN ZOTERO_ITEM CSL_CITATION {"citationID":"CVo8SrTT","properties":{"formattedCitation":"\\super 6\\nosupersub{}","plainCitation":"6","noteIndex":0},"citationItems":[{"id":895,"uris":["http://zotero.org/users/7125028/items/LNAKZ2VD"],"itemData":{"id":895,"type":"chapter","container-title":"Cemeteries and Sedentism in the Later Stone Age of NW Africa: Excavations at Grotte des Pigeons, Taforalt, Morocco","page":"444-482","publisher":"Monographien des Römisch-Germanischen Zentralmuseums","title":"HUMAN BURIAL EVIDENCE","author":[{"family":"Humphrey","given":"Louise"},{"family":"Freyne","given":"Alison"},{"family":"Berridge","given":"Peter"},{"family":"Berridge","given":"Paul"}],"issued":{"date-parts":[["2019"]]}}}],"schema":"https://github.com/citation-style-language/schema/raw/master/csl-citation.json"} </w:instrText>
      </w:r>
      <w:r w:rsidR="00D03F12">
        <w:rPr>
          <w:rFonts w:ascii="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6</w:t>
      </w:r>
      <w:r w:rsidR="00D03F12">
        <w:rPr>
          <w:rFonts w:ascii="Times New Roman" w:hAnsi="Times New Roman" w:cs="Times New Roman"/>
          <w:sz w:val="24"/>
          <w:szCs w:val="24"/>
        </w:rPr>
        <w:fldChar w:fldCharType="end"/>
      </w:r>
      <w:r>
        <w:rPr>
          <w:rFonts w:ascii="Times New Roman" w:hAnsi="Times New Roman" w:cs="Times New Roman"/>
          <w:sz w:val="24"/>
          <w:szCs w:val="24"/>
        </w:rPr>
        <w:t>.</w:t>
      </w:r>
      <w:r w:rsidR="00387016">
        <w:rPr>
          <w:rFonts w:ascii="Times New Roman" w:hAnsi="Times New Roman" w:cs="Times New Roman"/>
          <w:sz w:val="24"/>
          <w:szCs w:val="24"/>
        </w:rPr>
        <w:t xml:space="preserve"> We should mention that most of this individual’s teeth show evidence of hypoplasia on both the crown and the root (See </w:t>
      </w:r>
      <w:r w:rsidR="00D03F12">
        <w:rPr>
          <w:rFonts w:ascii="Times New Roman" w:hAnsi="Times New Roman" w:cs="Times New Roman"/>
          <w:sz w:val="24"/>
          <w:szCs w:val="24"/>
        </w:rPr>
        <w:t>PowerPoint</w:t>
      </w:r>
      <w:r w:rsidR="00387016">
        <w:rPr>
          <w:rFonts w:ascii="Times New Roman" w:hAnsi="Times New Roman" w:cs="Times New Roman"/>
          <w:sz w:val="24"/>
          <w:szCs w:val="24"/>
        </w:rPr>
        <w:t xml:space="preserve">). The observation of the </w:t>
      </w:r>
      <w:r w:rsidR="00792463">
        <w:rPr>
          <w:rFonts w:ascii="Times New Roman" w:hAnsi="Times New Roman" w:cs="Times New Roman"/>
          <w:sz w:val="24"/>
          <w:szCs w:val="24"/>
        </w:rPr>
        <w:t xml:space="preserve">hypoplasia </w:t>
      </w:r>
      <w:r w:rsidR="00387016">
        <w:rPr>
          <w:rFonts w:ascii="Times New Roman" w:hAnsi="Times New Roman" w:cs="Times New Roman"/>
          <w:sz w:val="24"/>
          <w:szCs w:val="24"/>
        </w:rPr>
        <w:t>on the teeth included in this study indicate</w:t>
      </w:r>
      <w:r w:rsidR="00C87FE1">
        <w:rPr>
          <w:rFonts w:ascii="Times New Roman" w:hAnsi="Times New Roman" w:cs="Times New Roman"/>
          <w:sz w:val="24"/>
          <w:szCs w:val="24"/>
        </w:rPr>
        <w:t>s</w:t>
      </w:r>
      <w:r w:rsidR="00387016">
        <w:rPr>
          <w:rFonts w:ascii="Times New Roman" w:hAnsi="Times New Roman" w:cs="Times New Roman"/>
          <w:sz w:val="24"/>
          <w:szCs w:val="24"/>
        </w:rPr>
        <w:t xml:space="preserve"> that he suffered from stress around 3 years (recorded on the I2) until 16 years (recorded on his M2). </w:t>
      </w:r>
      <w:r w:rsidR="00A9024B">
        <w:rPr>
          <w:rFonts w:ascii="Times New Roman" w:hAnsi="Times New Roman" w:cs="Times New Roman"/>
          <w:sz w:val="24"/>
          <w:szCs w:val="24"/>
        </w:rPr>
        <w:t>A p</w:t>
      </w:r>
      <w:r>
        <w:rPr>
          <w:rFonts w:ascii="Times New Roman" w:hAnsi="Times New Roman" w:cs="Times New Roman"/>
          <w:sz w:val="24"/>
          <w:szCs w:val="24"/>
        </w:rPr>
        <w:t xml:space="preserve">ossible explanation for this transition to a plant-based diet could be related to a health condition that </w:t>
      </w:r>
      <w:r w:rsidR="00A9024B" w:rsidRPr="00A9024B">
        <w:rPr>
          <w:rFonts w:ascii="Times New Roman" w:hAnsi="Times New Roman" w:cs="Times New Roman"/>
          <w:sz w:val="24"/>
          <w:szCs w:val="24"/>
        </w:rPr>
        <w:t>led</w:t>
      </w:r>
      <w:r w:rsidR="00A9024B">
        <w:rPr>
          <w:rFonts w:ascii="Times New Roman" w:hAnsi="Times New Roman" w:cs="Times New Roman"/>
          <w:sz w:val="24"/>
          <w:szCs w:val="24"/>
        </w:rPr>
        <w:t xml:space="preserve"> </w:t>
      </w:r>
      <w:r>
        <w:rPr>
          <w:rFonts w:ascii="Times New Roman" w:hAnsi="Times New Roman" w:cs="Times New Roman"/>
          <w:sz w:val="24"/>
          <w:szCs w:val="24"/>
        </w:rPr>
        <w:t>to nutritional stress.</w:t>
      </w:r>
    </w:p>
    <w:p w14:paraId="02FEB3C3" w14:textId="77777777" w:rsidR="0020388D" w:rsidRDefault="0020388D" w:rsidP="001925CC">
      <w:pPr>
        <w:spacing w:after="0" w:line="360" w:lineRule="auto"/>
        <w:jc w:val="both"/>
        <w:rPr>
          <w:rFonts w:ascii="Times New Roman" w:hAnsi="Times New Roman" w:cs="Times New Roman"/>
          <w:sz w:val="24"/>
          <w:szCs w:val="24"/>
        </w:rPr>
      </w:pPr>
    </w:p>
    <w:p w14:paraId="2EE3A602" w14:textId="726661CF" w:rsidR="001925CC" w:rsidRDefault="001925CC" w:rsidP="001925C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Individual 5</w:t>
      </w:r>
      <w:r w:rsidR="00A478A0">
        <w:rPr>
          <w:rFonts w:ascii="Times New Roman" w:hAnsi="Times New Roman" w:cs="Times New Roman"/>
          <w:b/>
          <w:sz w:val="24"/>
          <w:szCs w:val="24"/>
        </w:rPr>
        <w:t>: a female adolescent individual with an intermediate trophic position</w:t>
      </w:r>
    </w:p>
    <w:p w14:paraId="6E645DC9" w14:textId="3E5D8E06" w:rsidR="001925CC" w:rsidRPr="00D70D43" w:rsidRDefault="001925CC" w:rsidP="001925CC">
      <w:pPr>
        <w:pStyle w:val="NormalWeb"/>
        <w:spacing w:before="240" w:beforeAutospacing="0" w:after="240" w:afterAutospacing="0" w:line="360" w:lineRule="auto"/>
        <w:rPr>
          <w:lang w:val="en-US"/>
        </w:rPr>
      </w:pPr>
      <w:r w:rsidRPr="00D70D43">
        <w:rPr>
          <w:color w:val="000000"/>
          <w:lang w:val="en-US"/>
        </w:rPr>
        <w:t xml:space="preserve">Individual 5 is an adolescent female </w:t>
      </w:r>
      <w:r w:rsidR="00611364" w:rsidRPr="00611364">
        <w:rPr>
          <w:lang w:val="en-US"/>
        </w:rPr>
        <w:t>who died between 16 and 18 years of age</w:t>
      </w:r>
      <w:r w:rsidR="00611364">
        <w:rPr>
          <w:color w:val="000000"/>
          <w:lang w:val="en-US"/>
        </w:rPr>
        <w:t xml:space="preserve"> </w:t>
      </w:r>
      <w:r w:rsidR="001F2526">
        <w:rPr>
          <w:color w:val="000000"/>
          <w:lang w:val="en-US"/>
        </w:rPr>
        <w:fldChar w:fldCharType="begin"/>
      </w:r>
      <w:r w:rsidR="009C1161">
        <w:rPr>
          <w:color w:val="000000"/>
          <w:lang w:val="en-US"/>
        </w:rPr>
        <w:instrText xml:space="preserve"> ADDIN ZOTERO_ITEM CSL_CITATION {"citationID":"zIwwG899","properties":{"formattedCitation":"\\super 1\\nosupersub{}","plainCitation":"1","noteIndex":0},"citationItems":[{"id":114,"uris":["http://zotero.org/users/7125028/items/Z5E44YNM"],"itemData":{"id":114,"type":"article-journal","container-title":"Monographien des RGZM","DOI":"10.11588/PROPYLAEUM.734","note":"publisher: University Library Heidelberg\nversion: 1","source":"DOI.org (Datacite)","title":"Cemeteries and Sedentism in the Later Stone Age of NW Africa: Excavations at Grotte des Pigeons, Taforalt, Morocco","title-short":"Cemeteries and Sedentism in the Later Stone Age of NW Africa","URL":"https://books.ub.uni-heidelberg.de/index.php/propylaeum/catalog/book/734","author":[{"family":"Barton","given":"R. Nicholas E."}],"accessed":{"date-parts":[["2021",7,23]]},"issued":{"date-parts":[["2020"]]}}}],"schema":"https://github.com/citation-style-language/schema/raw/master/csl-citation.json"} </w:instrText>
      </w:r>
      <w:r w:rsidR="001F2526">
        <w:rPr>
          <w:color w:val="000000"/>
          <w:lang w:val="en-US"/>
        </w:rPr>
        <w:fldChar w:fldCharType="separate"/>
      </w:r>
      <w:r w:rsidR="009C1161" w:rsidRPr="0064579A">
        <w:rPr>
          <w:vertAlign w:val="superscript"/>
          <w:lang w:val="en-US"/>
        </w:rPr>
        <w:t>1</w:t>
      </w:r>
      <w:r w:rsidR="001F2526">
        <w:rPr>
          <w:color w:val="000000"/>
          <w:lang w:val="en-US"/>
        </w:rPr>
        <w:fldChar w:fldCharType="end"/>
      </w:r>
      <w:r w:rsidRPr="00D70D43">
        <w:rPr>
          <w:color w:val="000000"/>
          <w:lang w:val="en-US"/>
        </w:rPr>
        <w:t xml:space="preserve">. The range zinc </w:t>
      </w:r>
      <w:r>
        <w:rPr>
          <w:color w:val="000000"/>
          <w:lang w:val="en-US"/>
        </w:rPr>
        <w:t xml:space="preserve">isotope </w:t>
      </w:r>
      <w:r w:rsidRPr="00D70D43">
        <w:rPr>
          <w:color w:val="000000"/>
          <w:lang w:val="en-US"/>
        </w:rPr>
        <w:t>values from this individual are obtained from teeth formed between birth (M1) and 8 years (M2) and also show no significant variation (0.77</w:t>
      </w:r>
      <w:r w:rsidRPr="00D70D43">
        <w:rPr>
          <w:lang w:val="en-US"/>
        </w:rPr>
        <w:t>‰</w:t>
      </w:r>
      <w:r w:rsidRPr="00D70D43">
        <w:rPr>
          <w:color w:val="000000"/>
          <w:lang w:val="en-US"/>
        </w:rPr>
        <w:t xml:space="preserve">±0.04) similarly to </w:t>
      </w:r>
      <w:r w:rsidRPr="00D70D43">
        <w:rPr>
          <w:rStyle w:val="Accentuation"/>
        </w:rPr>
        <w:t>δ</w:t>
      </w:r>
      <w:r w:rsidRPr="00D70D43">
        <w:rPr>
          <w:vertAlign w:val="superscript"/>
          <w:lang w:val="en-US"/>
        </w:rPr>
        <w:t>15</w:t>
      </w:r>
      <w:r w:rsidRPr="00D70D43">
        <w:rPr>
          <w:lang w:val="en-US"/>
        </w:rPr>
        <w:t>N</w:t>
      </w:r>
      <w:r w:rsidRPr="00D70D43">
        <w:rPr>
          <w:vertAlign w:val="subscript"/>
          <w:lang w:val="en-US"/>
        </w:rPr>
        <w:t xml:space="preserve">bulk </w:t>
      </w:r>
      <w:r w:rsidRPr="00D70D43">
        <w:rPr>
          <w:lang w:val="en-US"/>
        </w:rPr>
        <w:t>values (10.34‰±0.51).</w:t>
      </w:r>
      <w:r>
        <w:rPr>
          <w:lang w:val="en-US"/>
        </w:rPr>
        <w:t xml:space="preserve"> We did</w:t>
      </w:r>
      <w:r w:rsidR="00A478A0">
        <w:rPr>
          <w:lang w:val="en-US"/>
        </w:rPr>
        <w:t xml:space="preserve"> not</w:t>
      </w:r>
      <w:r>
        <w:rPr>
          <w:lang w:val="en-US"/>
        </w:rPr>
        <w:t xml:space="preserve"> obtain the TP from CSIA for this individual because we could not recover enough collagen for the analyses.</w:t>
      </w:r>
      <w:r w:rsidR="00A478A0">
        <w:rPr>
          <w:lang w:val="en-US"/>
        </w:rPr>
        <w:t xml:space="preserve"> The TL based on </w:t>
      </w:r>
      <w:r w:rsidR="001F2526" w:rsidRPr="00D70D43">
        <w:rPr>
          <w:rStyle w:val="Accentuation"/>
        </w:rPr>
        <w:t>δ</w:t>
      </w:r>
      <w:r w:rsidR="00A478A0" w:rsidRPr="0064579A">
        <w:rPr>
          <w:vertAlign w:val="superscript"/>
          <w:lang w:val="en-US"/>
        </w:rPr>
        <w:t>66</w:t>
      </w:r>
      <w:r w:rsidR="00A478A0">
        <w:rPr>
          <w:lang w:val="en-US"/>
        </w:rPr>
        <w:t xml:space="preserve">Zn value suggests 60% of plant consumption. </w:t>
      </w:r>
      <w:r>
        <w:rPr>
          <w:lang w:val="en-US"/>
        </w:rPr>
        <w:t xml:space="preserve">We observed the presence of enamel hypoplasia on the teeth of this female indicating that </w:t>
      </w:r>
      <w:r w:rsidR="00A478A0">
        <w:rPr>
          <w:lang w:val="en-US"/>
        </w:rPr>
        <w:t>s</w:t>
      </w:r>
      <w:r>
        <w:rPr>
          <w:lang w:val="en-US"/>
        </w:rPr>
        <w:t xml:space="preserve">he </w:t>
      </w:r>
      <w:r w:rsidR="00A478A0">
        <w:rPr>
          <w:lang w:val="en-US"/>
        </w:rPr>
        <w:t xml:space="preserve">experienced </w:t>
      </w:r>
      <w:r>
        <w:rPr>
          <w:lang w:val="en-US"/>
        </w:rPr>
        <w:t>stress</w:t>
      </w:r>
      <w:r w:rsidR="00A478A0">
        <w:rPr>
          <w:lang w:val="en-US"/>
        </w:rPr>
        <w:t>es</w:t>
      </w:r>
      <w:r>
        <w:rPr>
          <w:lang w:val="en-US"/>
        </w:rPr>
        <w:t xml:space="preserve"> between 2.5 and 5 years. Caries were present in 57% of the remaining teeth of this individual</w:t>
      </w:r>
      <w:r w:rsidR="00611364">
        <w:rPr>
          <w:lang w:val="en-US"/>
        </w:rPr>
        <w:t>,</w:t>
      </w:r>
      <w:r>
        <w:rPr>
          <w:lang w:val="en-US"/>
        </w:rPr>
        <w:t xml:space="preserve"> in addition alveolar absorption</w:t>
      </w:r>
      <w:r w:rsidR="00565BC1">
        <w:rPr>
          <w:lang w:val="en-US"/>
        </w:rPr>
        <w:fldChar w:fldCharType="begin"/>
      </w:r>
      <w:r w:rsidR="009C1161">
        <w:rPr>
          <w:lang w:val="en-US"/>
        </w:rPr>
        <w:instrText xml:space="preserve"> ADDIN ZOTERO_ITEM CSL_CITATION {"citationID":"A3yWLPBL","properties":{"formattedCitation":"\\super 4\\nosupersub{}","plainCitation":"4","noteIndex":0},"citationItems":[{"id":4,"uris":["http://zotero.org/users/7125028/items/AVGAHX9Z"],"itemData":{"id":4,"type":"article-journal","container-title":"Proceedings of the National Academy of Sciences","DOI":"10.1073/pnas.1318176111","issue":"3","note":"publisher: Proceedings of the National Academy of Sciences","page":"954-959","source":"pnas.org (Atypon)","title":"Earliest evidence for caries and exploitation of starchy plant foods in Pleistocene hunter-gatherers from Morocco","volume":"111","author":[{"family":"Humphrey","given":"Louise T."},{"family":"De Groote","given":"Isabelle"},{"family":"Morales","given":"Jacob"},{"family":"Barton","given":"Nick"},{"family":"Collcutt","given":"Simon"},{"family":"Bronk Ramsey","given":"Christopher"},{"family":"Bouzouggar","given":"Abdeljalil"}],"issued":{"date-parts":[["2014",1,21]]}}}],"schema":"https://github.com/citation-style-language/schema/raw/master/csl-citation.json"} </w:instrText>
      </w:r>
      <w:r w:rsidR="00565BC1">
        <w:rPr>
          <w:lang w:val="en-US"/>
        </w:rPr>
        <w:fldChar w:fldCharType="separate"/>
      </w:r>
      <w:r w:rsidR="009C1161" w:rsidRPr="0064579A">
        <w:rPr>
          <w:vertAlign w:val="superscript"/>
          <w:lang w:val="en-US"/>
        </w:rPr>
        <w:t>4</w:t>
      </w:r>
      <w:r w:rsidR="00565BC1">
        <w:rPr>
          <w:lang w:val="en-US"/>
        </w:rPr>
        <w:fldChar w:fldCharType="end"/>
      </w:r>
      <w:r>
        <w:rPr>
          <w:lang w:val="en-US"/>
        </w:rPr>
        <w:t xml:space="preserve">. The study of the teeth of this individual also shows that this female had the lowest attrition rates among the individuals recovered during the recent excavations </w:t>
      </w:r>
      <w:r w:rsidR="006420F7">
        <w:rPr>
          <w:lang w:val="en-US"/>
        </w:rPr>
        <w:fldChar w:fldCharType="begin"/>
      </w:r>
      <w:r w:rsidR="000475E4">
        <w:rPr>
          <w:lang w:val="en-US"/>
        </w:rPr>
        <w:instrText xml:space="preserve"> ADDIN ZOTERO_ITEM CSL_CITATION {"citationID":"XylWHq6Q","properties":{"formattedCitation":"\\super 6\\nosupersub{}","plainCitation":"6","noteIndex":0},"citationItems":[{"id":895,"uris":["http://zotero.org/users/7125028/items/LNAKZ2VD"],"itemData":{"id":895,"type":"chapter","container-title":"Cemeteries and Sedentism in the Later Stone Age of NW Africa: Excavations at Grotte des Pigeons, Taforalt, Morocco","page":"444-482","publisher":"Monographien des Römisch-Germanischen Zentralmuseums","title":"HUMAN BURIAL EVIDENCE","author":[{"family":"Humphrey","given":"Louise"},{"family":"Freyne","given":"Alison"},{"family":"Berridge","given":"Peter"},{"family":"Berridge","given":"Paul"}],"issued":{"date-parts":[["2019"]]}}}],"schema":"https://github.com/citation-style-language/schema/raw/master/csl-citation.json"} </w:instrText>
      </w:r>
      <w:r w:rsidR="006420F7">
        <w:rPr>
          <w:lang w:val="en-US"/>
        </w:rPr>
        <w:fldChar w:fldCharType="separate"/>
      </w:r>
      <w:r w:rsidR="000475E4" w:rsidRPr="000475E4">
        <w:rPr>
          <w:vertAlign w:val="superscript"/>
          <w:lang w:val="en-US"/>
        </w:rPr>
        <w:t>6</w:t>
      </w:r>
      <w:r w:rsidR="006420F7">
        <w:rPr>
          <w:lang w:val="en-US"/>
        </w:rPr>
        <w:fldChar w:fldCharType="end"/>
      </w:r>
      <w:r w:rsidR="006420F7">
        <w:rPr>
          <w:lang w:val="en-US"/>
        </w:rPr>
        <w:t>.</w:t>
      </w:r>
    </w:p>
    <w:p w14:paraId="1B6ED7AA" w14:textId="18DA8AC0" w:rsidR="001925CC" w:rsidRDefault="001925CC" w:rsidP="001925C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Individual 13: </w:t>
      </w:r>
      <w:r w:rsidR="00A478A0">
        <w:rPr>
          <w:rFonts w:ascii="Times New Roman" w:hAnsi="Times New Roman" w:cs="Times New Roman"/>
          <w:b/>
          <w:sz w:val="24"/>
          <w:szCs w:val="24"/>
        </w:rPr>
        <w:t>a male individual buried with horn cores and freshwater shells who might have increased his meat consumption over the course of his life</w:t>
      </w:r>
    </w:p>
    <w:p w14:paraId="0654611D" w14:textId="61E3E4A1" w:rsidR="001925CC" w:rsidRPr="00D70D43" w:rsidRDefault="001925CC" w:rsidP="001925CC">
      <w:pPr>
        <w:spacing w:after="0" w:line="360" w:lineRule="auto"/>
        <w:jc w:val="both"/>
        <w:rPr>
          <w:rFonts w:ascii="Times New Roman" w:eastAsia="Times New Roman" w:hAnsi="Times New Roman" w:cs="Times New Roman"/>
          <w:sz w:val="24"/>
          <w:szCs w:val="24"/>
        </w:rPr>
      </w:pPr>
      <w:r w:rsidRPr="00D70D43">
        <w:rPr>
          <w:rFonts w:ascii="Times New Roman" w:hAnsi="Times New Roman" w:cs="Times New Roman"/>
          <w:sz w:val="24"/>
          <w:szCs w:val="24"/>
        </w:rPr>
        <w:t xml:space="preserve">Individual 13 is a male </w:t>
      </w:r>
      <w:r w:rsidR="006420F7">
        <w:rPr>
          <w:rFonts w:ascii="Times New Roman" w:hAnsi="Times New Roman" w:cs="Times New Roman"/>
          <w:sz w:val="24"/>
          <w:szCs w:val="24"/>
        </w:rPr>
        <w:t>whose</w:t>
      </w:r>
      <w:r w:rsidRPr="00D70D43">
        <w:rPr>
          <w:rFonts w:ascii="Times New Roman" w:hAnsi="Times New Roman" w:cs="Times New Roman"/>
          <w:sz w:val="24"/>
          <w:szCs w:val="24"/>
        </w:rPr>
        <w:t xml:space="preserve"> age of death is estimated between 18 and 20 years. His M3, which </w:t>
      </w:r>
      <w:r>
        <w:rPr>
          <w:rFonts w:ascii="Times New Roman" w:hAnsi="Times New Roman" w:cs="Times New Roman"/>
          <w:sz w:val="24"/>
          <w:szCs w:val="24"/>
        </w:rPr>
        <w:t>start</w:t>
      </w:r>
      <w:r w:rsidR="006420F7">
        <w:rPr>
          <w:rFonts w:ascii="Times New Roman" w:hAnsi="Times New Roman" w:cs="Times New Roman"/>
          <w:sz w:val="24"/>
          <w:szCs w:val="24"/>
        </w:rPr>
        <w:t>ed</w:t>
      </w:r>
      <w:r>
        <w:rPr>
          <w:rFonts w:ascii="Times New Roman" w:hAnsi="Times New Roman" w:cs="Times New Roman"/>
          <w:sz w:val="24"/>
          <w:szCs w:val="24"/>
        </w:rPr>
        <w:t xml:space="preserve"> its </w:t>
      </w:r>
      <w:r w:rsidRPr="00D70D43">
        <w:rPr>
          <w:rFonts w:ascii="Times New Roman" w:hAnsi="Times New Roman" w:cs="Times New Roman"/>
          <w:sz w:val="24"/>
          <w:szCs w:val="24"/>
        </w:rPr>
        <w:t xml:space="preserve">formation </w:t>
      </w:r>
      <w:r>
        <w:rPr>
          <w:rFonts w:ascii="Times New Roman" w:hAnsi="Times New Roman" w:cs="Times New Roman"/>
          <w:sz w:val="24"/>
          <w:szCs w:val="24"/>
        </w:rPr>
        <w:t xml:space="preserve">at the </w:t>
      </w:r>
      <w:sdt>
        <w:sdtPr>
          <w:tag w:val="goog_rdk_142"/>
          <w:id w:val="-1280574537"/>
        </w:sdtPr>
        <w:sdtContent>
          <w:r w:rsidR="006420F7">
            <w:rPr>
              <w:rFonts w:ascii="Times New Roman" w:eastAsia="Times New Roman" w:hAnsi="Times New Roman" w:cs="Times New Roman"/>
              <w:sz w:val="24"/>
              <w:szCs w:val="24"/>
            </w:rPr>
            <w:t xml:space="preserve">approximated </w:t>
          </w:r>
        </w:sdtContent>
      </w:sdt>
      <w:r>
        <w:rPr>
          <w:rFonts w:ascii="Times New Roman" w:hAnsi="Times New Roman" w:cs="Times New Roman"/>
          <w:sz w:val="24"/>
          <w:szCs w:val="24"/>
        </w:rPr>
        <w:t>age around of 13 and</w:t>
      </w:r>
      <w:r w:rsidRPr="00D70D43">
        <w:rPr>
          <w:rFonts w:ascii="Times New Roman" w:hAnsi="Times New Roman" w:cs="Times New Roman"/>
          <w:sz w:val="24"/>
          <w:szCs w:val="24"/>
        </w:rPr>
        <w:t xml:space="preserve"> complete</w:t>
      </w:r>
      <w:r w:rsidR="006420F7">
        <w:rPr>
          <w:rFonts w:ascii="Times New Roman" w:hAnsi="Times New Roman" w:cs="Times New Roman"/>
          <w:sz w:val="24"/>
          <w:szCs w:val="24"/>
        </w:rPr>
        <w:t>d</w:t>
      </w:r>
      <w:r w:rsidRPr="00D70D43">
        <w:rPr>
          <w:rFonts w:ascii="Times New Roman" w:hAnsi="Times New Roman" w:cs="Times New Roman"/>
          <w:sz w:val="24"/>
          <w:szCs w:val="24"/>
        </w:rPr>
        <w:t xml:space="preserve"> at</w:t>
      </w:r>
      <w:r>
        <w:rPr>
          <w:rFonts w:ascii="Times New Roman" w:hAnsi="Times New Roman" w:cs="Times New Roman"/>
          <w:sz w:val="24"/>
          <w:szCs w:val="24"/>
        </w:rPr>
        <w:t xml:space="preserve"> around</w:t>
      </w:r>
      <w:r w:rsidRPr="00D70D43">
        <w:rPr>
          <w:rFonts w:ascii="Times New Roman" w:hAnsi="Times New Roman" w:cs="Times New Roman"/>
          <w:sz w:val="24"/>
          <w:szCs w:val="24"/>
        </w:rPr>
        <w:t xml:space="preserve"> 20 years</w:t>
      </w:r>
      <w:r w:rsidR="00565BC1">
        <w:rPr>
          <w:rFonts w:ascii="Times New Roman" w:hAnsi="Times New Roman" w:cs="Times New Roman"/>
          <w:sz w:val="24"/>
          <w:szCs w:val="24"/>
        </w:rPr>
        <w:t xml:space="preserve"> </w:t>
      </w:r>
      <w:r w:rsidR="00565BC1">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{"citationID":"PZchrUx0","properties":{"formattedCitation":"\\super 59\\nosupersub{}","plainCitation":"59","noteIndex":0},"citationItems":[{"id":94,"uris":["http://zotero.org/users/7125028/items/AICRDAVC"],"itemData":{"id":94,"type":"thesis","abstract":"Aim: \nTo develop a comprehensive, validated, evidence based, practical, user-friendly atlas of dental age \nestimation and compare its performance with two widely used atlases. \nMethods: \nBased on the radiographic appearance of tooth development in 528 individuals aged 2-23 years \nand 176 neonates, the median stage of tooth development for each tooth in each age \ncategory/chronological year was used to construct diagrams representing ages between 28 weeks \nin-utero and 23 years were developed (The London Atlas) \nAccuracy was determined by ageing skeletal remains/radiographs of 1514 individuals (aged 32 \nweeks in-utero to 23 years) using The London Atlas (LA), the Schour and Massler (SM) and \nUbelaker (Ub) atlases. Estimated age was compared to real age. Bias, absolute mean difference \nand proportion of individuals correctly assigned by age were calculated. Intra-observer variation \n(Kappa) was measured by re-assessment of 130 radiographs. \nTo test the application of The London Atlas, a questionnaire was used to validate its use. Ninety 3rd \nyear dental students were divided randomly into three subgroups, and blinded from the \nresearcher. Each group used one of the 3 atlases to estimate the radiographic age of 6 individuals \nand complete a questionnaire focussed on the design, clarity, simplicity and self-explanation of the \nthree atlases. \nResults: \nExcellent reproducibility was observed for all three atlases (Kappa: LA 0.879, SM 0.838 and Ub \n0.857). LA showed no bias (P=0.720) and correctly estimated 53% of cases. SM and Ub showed \nsignificant bias by consistently underestimating age (P=0.026 and P=0.002) with 35% and 36% \ncorrectly estimated for SM and Ub respectively. The mean absolute difference for LA (0.72 years) \nwas smaller than SM (1.15 years) and Ub (1.17 years). \nLA was preferred over the other two atlases in all quality measures tested (clarity, design, \nsimplicity and self-explanation). \nConclusion: \nThe London Atlas represents a substantial improvement on existing atlases facilitating accurate \nage estimation from developing teeth. Development of interactive online and mobile app versions \nis complete.","genre":"Thesis","language":"en","note":"Accepted: 2015-09-01T13:32:18Z","publisher":"Queen Mary University of London","source":"qmro.qmul.ac.uk","title":"The London Atlas: developing an atlas of tooth development and testing its quality and performance measures","title-short":"The London Atlas","URL":"https://qmro.qmul.ac.uk/xmlui/handle/123456789/8364","author":[{"family":"AlQahtani","given":"Sakher Jaber"}],"accessed":{"date-parts":[["2021",7,28]]},"issued":{"date-parts":[["2012"]]}}}],"schema":"https://github.com/citation-style-language/schema/raw/master/csl-citation.json"} </w:instrText>
      </w:r>
      <w:r w:rsidR="00565BC1">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59</w:t>
      </w:r>
      <w:r w:rsidR="00565BC1">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D70D43">
        <w:rPr>
          <w:rFonts w:ascii="Times New Roman" w:hAnsi="Times New Roman" w:cs="Times New Roman"/>
          <w:sz w:val="24"/>
          <w:szCs w:val="24"/>
        </w:rPr>
        <w:t>recorded the highest TP</w:t>
      </w:r>
      <w:r>
        <w:rPr>
          <w:rFonts w:ascii="Times New Roman" w:hAnsi="Times New Roman" w:cs="Times New Roman"/>
          <w:sz w:val="24"/>
          <w:szCs w:val="24"/>
        </w:rPr>
        <w:t xml:space="preserve"> (2.6)</w:t>
      </w:r>
      <w:r w:rsidRPr="00D70D43">
        <w:rPr>
          <w:rFonts w:ascii="Times New Roman" w:hAnsi="Times New Roman" w:cs="Times New Roman"/>
          <w:sz w:val="24"/>
          <w:szCs w:val="24"/>
        </w:rPr>
        <w:t xml:space="preserve"> in the identifiable individuals. This reflects an omnivorous diet with </w:t>
      </w:r>
      <w:r w:rsidRPr="00D70D43">
        <w:rPr>
          <w:rFonts w:ascii="Times New Roman" w:hAnsi="Times New Roman" w:cs="Times New Roman"/>
          <w:sz w:val="24"/>
          <w:szCs w:val="24"/>
        </w:rPr>
        <w:lastRenderedPageBreak/>
        <w:t xml:space="preserve">both meat and plant in his diet. His </w:t>
      </w:r>
      <w:r w:rsidRPr="00D70D43">
        <w:rPr>
          <w:rStyle w:val="Accentuation"/>
          <w:rFonts w:ascii="Times New Roman" w:hAnsi="Times New Roman" w:cs="Times New Roman"/>
          <w:sz w:val="24"/>
          <w:szCs w:val="24"/>
        </w:rPr>
        <w:t>δ</w:t>
      </w:r>
      <w:r w:rsidRPr="00D70D43">
        <w:rPr>
          <w:rFonts w:ascii="Times New Roman" w:hAnsi="Times New Roman" w:cs="Times New Roman"/>
          <w:sz w:val="24"/>
          <w:szCs w:val="24"/>
          <w:vertAlign w:val="superscript"/>
        </w:rPr>
        <w:t>15</w:t>
      </w:r>
      <w:r w:rsidRPr="00D70D43">
        <w:rPr>
          <w:rFonts w:ascii="Times New Roman" w:hAnsi="Times New Roman" w:cs="Times New Roman"/>
          <w:sz w:val="24"/>
          <w:szCs w:val="24"/>
        </w:rPr>
        <w:t>N</w:t>
      </w:r>
      <w:r w:rsidRPr="00D70D43">
        <w:rPr>
          <w:rFonts w:ascii="Times New Roman" w:hAnsi="Times New Roman" w:cs="Times New Roman"/>
          <w:sz w:val="24"/>
          <w:szCs w:val="24"/>
          <w:vertAlign w:val="subscript"/>
        </w:rPr>
        <w:t>bulk</w:t>
      </w:r>
      <w:r w:rsidRPr="00D70D43">
        <w:rPr>
          <w:rFonts w:ascii="Times New Roman" w:hAnsi="Times New Roman" w:cs="Times New Roman"/>
          <w:sz w:val="24"/>
          <w:szCs w:val="24"/>
        </w:rPr>
        <w:t xml:space="preserve"> is slightly above the values than the other individuals. However, his </w:t>
      </w:r>
      <w:r w:rsidRPr="00D70D43">
        <w:rPr>
          <w:rFonts w:ascii="Times New Roman" w:eastAsia="Times New Roman" w:hAnsi="Times New Roman" w:cs="Times New Roman"/>
          <w:sz w:val="24"/>
          <w:szCs w:val="24"/>
        </w:rPr>
        <w:t>δ</w:t>
      </w:r>
      <w:r w:rsidRPr="00D70D43">
        <w:rPr>
          <w:rFonts w:ascii="Times New Roman" w:eastAsia="Times New Roman" w:hAnsi="Times New Roman" w:cs="Times New Roman"/>
          <w:sz w:val="24"/>
          <w:szCs w:val="24"/>
          <w:vertAlign w:val="superscript"/>
        </w:rPr>
        <w:t>66</w:t>
      </w:r>
      <w:r w:rsidRPr="00D70D43">
        <w:rPr>
          <w:rFonts w:ascii="Times New Roman" w:eastAsia="Times New Roman" w:hAnsi="Times New Roman" w:cs="Times New Roman"/>
          <w:sz w:val="24"/>
          <w:szCs w:val="24"/>
        </w:rPr>
        <w:t xml:space="preserve">Zn from the third molar is relatively high (0.85‰). </w:t>
      </w:r>
      <w:r>
        <w:rPr>
          <w:rFonts w:ascii="Times New Roman" w:eastAsia="Times New Roman" w:hAnsi="Times New Roman" w:cs="Times New Roman"/>
          <w:sz w:val="24"/>
          <w:szCs w:val="24"/>
        </w:rPr>
        <w:t>It is therefore possible that the individual increased his meat consumption after the age of 13 years old.</w:t>
      </w:r>
    </w:p>
    <w:p w14:paraId="1B6AE3B0" w14:textId="276868D4" w:rsidR="001925CC" w:rsidRDefault="001925CC" w:rsidP="001925CC">
      <w:pPr>
        <w:spacing w:after="0" w:line="360" w:lineRule="auto"/>
        <w:jc w:val="both"/>
        <w:rPr>
          <w:rFonts w:ascii="Times New Roman" w:eastAsia="Times New Roman" w:hAnsi="Times New Roman" w:cs="Times New Roman"/>
          <w:sz w:val="24"/>
          <w:szCs w:val="24"/>
        </w:rPr>
      </w:pPr>
      <w:r w:rsidRPr="00D70D43">
        <w:rPr>
          <w:rFonts w:ascii="Times New Roman" w:eastAsia="Times New Roman" w:hAnsi="Times New Roman" w:cs="Times New Roman"/>
          <w:sz w:val="24"/>
          <w:szCs w:val="24"/>
        </w:rPr>
        <w:t>Interestingly, the burial of this individual was associated with seven horn cores of barbary sheep as funerary artifact</w:t>
      </w:r>
      <w:r w:rsidR="00C67A94">
        <w:rPr>
          <w:rFonts w:ascii="Times New Roman" w:eastAsia="Times New Roman" w:hAnsi="Times New Roman" w:cs="Times New Roman"/>
          <w:sz w:val="24"/>
          <w:szCs w:val="24"/>
        </w:rPr>
        <w:t>s</w:t>
      </w:r>
      <w:r w:rsidRPr="00D70D43">
        <w:rPr>
          <w:rFonts w:ascii="Times New Roman" w:eastAsia="Times New Roman" w:hAnsi="Times New Roman" w:cs="Times New Roman"/>
          <w:sz w:val="24"/>
          <w:szCs w:val="24"/>
        </w:rPr>
        <w:t xml:space="preserve"> in addition to </w:t>
      </w:r>
      <w:r w:rsidR="00C67A94">
        <w:rPr>
          <w:rFonts w:ascii="Times New Roman" w:eastAsia="Times New Roman" w:hAnsi="Times New Roman" w:cs="Times New Roman"/>
          <w:sz w:val="24"/>
          <w:szCs w:val="24"/>
        </w:rPr>
        <w:t xml:space="preserve">a </w:t>
      </w:r>
      <w:r w:rsidRPr="00D70D43">
        <w:rPr>
          <w:rFonts w:ascii="Times New Roman" w:eastAsia="Times New Roman" w:hAnsi="Times New Roman" w:cs="Times New Roman"/>
          <w:sz w:val="24"/>
          <w:szCs w:val="24"/>
        </w:rPr>
        <w:t>freshwater</w:t>
      </w:r>
      <w:r w:rsidR="00C67A94">
        <w:rPr>
          <w:rFonts w:ascii="Times New Roman" w:eastAsia="Times New Roman" w:hAnsi="Times New Roman" w:cs="Times New Roman"/>
          <w:sz w:val="24"/>
          <w:szCs w:val="24"/>
        </w:rPr>
        <w:t xml:space="preserve"> snail</w:t>
      </w:r>
      <w:r w:rsidRPr="00D70D43">
        <w:rPr>
          <w:rFonts w:ascii="Times New Roman" w:eastAsia="Times New Roman" w:hAnsi="Times New Roman" w:cs="Times New Roman"/>
          <w:sz w:val="24"/>
          <w:szCs w:val="24"/>
        </w:rPr>
        <w:t xml:space="preserve"> shell</w:t>
      </w:r>
      <w:r w:rsidR="00C67A94">
        <w:rPr>
          <w:rFonts w:ascii="Times New Roman" w:eastAsia="Times New Roman" w:hAnsi="Times New Roman" w:cs="Times New Roman"/>
          <w:sz w:val="24"/>
          <w:szCs w:val="24"/>
        </w:rPr>
        <w:t xml:space="preserve"> </w:t>
      </w:r>
      <w:r w:rsidR="00C67A94" w:rsidRPr="00C67A94">
        <w:rPr>
          <w:rFonts w:ascii="Times New Roman" w:eastAsia="Times New Roman" w:hAnsi="Times New Roman" w:cs="Times New Roman"/>
          <w:sz w:val="24"/>
          <w:szCs w:val="24"/>
        </w:rPr>
        <w:t>(</w:t>
      </w:r>
      <w:proofErr w:type="spellStart"/>
      <w:r w:rsidR="00C67A94" w:rsidRPr="00C67A94">
        <w:rPr>
          <w:rFonts w:ascii="Times New Roman" w:eastAsia="Times New Roman" w:hAnsi="Times New Roman" w:cs="Times New Roman"/>
          <w:i/>
          <w:iCs/>
          <w:sz w:val="24"/>
          <w:szCs w:val="24"/>
        </w:rPr>
        <w:t>Melanopsis</w:t>
      </w:r>
      <w:proofErr w:type="spellEnd"/>
      <w:r w:rsidR="00C67A94" w:rsidRPr="00C67A94">
        <w:rPr>
          <w:rFonts w:ascii="Times New Roman" w:eastAsia="Times New Roman" w:hAnsi="Times New Roman" w:cs="Times New Roman"/>
          <w:i/>
          <w:iCs/>
          <w:sz w:val="24"/>
          <w:szCs w:val="24"/>
        </w:rPr>
        <w:t xml:space="preserve"> sp.</w:t>
      </w:r>
      <w:r w:rsidR="00C67A94" w:rsidRPr="00C67A94">
        <w:rPr>
          <w:rFonts w:ascii="Times New Roman" w:eastAsia="Times New Roman" w:hAnsi="Times New Roman" w:cs="Times New Roman"/>
          <w:sz w:val="24"/>
          <w:szCs w:val="24"/>
        </w:rPr>
        <w:t>)</w:t>
      </w:r>
      <w:r w:rsidR="00565BC1">
        <w:rPr>
          <w:rFonts w:ascii="Times New Roman" w:eastAsia="Times New Roman" w:hAnsi="Times New Roman" w:cs="Times New Roman"/>
          <w:sz w:val="24"/>
          <w:szCs w:val="24"/>
        </w:rPr>
        <w:t>.</w:t>
      </w:r>
      <w:r w:rsidRPr="00D70D43">
        <w:rPr>
          <w:rFonts w:ascii="Times New Roman" w:eastAsia="Times New Roman" w:hAnsi="Times New Roman" w:cs="Times New Roman"/>
          <w:sz w:val="24"/>
          <w:szCs w:val="24"/>
        </w:rPr>
        <w:t xml:space="preserve"> In addition, 85% of his remaining teeth were affected by caries and periodontal diseases </w:t>
      </w:r>
      <w:r w:rsidR="00565BC1">
        <w:rPr>
          <w:rFonts w:ascii="Times New Roman" w:eastAsia="Times New Roman" w:hAnsi="Times New Roman" w:cs="Times New Roman"/>
          <w:sz w:val="24"/>
          <w:szCs w:val="24"/>
        </w:rPr>
        <w:fldChar w:fldCharType="begin"/>
      </w:r>
      <w:r w:rsidR="009C1161">
        <w:rPr>
          <w:rFonts w:ascii="Times New Roman" w:eastAsia="Times New Roman" w:hAnsi="Times New Roman" w:cs="Times New Roman"/>
          <w:sz w:val="24"/>
          <w:szCs w:val="24"/>
        </w:rPr>
        <w:instrText xml:space="preserve"> ADDIN ZOTERO_ITEM CSL_CITATION {"citationID":"k3o5Fw8U","properties":{"formattedCitation":"\\super 1\\nosupersub{}","plainCitation":"1","noteIndex":0},"citationItems":[{"id":114,"uris":["http://zotero.org/users/7125028/items/Z5E44YNM"],"itemData":{"id":114,"type":"article-journal","container-title":"Monographien des RGZM","DOI":"10.11588/PROPYLAEUM.734","note":"publisher: University Library Heidelberg\nversion: 1","source":"DOI.org (Datacite)","title":"Cemeteries and Sedentism in the Later Stone Age of NW Africa: Excavations at Grotte des Pigeons, Taforalt, Morocco","title-short":"Cemeteries and Sedentism in the Later Stone Age of NW Africa","URL":"https://books.ub.uni-heidelberg.de/index.php/propylaeum/catalog/book/734","author":[{"family":"Barton","given":"R. Nicholas E."}],"accessed":{"date-parts":[["2021",7,23]]},"issued":{"date-parts":[["2020"]]}}}],"schema":"https://github.com/citation-style-language/schema/raw/master/csl-citation.json"} </w:instrText>
      </w:r>
      <w:r w:rsidR="00565BC1">
        <w:rPr>
          <w:rFonts w:ascii="Times New Roman" w:eastAsia="Times New Roman" w:hAnsi="Times New Roman" w:cs="Times New Roman"/>
          <w:sz w:val="24"/>
          <w:szCs w:val="24"/>
        </w:rPr>
        <w:fldChar w:fldCharType="separate"/>
      </w:r>
      <w:r w:rsidR="009C1161" w:rsidRPr="009C1161">
        <w:rPr>
          <w:rFonts w:ascii="Times New Roman" w:hAnsi="Times New Roman" w:cs="Times New Roman"/>
          <w:sz w:val="24"/>
          <w:szCs w:val="24"/>
          <w:vertAlign w:val="superscript"/>
        </w:rPr>
        <w:t>1</w:t>
      </w:r>
      <w:r w:rsidR="00565BC1">
        <w:rPr>
          <w:rFonts w:ascii="Times New Roman" w:eastAsia="Times New Roman" w:hAnsi="Times New Roman" w:cs="Times New Roman"/>
          <w:sz w:val="24"/>
          <w:szCs w:val="24"/>
        </w:rPr>
        <w:fldChar w:fldCharType="end"/>
      </w:r>
      <w:r w:rsidRPr="00D70D4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D70D4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presence of enamel hypoplasia on his teeth indicates that he suffered from stress around 13 years which coincides with the beginning of the formation of the root of his M3</w:t>
      </w:r>
      <w:r w:rsidR="00C67A94">
        <w:rPr>
          <w:rFonts w:ascii="Times New Roman" w:eastAsia="Times New Roman" w:hAnsi="Times New Roman" w:cs="Times New Roman"/>
          <w:sz w:val="24"/>
          <w:szCs w:val="24"/>
        </w:rPr>
        <w:t>.</w:t>
      </w:r>
    </w:p>
    <w:p w14:paraId="72B75030" w14:textId="77777777" w:rsidR="00A478A0" w:rsidRDefault="00A478A0" w:rsidP="001925CC">
      <w:pPr>
        <w:spacing w:after="0" w:line="360" w:lineRule="auto"/>
        <w:jc w:val="both"/>
        <w:rPr>
          <w:rFonts w:ascii="Times New Roman" w:eastAsia="Times New Roman" w:hAnsi="Times New Roman" w:cs="Times New Roman"/>
          <w:sz w:val="24"/>
          <w:szCs w:val="24"/>
        </w:rPr>
      </w:pPr>
    </w:p>
    <w:p w14:paraId="6EAD882A" w14:textId="0942E722" w:rsidR="001925CC" w:rsidRDefault="001925CC" w:rsidP="001925C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Individual 14: </w:t>
      </w:r>
      <w:r w:rsidR="00A478A0">
        <w:rPr>
          <w:rFonts w:ascii="Times New Roman" w:hAnsi="Times New Roman" w:cs="Times New Roman"/>
          <w:b/>
          <w:sz w:val="24"/>
          <w:szCs w:val="24"/>
        </w:rPr>
        <w:t xml:space="preserve">a male individual with a </w:t>
      </w:r>
      <w:r w:rsidR="00547113">
        <w:rPr>
          <w:rFonts w:ascii="Times New Roman" w:hAnsi="Times New Roman" w:cs="Times New Roman"/>
          <w:b/>
          <w:sz w:val="24"/>
          <w:szCs w:val="24"/>
        </w:rPr>
        <w:t>plant-based</w:t>
      </w:r>
      <w:r w:rsidR="00A478A0">
        <w:rPr>
          <w:rFonts w:ascii="Times New Roman" w:hAnsi="Times New Roman" w:cs="Times New Roman"/>
          <w:b/>
          <w:sz w:val="24"/>
          <w:szCs w:val="24"/>
        </w:rPr>
        <w:t xml:space="preserve"> diet </w:t>
      </w:r>
    </w:p>
    <w:p w14:paraId="3E205997" w14:textId="48C7FE59" w:rsidR="001925CC" w:rsidRPr="00547113" w:rsidRDefault="001925CC" w:rsidP="00547113">
      <w:pPr>
        <w:pStyle w:val="Commentaire"/>
        <w:spacing w:line="360" w:lineRule="auto"/>
        <w:rPr>
          <w:rFonts w:asciiTheme="majorBidi" w:hAnsiTheme="majorBidi" w:cstheme="majorBidi"/>
          <w:sz w:val="24"/>
          <w:szCs w:val="24"/>
        </w:rPr>
      </w:pPr>
      <w:r w:rsidRPr="00547113">
        <w:rPr>
          <w:rFonts w:asciiTheme="majorBidi" w:hAnsiTheme="majorBidi" w:cstheme="majorBidi"/>
          <w:sz w:val="24"/>
          <w:szCs w:val="24"/>
        </w:rPr>
        <w:t>Individual 14 is also a male with an age-at death of 18-20 years. No collagen was preserved in the tooth samples.</w:t>
      </w:r>
      <w:r w:rsidRPr="00547113">
        <w:rPr>
          <w:rFonts w:asciiTheme="majorBidi" w:hAnsiTheme="majorBidi" w:cstheme="majorBidi"/>
          <w:color w:val="000000"/>
          <w:sz w:val="24"/>
          <w:szCs w:val="24"/>
        </w:rPr>
        <w:t xml:space="preserve"> The tooth enamel of the P4 sampled for the Zn and Sr is formed between 2.5 and 7 years, which is unlikely reflecting breastfeeding. The </w:t>
      </w:r>
      <w:r w:rsidRPr="00547113">
        <w:rPr>
          <w:rFonts w:asciiTheme="majorBidi" w:eastAsia="Times New Roman" w:hAnsiTheme="majorBidi" w:cstheme="majorBidi"/>
          <w:sz w:val="24"/>
          <w:szCs w:val="24"/>
        </w:rPr>
        <w:t>δ</w:t>
      </w:r>
      <w:r w:rsidRPr="00547113">
        <w:rPr>
          <w:rFonts w:asciiTheme="majorBidi" w:eastAsia="Times New Roman" w:hAnsiTheme="majorBidi" w:cstheme="majorBidi"/>
          <w:sz w:val="24"/>
          <w:szCs w:val="24"/>
          <w:vertAlign w:val="superscript"/>
        </w:rPr>
        <w:t>66</w:t>
      </w:r>
      <w:r w:rsidRPr="00547113">
        <w:rPr>
          <w:rFonts w:asciiTheme="majorBidi" w:eastAsia="Times New Roman" w:hAnsiTheme="majorBidi" w:cstheme="majorBidi"/>
          <w:sz w:val="24"/>
          <w:szCs w:val="24"/>
        </w:rPr>
        <w:t>Zn value of this individual is relatively high (0.92‰</w:t>
      </w:r>
      <w:r w:rsidR="00C90136" w:rsidRPr="00547113">
        <w:rPr>
          <w:rFonts w:asciiTheme="majorBidi" w:eastAsia="Times New Roman" w:hAnsiTheme="majorBidi" w:cstheme="majorBidi"/>
          <w:sz w:val="24"/>
          <w:szCs w:val="24"/>
        </w:rPr>
        <w:t>,</w:t>
      </w:r>
      <w:r w:rsidRPr="00547113">
        <w:rPr>
          <w:rFonts w:asciiTheme="majorBidi" w:eastAsia="Times New Roman" w:hAnsiTheme="majorBidi" w:cstheme="majorBidi"/>
          <w:sz w:val="24"/>
          <w:szCs w:val="24"/>
        </w:rPr>
        <w:t xml:space="preserve">) indicating an important consumption of plant foods. </w:t>
      </w:r>
      <w:r w:rsidR="00547113" w:rsidRPr="00547113">
        <w:rPr>
          <w:rFonts w:asciiTheme="majorBidi" w:hAnsiTheme="majorBidi" w:cstheme="majorBidi"/>
          <w:sz w:val="24"/>
          <w:szCs w:val="24"/>
        </w:rPr>
        <w:t>It is worth mentioning that half of a bivalve marine mollusk shell was associated with the remains of this individual</w:t>
      </w:r>
      <w:r w:rsidR="00547113">
        <w:rPr>
          <w:rFonts w:asciiTheme="majorBidi" w:hAnsiTheme="majorBidi" w:cstheme="majorBidi"/>
          <w:sz w:val="24"/>
          <w:szCs w:val="24"/>
        </w:rPr>
        <w:t xml:space="preserve"> </w:t>
      </w:r>
      <w:r w:rsidR="00547113" w:rsidRPr="00547113">
        <w:rPr>
          <w:rFonts w:asciiTheme="majorBidi" w:eastAsia="Times New Roman" w:hAnsiTheme="majorBidi" w:cstheme="majorBidi"/>
          <w:sz w:val="24"/>
          <w:szCs w:val="24"/>
        </w:rPr>
        <w:t>(</w:t>
      </w:r>
      <w:proofErr w:type="spellStart"/>
      <w:r w:rsidR="00547113" w:rsidRPr="00547113">
        <w:rPr>
          <w:rFonts w:asciiTheme="majorBidi" w:eastAsia="Times New Roman" w:hAnsiTheme="majorBidi" w:cstheme="majorBidi"/>
          <w:i/>
          <w:iCs/>
          <w:sz w:val="24"/>
          <w:szCs w:val="24"/>
        </w:rPr>
        <w:t>Glycymeris</w:t>
      </w:r>
      <w:proofErr w:type="spellEnd"/>
      <w:r w:rsidR="00547113" w:rsidRPr="00547113">
        <w:rPr>
          <w:rFonts w:asciiTheme="majorBidi" w:eastAsia="Times New Roman" w:hAnsiTheme="majorBidi" w:cstheme="majorBidi"/>
          <w:i/>
          <w:iCs/>
          <w:sz w:val="24"/>
          <w:szCs w:val="24"/>
        </w:rPr>
        <w:t xml:space="preserve"> </w:t>
      </w:r>
      <w:proofErr w:type="spellStart"/>
      <w:r w:rsidR="00547113" w:rsidRPr="00547113">
        <w:rPr>
          <w:rFonts w:asciiTheme="majorBidi" w:eastAsia="Times New Roman" w:hAnsiTheme="majorBidi" w:cstheme="majorBidi"/>
          <w:i/>
          <w:iCs/>
          <w:sz w:val="24"/>
          <w:szCs w:val="24"/>
        </w:rPr>
        <w:t>nummaria</w:t>
      </w:r>
      <w:proofErr w:type="spellEnd"/>
      <w:r w:rsidR="00547113" w:rsidRPr="00547113">
        <w:rPr>
          <w:rFonts w:asciiTheme="majorBidi" w:eastAsia="Times New Roman" w:hAnsiTheme="majorBidi" w:cstheme="majorBidi"/>
          <w:sz w:val="24"/>
          <w:szCs w:val="24"/>
        </w:rPr>
        <w:t xml:space="preserve">) </w:t>
      </w:r>
      <w:r w:rsidR="001B7B4A" w:rsidRPr="00547113">
        <w:rPr>
          <w:rFonts w:asciiTheme="majorBidi" w:eastAsia="Times New Roman" w:hAnsiTheme="majorBidi" w:cstheme="majorBidi"/>
          <w:sz w:val="24"/>
          <w:szCs w:val="24"/>
        </w:rPr>
        <w:fldChar w:fldCharType="begin"/>
      </w:r>
      <w:r w:rsidR="000475E4">
        <w:rPr>
          <w:rFonts w:asciiTheme="majorBidi" w:eastAsia="Times New Roman" w:hAnsiTheme="majorBidi" w:cstheme="majorBidi"/>
          <w:sz w:val="24"/>
          <w:szCs w:val="24"/>
        </w:rPr>
        <w:instrText xml:space="preserve"> ADDIN ZOTERO_ITEM CSL_CITATION {"citationID":"WYiqc5hp","properties":{"formattedCitation":"\\super 6\\nosupersub{}","plainCitation":"6","noteIndex":0},"citationItems":[{"id":895,"uris":["http://zotero.org/users/7125028/items/LNAKZ2VD"],"itemData":{"id":895,"type":"chapter","container-title":"Cemeteries and Sedentism in the Later Stone Age of NW Africa: Excavations at Grotte des Pigeons, Taforalt, Morocco","page":"444-482","publisher":"Monographien des Römisch-Germanischen Zentralmuseums","title":"HUMAN BURIAL EVIDENCE","author":[{"family":"Humphrey","given":"Louise"},{"family":"Freyne","given":"Alison"},{"family":"Berridge","given":"Peter"},{"family":"Berridge","given":"Paul"}],"issued":{"date-parts":[["2019"]]}}}],"schema":"https://github.com/citation-style-language/schema/raw/master/csl-citation.json"} </w:instrText>
      </w:r>
      <w:r w:rsidR="001B7B4A" w:rsidRPr="00547113">
        <w:rPr>
          <w:rFonts w:asciiTheme="majorBidi" w:eastAsia="Times New Roman" w:hAnsiTheme="majorBidi" w:cstheme="majorBidi"/>
          <w:sz w:val="24"/>
          <w:szCs w:val="24"/>
        </w:rPr>
        <w:fldChar w:fldCharType="separate"/>
      </w:r>
      <w:r w:rsidR="000475E4" w:rsidRPr="000475E4">
        <w:rPr>
          <w:rFonts w:ascii="Times New Roman" w:hAnsi="Times New Roman" w:cs="Times New Roman"/>
          <w:sz w:val="24"/>
          <w:szCs w:val="24"/>
          <w:vertAlign w:val="superscript"/>
        </w:rPr>
        <w:t>6</w:t>
      </w:r>
      <w:r w:rsidR="001B7B4A" w:rsidRPr="00547113">
        <w:rPr>
          <w:rFonts w:asciiTheme="majorBidi" w:eastAsia="Times New Roman" w:hAnsiTheme="majorBidi" w:cstheme="majorBidi"/>
          <w:sz w:val="24"/>
          <w:szCs w:val="24"/>
        </w:rPr>
        <w:fldChar w:fldCharType="end"/>
      </w:r>
      <w:r w:rsidRPr="00547113">
        <w:rPr>
          <w:rFonts w:asciiTheme="majorBidi" w:eastAsia="Times New Roman" w:hAnsiTheme="majorBidi" w:cstheme="majorBidi"/>
          <w:sz w:val="24"/>
          <w:szCs w:val="24"/>
        </w:rPr>
        <w:t xml:space="preserve">. </w:t>
      </w:r>
      <w:r w:rsidR="00B843BB" w:rsidRPr="00547113">
        <w:rPr>
          <w:rFonts w:asciiTheme="majorBidi" w:eastAsia="Times New Roman" w:hAnsiTheme="majorBidi" w:cstheme="majorBidi"/>
          <w:sz w:val="24"/>
          <w:szCs w:val="24"/>
        </w:rPr>
        <w:t>The occurrence of marine shells in the burial area of the cave</w:t>
      </w:r>
      <w:r w:rsidR="00B843BB">
        <w:rPr>
          <w:rFonts w:ascii="Times New Roman" w:eastAsia="Times New Roman" w:hAnsi="Times New Roman" w:cs="Times New Roman"/>
          <w:sz w:val="24"/>
          <w:szCs w:val="24"/>
        </w:rPr>
        <w:t xml:space="preserve"> rather than the </w:t>
      </w:r>
      <w:r w:rsidR="0068060B">
        <w:rPr>
          <w:rFonts w:ascii="Times New Roman" w:eastAsia="Times New Roman" w:hAnsi="Times New Roman" w:cs="Times New Roman"/>
          <w:sz w:val="24"/>
          <w:szCs w:val="24"/>
        </w:rPr>
        <w:t xml:space="preserve">entrance of the cave indicate that </w:t>
      </w:r>
      <w:r w:rsidR="007C2064">
        <w:rPr>
          <w:rFonts w:ascii="Times New Roman" w:eastAsia="Times New Roman" w:hAnsi="Times New Roman" w:cs="Times New Roman"/>
          <w:sz w:val="24"/>
          <w:szCs w:val="24"/>
        </w:rPr>
        <w:t xml:space="preserve">it was used as a </w:t>
      </w:r>
      <w:r w:rsidR="00716CC2">
        <w:rPr>
          <w:rFonts w:ascii="Times New Roman" w:eastAsia="Times New Roman" w:hAnsi="Times New Roman" w:cs="Times New Roman"/>
          <w:sz w:val="24"/>
          <w:szCs w:val="24"/>
        </w:rPr>
        <w:t>funerary object</w:t>
      </w:r>
      <w:r w:rsidR="00062C71">
        <w:rPr>
          <w:rFonts w:ascii="Times New Roman" w:eastAsia="Times New Roman" w:hAnsi="Times New Roman" w:cs="Times New Roman"/>
          <w:sz w:val="24"/>
          <w:szCs w:val="24"/>
        </w:rPr>
        <w:t xml:space="preserve">. Our isotopic analyses also show the absence/rare of marine food consumption for all the </w:t>
      </w:r>
      <w:r w:rsidR="006F0490">
        <w:rPr>
          <w:rFonts w:ascii="Times New Roman" w:eastAsia="Times New Roman" w:hAnsi="Times New Roman" w:cs="Times New Roman"/>
          <w:sz w:val="24"/>
          <w:szCs w:val="24"/>
        </w:rPr>
        <w:t>analyses</w:t>
      </w:r>
      <w:r w:rsidR="00062C71">
        <w:rPr>
          <w:rFonts w:ascii="Times New Roman" w:eastAsia="Times New Roman" w:hAnsi="Times New Roman" w:cs="Times New Roman"/>
          <w:sz w:val="24"/>
          <w:szCs w:val="24"/>
        </w:rPr>
        <w:t xml:space="preserve"> individuals. </w:t>
      </w:r>
      <w:r w:rsidR="00F15554">
        <w:rPr>
          <w:rFonts w:ascii="Times New Roman" w:eastAsia="Times New Roman" w:hAnsi="Times New Roman" w:cs="Times New Roman"/>
          <w:sz w:val="24"/>
          <w:szCs w:val="24"/>
        </w:rPr>
        <w:t xml:space="preserve"> The shells possibly were used as ornaments or grave goods that accompanied the grave of the disease. </w:t>
      </w:r>
      <w:r>
        <w:rPr>
          <w:rFonts w:ascii="Times New Roman" w:eastAsia="Times New Roman" w:hAnsi="Times New Roman" w:cs="Times New Roman"/>
          <w:sz w:val="24"/>
          <w:szCs w:val="24"/>
        </w:rPr>
        <w:t>Moreover, a grindstone and a pestle were found in his burial. Caries are present in 42% of the remaining teeth of this individual in addition to alveolar resorption in three teeth</w:t>
      </w:r>
      <w:r w:rsidR="0061227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tooth analyzed for this individual is impressively full of hypoplasia</w:t>
      </w:r>
      <w:r w:rsidR="00612276">
        <w:rPr>
          <w:rFonts w:ascii="Times New Roman" w:eastAsia="Times New Roman" w:hAnsi="Times New Roman" w:cs="Times New Roman"/>
          <w:sz w:val="24"/>
          <w:szCs w:val="24"/>
        </w:rPr>
        <w:t xml:space="preserve"> (Supplementary information 7)</w:t>
      </w:r>
      <w:r>
        <w:rPr>
          <w:rFonts w:ascii="Times New Roman" w:eastAsia="Times New Roman" w:hAnsi="Times New Roman" w:cs="Times New Roman"/>
          <w:sz w:val="24"/>
          <w:szCs w:val="24"/>
        </w:rPr>
        <w:t xml:space="preserve">. This period could extend from around 4 to 10 years. </w:t>
      </w:r>
    </w:p>
    <w:p w14:paraId="7A19B82A" w14:textId="2CB1409B" w:rsidR="001925CC" w:rsidRDefault="001925CC" w:rsidP="001925C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Individual 6:</w:t>
      </w:r>
      <w:r w:rsidR="00C90136">
        <w:rPr>
          <w:rFonts w:ascii="Times New Roman" w:hAnsi="Times New Roman" w:cs="Times New Roman"/>
          <w:b/>
          <w:sz w:val="24"/>
          <w:szCs w:val="24"/>
        </w:rPr>
        <w:t xml:space="preserve"> a male infant </w:t>
      </w:r>
      <w:r w:rsidR="00DC7C27">
        <w:rPr>
          <w:rFonts w:ascii="Times New Roman" w:hAnsi="Times New Roman" w:cs="Times New Roman"/>
          <w:b/>
          <w:sz w:val="24"/>
          <w:szCs w:val="24"/>
        </w:rPr>
        <w:t xml:space="preserve">with an early introduction of solid food in diet </w:t>
      </w:r>
    </w:p>
    <w:p w14:paraId="47BB19F2" w14:textId="2779E41B" w:rsidR="001925CC" w:rsidRDefault="001925CC" w:rsidP="001925C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Individual 6 is an infant male that died within the first year of his life (6-12 months). This infant had significant TP change during his short life. His deciduous, m2 is formed between 18 weeks </w:t>
      </w:r>
      <w:r>
        <w:rPr>
          <w:rFonts w:ascii="Times New Roman" w:hAnsi="Times New Roman" w:cs="Times New Roman"/>
          <w:i/>
          <w:sz w:val="24"/>
          <w:szCs w:val="24"/>
        </w:rPr>
        <w:t xml:space="preserve">In Utero </w:t>
      </w:r>
      <w:r>
        <w:rPr>
          <w:rFonts w:ascii="Times New Roman" w:hAnsi="Times New Roman" w:cs="Times New Roman"/>
          <w:sz w:val="24"/>
          <w:szCs w:val="24"/>
        </w:rPr>
        <w:t>and 3 years. For this individual the root of this tooth was not totally formed (only 1/3 of</w:t>
      </w:r>
      <w:r w:rsidR="00612276">
        <w:rPr>
          <w:rFonts w:ascii="Times New Roman" w:hAnsi="Times New Roman" w:cs="Times New Roman"/>
          <w:sz w:val="24"/>
          <w:szCs w:val="24"/>
        </w:rPr>
        <w:t xml:space="preserve"> </w:t>
      </w:r>
      <w:r>
        <w:rPr>
          <w:rFonts w:ascii="Times New Roman" w:hAnsi="Times New Roman" w:cs="Times New Roman"/>
          <w:sz w:val="24"/>
          <w:szCs w:val="24"/>
        </w:rPr>
        <w:t xml:space="preserve">the root formed) therefore only reflecting the first year of his life since he died around 6-12 </w:t>
      </w:r>
      <w:r w:rsidR="004B37D1">
        <w:rPr>
          <w:rFonts w:ascii="Times New Roman" w:hAnsi="Times New Roman" w:cs="Times New Roman"/>
          <w:sz w:val="24"/>
          <w:szCs w:val="24"/>
        </w:rPr>
        <w:t>months.</w:t>
      </w:r>
      <w:r>
        <w:rPr>
          <w:rFonts w:ascii="Times New Roman" w:hAnsi="Times New Roman" w:cs="Times New Roman"/>
          <w:sz w:val="24"/>
          <w:szCs w:val="24"/>
        </w:rPr>
        <w:t xml:space="preserve"> The tooth has a TP of 2.8 clearly reflecting breastfeeding. Similarly, a high value is recorded on his long bone collagen (2.9). It is expected for breastfed infants to be one trophic level above the mother </w:t>
      </w:r>
      <w:r w:rsidR="000F50BD">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{"citationID":"LVaVMw5h","properties":{"formattedCitation":"\\super 90\\nosupersub{}","plainCitation":"90","noteIndex":0},"citationItems":[{"id":743,"uris":["http://zotero.org/users/7125028/items/3YKHY82S"],"itemData":{"id":743,"type":"article-journal","abstract":"Carbon (13C/12C) and nitrogen (15N/14N) stable isotope ratios were longitudinally measured in fingernail and hair samples from mother-infant pairs where infants were exclusively breastfed (n = 5), breast- and formula-fed (n = 2), or exclusively formula-fed (n = 1) from birth. All exclusively breastfed infants had a dual enrichment in carbon (≈1‰) and nitrogen (≈2–3‰) when compared to maternal values. In contrast, breast- and formula-fed subjects had reduced enrichments compared to exclusively breastfed subjects, and the exclusively formula-fed infant showed no increase in δ13C or δ15N values. This finding of a carbon trophic level effect in breastfeeding infants suggests that 13C-enrichments of approximately 1‰ in archaeological populations are not necessarily the result of the consumption of C4-based weaning foods such as maize or millet. During the weaning process, the δ13C results for breastfed infants declined to maternal levels more rapidly than the δ15N results. This suggests that δ13C values have the potential to track the introduction of solid foods into the diet, whereas δ15N values monitor the length of time of breast milk consumption. These findings can be used to refine the isotopic analysis of breastfeeding and weaning patterns in past and modern populations. Am J Phys Anthropol, 2006. © 2005 Wiley-Liss, Inc.","container-title":"American Journal of Physical Anthropology","DOI":"10.1002/ajpa.20249","ISSN":"1096-8644","issue":"2","language":"en","note":"_eprint: https://onlinelibrary.wiley.com/doi/pdf/10.1002/ajpa.20249","page":"279-293","source":"Wiley Online Library","title":"Detection of breastfeeding and weaning in modern human infants with carbon and nitrogen stable isotope ratios","volume":"129","author":[{"family":"Fuller","given":"B.t."},{"family":"Fuller","given":"J.l."},{"family":"Harris","given":"D.a."},{"family":"Hedges","given":"R.e.m."}],"issued":{"date-parts":[["2006"]]}}}],"schema":"https://github.com/citation-style-language/schema/raw/master/csl-citation.json"} </w:instrText>
      </w:r>
      <w:r w:rsidR="000F50BD">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90</w:t>
      </w:r>
      <w:r w:rsidR="000F50BD">
        <w:rPr>
          <w:rFonts w:ascii="Times New Roman" w:hAnsi="Times New Roman" w:cs="Times New Roman"/>
          <w:sz w:val="24"/>
          <w:szCs w:val="24"/>
        </w:rPr>
        <w:fldChar w:fldCharType="end"/>
      </w:r>
      <w:r>
        <w:rPr>
          <w:rFonts w:ascii="Times New Roman" w:hAnsi="Times New Roman" w:cs="Times New Roman"/>
          <w:sz w:val="24"/>
          <w:szCs w:val="24"/>
        </w:rPr>
        <w:t xml:space="preserve">. However, his rib bone collagen TP (2.5) reflects a significant decrease in the trophic </w:t>
      </w:r>
      <w:r>
        <w:rPr>
          <w:rFonts w:ascii="Times New Roman" w:hAnsi="Times New Roman" w:cs="Times New Roman"/>
          <w:sz w:val="24"/>
          <w:szCs w:val="24"/>
        </w:rPr>
        <w:lastRenderedPageBreak/>
        <w:t>level prior to death. Since rib bones have a faster bone remodeling it is possible that they recorded the very last period of this infant life. We suggest tha</w:t>
      </w:r>
      <w:r w:rsidR="000F5D4A">
        <w:rPr>
          <w:rFonts w:ascii="Times New Roman" w:hAnsi="Times New Roman" w:cs="Times New Roman"/>
          <w:sz w:val="24"/>
          <w:szCs w:val="24"/>
        </w:rPr>
        <w:t>t for</w:t>
      </w:r>
      <w:r>
        <w:rPr>
          <w:rFonts w:ascii="Times New Roman" w:hAnsi="Times New Roman" w:cs="Times New Roman"/>
          <w:sz w:val="24"/>
          <w:szCs w:val="24"/>
        </w:rPr>
        <w:t xml:space="preserve"> this individual wean</w:t>
      </w:r>
      <w:r w:rsidR="000F5D4A">
        <w:rPr>
          <w:rFonts w:ascii="Times New Roman" w:hAnsi="Times New Roman" w:cs="Times New Roman"/>
          <w:sz w:val="24"/>
          <w:szCs w:val="24"/>
        </w:rPr>
        <w:t xml:space="preserve">ing started </w:t>
      </w:r>
      <w:r>
        <w:rPr>
          <w:rFonts w:ascii="Times New Roman" w:hAnsi="Times New Roman" w:cs="Times New Roman"/>
          <w:sz w:val="24"/>
          <w:szCs w:val="24"/>
        </w:rPr>
        <w:t>before the age of 1 year with an early introduction of adult’s foodstuff into his diet. An early weaning is usually unexpected among hunter-gatherer societies as they have prolonged breastfeeding periods due to the lack of suitable food for weaning</w:t>
      </w:r>
      <w:r w:rsidR="00612276">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{"citationID":"ZbEM8zci","properties":{"formattedCitation":"\\super 98\\nosupersub{}","plainCitation":"98","noteIndex":0},"citationItems":[{"id":162,"uris":["http://zotero.org/users/7125028/items/7YXSXUAZ"],"itemData":{"id":162,"type":"article-journal","abstract":"We report here new evidence for human subsistence from stable isotope analysis of humans and fauna from Catalhöyük. The analyses complement other lines of subsistence evidence, and indicate that, contrary to the original excavator James Mellaart's assertion (Mellaart, 1975), cattle was unlikely to have been the main source of dietary protein for all occupants. The analyses have also indicated the incorporation of C4 plants into diets, which was previously unrecognized. In addition, the stable isotope measurements of juveniles have provided an indication of the age of weaning in this Early Neolithic society.","container-title":"Journal of Archaeological Science","DOI":"10.1006/jasc.2001.0825","journalAbbreviation":"Journal of Archaeological Science","source":"ResearchGate","title":"Stable Isotope Evidence of Diet at Neolithic Çatalhöyük, Turkey","volume":"30","author":[{"family":"Richards","given":"Michael"},{"family":"Pearson","given":"J."},{"family":"Molleson","given":"T"},{"family":"Russell","given":"Nerissa"},{"family":"Martin","given":"Louise"}],"issued":{"date-parts":[["2003",1,31]]}}}],"schema":"https://github.com/citation-style-language/schema/raw/master/csl-citation.json"} </w:instrText>
      </w:r>
      <w:r w:rsidR="00612276">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98</w:t>
      </w:r>
      <w:r w:rsidR="00612276">
        <w:rPr>
          <w:rFonts w:ascii="Times New Roman" w:hAnsi="Times New Roman" w:cs="Times New Roman"/>
          <w:sz w:val="24"/>
          <w:szCs w:val="24"/>
        </w:rPr>
        <w:fldChar w:fldCharType="end"/>
      </w:r>
      <w:r w:rsidR="00612276">
        <w:rPr>
          <w:rFonts w:ascii="Times New Roman" w:hAnsi="Times New Roman" w:cs="Times New Roman"/>
          <w:sz w:val="24"/>
          <w:szCs w:val="24"/>
        </w:rPr>
        <w:t xml:space="preserve">. </w:t>
      </w:r>
      <w:r>
        <w:rPr>
          <w:rFonts w:ascii="Times New Roman" w:hAnsi="Times New Roman" w:cs="Times New Roman"/>
          <w:sz w:val="24"/>
          <w:szCs w:val="24"/>
        </w:rPr>
        <w:t xml:space="preserve">We propose that plant food could have been used to wean infants </w:t>
      </w:r>
      <w:r w:rsidR="00021CB8">
        <w:rPr>
          <w:rFonts w:ascii="Times New Roman" w:hAnsi="Times New Roman" w:cs="Times New Roman"/>
          <w:sz w:val="24"/>
          <w:szCs w:val="24"/>
        </w:rPr>
        <w:t>at</w:t>
      </w:r>
      <w:r>
        <w:rPr>
          <w:rFonts w:ascii="Times New Roman" w:hAnsi="Times New Roman" w:cs="Times New Roman"/>
          <w:sz w:val="24"/>
          <w:szCs w:val="24"/>
        </w:rPr>
        <w:t xml:space="preserve"> this site. This sudden change in trophic position was not detected using the </w:t>
      </w:r>
      <w:r>
        <w:rPr>
          <w:rStyle w:val="Accentuation"/>
          <w:rFonts w:ascii="Times New Roman" w:hAnsi="Times New Roman" w:cs="Times New Roman"/>
          <w:sz w:val="24"/>
          <w:szCs w:val="24"/>
        </w:rPr>
        <w:t>δ</w:t>
      </w:r>
      <w:r>
        <w:rPr>
          <w:rFonts w:ascii="Times New Roman" w:hAnsi="Times New Roman" w:cs="Times New Roman"/>
          <w:sz w:val="24"/>
          <w:szCs w:val="24"/>
          <w:vertAlign w:val="superscript"/>
        </w:rPr>
        <w:t>15</w:t>
      </w:r>
      <w:r>
        <w:rPr>
          <w:rFonts w:ascii="Times New Roman" w:hAnsi="Times New Roman" w:cs="Times New Roman"/>
          <w:sz w:val="24"/>
          <w:szCs w:val="24"/>
        </w:rPr>
        <w:t>N</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from the bulk of collagen, especially between the two bone tissues. </w:t>
      </w:r>
    </w:p>
    <w:p w14:paraId="6FDF27F6" w14:textId="2833E9D3" w:rsidR="001925CC" w:rsidRDefault="001925CC" w:rsidP="001925CC">
      <w:pPr>
        <w:spacing w:after="0" w:line="36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The </w:t>
      </w:r>
      <w:r>
        <w:rPr>
          <w:rFonts w:ascii="Times New Roman" w:eastAsia="Times New Roman" w:hAnsi="Times New Roman" w:cs="Times New Roman"/>
          <w:sz w:val="24"/>
          <w:szCs w:val="24"/>
        </w:rPr>
        <w:t>beginning of the formation of his di1 shows a relatively lower δ</w:t>
      </w:r>
      <w:r>
        <w:rPr>
          <w:rFonts w:ascii="Times New Roman" w:eastAsia="Times New Roman" w:hAnsi="Times New Roman" w:cs="Times New Roman"/>
          <w:sz w:val="24"/>
          <w:szCs w:val="24"/>
          <w:vertAlign w:val="superscript"/>
        </w:rPr>
        <w:t>66</w:t>
      </w:r>
      <w:r>
        <w:rPr>
          <w:rFonts w:ascii="Times New Roman" w:eastAsia="Times New Roman" w:hAnsi="Times New Roman" w:cs="Times New Roman"/>
          <w:sz w:val="24"/>
          <w:szCs w:val="24"/>
        </w:rPr>
        <w:t xml:space="preserve">Zn value (0.76‰) than the end of the formation of his dm2 (1.03‰). </w:t>
      </w:r>
      <w:r>
        <w:rPr>
          <w:rFonts w:ascii="Times New Roman" w:hAnsi="Times New Roman" w:cs="Times New Roman"/>
          <w:color w:val="000000"/>
          <w:sz w:val="24"/>
          <w:szCs w:val="24"/>
        </w:rPr>
        <w:t xml:space="preserve">The range of enamel analyzed for zinc and strontium for this individual are formed between 18 weeks </w:t>
      </w:r>
      <w:r>
        <w:rPr>
          <w:rFonts w:ascii="Times New Roman" w:hAnsi="Times New Roman" w:cs="Times New Roman"/>
          <w:i/>
          <w:color w:val="000000"/>
          <w:sz w:val="24"/>
          <w:szCs w:val="24"/>
        </w:rPr>
        <w:t>in utero</w:t>
      </w:r>
      <w:r>
        <w:rPr>
          <w:rFonts w:ascii="Times New Roman" w:hAnsi="Times New Roman" w:cs="Times New Roman"/>
          <w:color w:val="000000"/>
          <w:sz w:val="24"/>
          <w:szCs w:val="24"/>
        </w:rPr>
        <w:t xml:space="preserve"> (di1) and 10 months (dm2). We suggest that the deciduous incisive, formed </w:t>
      </w:r>
      <w:r>
        <w:rPr>
          <w:rFonts w:ascii="Times New Roman" w:hAnsi="Times New Roman" w:cs="Times New Roman"/>
          <w:i/>
          <w:color w:val="000000"/>
          <w:sz w:val="24"/>
          <w:szCs w:val="24"/>
        </w:rPr>
        <w:t>in utero</w:t>
      </w:r>
      <w:r>
        <w:rPr>
          <w:rFonts w:ascii="Times New Roman" w:hAnsi="Times New Roman" w:cs="Times New Roman"/>
          <w:color w:val="000000"/>
          <w:sz w:val="24"/>
          <w:szCs w:val="24"/>
        </w:rPr>
        <w:t xml:space="preserve">, recorded the placental diet coming from the mother, while the dm2 corresponds to an exclusive breastfeeding. A similar pattern was observed in the medieval site from France (Rennes, Jacobins convent) where m2 showed higher </w:t>
      </w:r>
      <w:r>
        <w:rPr>
          <w:rFonts w:ascii="Times New Roman" w:eastAsia="Times New Roman" w:hAnsi="Times New Roman" w:cs="Times New Roman"/>
          <w:sz w:val="24"/>
          <w:szCs w:val="24"/>
        </w:rPr>
        <w:t>δ</w:t>
      </w:r>
      <w:r>
        <w:rPr>
          <w:rFonts w:ascii="Times New Roman" w:eastAsia="Times New Roman" w:hAnsi="Times New Roman" w:cs="Times New Roman"/>
          <w:sz w:val="24"/>
          <w:szCs w:val="24"/>
          <w:vertAlign w:val="superscript"/>
        </w:rPr>
        <w:t>66</w:t>
      </w:r>
      <w:r>
        <w:rPr>
          <w:rFonts w:ascii="Times New Roman" w:eastAsia="Times New Roman" w:hAnsi="Times New Roman" w:cs="Times New Roman"/>
          <w:sz w:val="24"/>
          <w:szCs w:val="24"/>
        </w:rPr>
        <w:t xml:space="preserve">Zn values </w:t>
      </w:r>
      <w:r w:rsidR="00543D61">
        <w:rPr>
          <w:rFonts w:ascii="Times New Roman" w:eastAsia="Times New Roman" w:hAnsi="Times New Roman" w:cs="Times New Roman"/>
          <w:sz w:val="24"/>
          <w:szCs w:val="24"/>
        </w:rPr>
        <w:fldChar w:fldCharType="begin"/>
      </w:r>
      <w:r w:rsidR="000475E4">
        <w:rPr>
          <w:rFonts w:ascii="Times New Roman" w:eastAsia="Times New Roman" w:hAnsi="Times New Roman" w:cs="Times New Roman"/>
          <w:sz w:val="24"/>
          <w:szCs w:val="24"/>
        </w:rPr>
        <w:instrText xml:space="preserve"> ADDIN ZOTERO_ITEM CSL_CITATION {"citationID":"rmQ1FqSU","properties":{"formattedCitation":"\\super 25\\nosupersub{}","plainCitation":"25","noteIndex":0},"citationItems":[{"id":126,"uris":["http://zotero.org/users/7125028/items/IEYUJ9Z8"],"itemData":{"id":126,"type":"article-journal","abstract":"Here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sidR="000475E4">
        <w:rPr>
          <w:rFonts w:ascii="Cambria Math" w:eastAsia="Times New Roman" w:hAnsi="Cambria Math" w:cs="Cambria Math"/>
          <w:sz w:val="24"/>
          <w:szCs w:val="24"/>
        </w:rPr>
        <w:instrText>∼</w:instrText>
      </w:r>
      <w:r w:rsidR="000475E4">
        <w:rPr>
          <w:rFonts w:ascii="Times New Roman" w:eastAsia="Times New Roman" w:hAnsi="Times New Roman" w:cs="Times New Roman"/>
          <w:sz w:val="24"/>
          <w:szCs w:val="24"/>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P."}],"issued":{"date-parts":[["2018",3,22]]}}}],"schema":"https://github.com/citation-style-language/schema/raw/master/csl-citation.json"} </w:instrText>
      </w:r>
      <w:r w:rsidR="00543D61">
        <w:rPr>
          <w:rFonts w:ascii="Times New Roman" w:eastAsia="Times New Roman" w:hAnsi="Times New Roman" w:cs="Times New Roman"/>
          <w:sz w:val="24"/>
          <w:szCs w:val="24"/>
        </w:rPr>
        <w:fldChar w:fldCharType="separate"/>
      </w:r>
      <w:r w:rsidR="000475E4" w:rsidRPr="000475E4">
        <w:rPr>
          <w:rFonts w:ascii="Times New Roman" w:hAnsi="Times New Roman" w:cs="Times New Roman"/>
          <w:sz w:val="24"/>
          <w:szCs w:val="24"/>
          <w:vertAlign w:val="superscript"/>
        </w:rPr>
        <w:t>25</w:t>
      </w:r>
      <w:r w:rsidR="00543D61">
        <w:rPr>
          <w:rFonts w:ascii="Times New Roman" w:eastAsia="Times New Roman" w:hAnsi="Times New Roman" w:cs="Times New Roman"/>
          <w:sz w:val="24"/>
          <w:szCs w:val="24"/>
        </w:rPr>
        <w:fldChar w:fldCharType="end"/>
      </w:r>
      <w:r w:rsidR="00543D61">
        <w:rPr>
          <w:rFonts w:ascii="Times New Roman" w:eastAsia="Times New Roman" w:hAnsi="Times New Roman" w:cs="Times New Roman"/>
          <w:sz w:val="24"/>
          <w:szCs w:val="24"/>
        </w:rPr>
        <w:t>.</w:t>
      </w:r>
      <w:r>
        <w:rPr>
          <w:rFonts w:ascii="Times New Roman" w:hAnsi="Times New Roman" w:cs="Times New Roman"/>
          <w:color w:val="000000"/>
          <w:sz w:val="24"/>
          <w:szCs w:val="24"/>
        </w:rPr>
        <w:t xml:space="preserve"> </w:t>
      </w:r>
    </w:p>
    <w:p w14:paraId="5F0CFA68" w14:textId="220B8FB9" w:rsidR="001925CC" w:rsidRDefault="001925CC" w:rsidP="001925C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CT scan on the deciduous first incisive of this infant showed the presence of hypoplasia along the root (PowerPoint file). This indicates that the stress happened between 4 and 11</w:t>
      </w:r>
      <w:r w:rsidR="00D27E12">
        <w:rPr>
          <w:rFonts w:ascii="Times New Roman" w:hAnsi="Times New Roman" w:cs="Times New Roman"/>
          <w:sz w:val="24"/>
          <w:szCs w:val="24"/>
        </w:rPr>
        <w:t xml:space="preserve"> </w:t>
      </w:r>
      <w:r>
        <w:rPr>
          <w:rFonts w:ascii="Times New Roman" w:hAnsi="Times New Roman" w:cs="Times New Roman"/>
          <w:sz w:val="24"/>
          <w:szCs w:val="24"/>
        </w:rPr>
        <w:t>months of h</w:t>
      </w:r>
      <w:r w:rsidR="00C57585">
        <w:rPr>
          <w:rFonts w:ascii="Times New Roman" w:hAnsi="Times New Roman" w:cs="Times New Roman"/>
          <w:sz w:val="24"/>
          <w:szCs w:val="24"/>
        </w:rPr>
        <w:t>is</w:t>
      </w:r>
      <w:r>
        <w:rPr>
          <w:rFonts w:ascii="Times New Roman" w:hAnsi="Times New Roman" w:cs="Times New Roman"/>
          <w:sz w:val="24"/>
          <w:szCs w:val="24"/>
        </w:rPr>
        <w:t xml:space="preserve"> life. The fact that she died around the age of 12 months suggests that she did not survived </w:t>
      </w:r>
      <w:r w:rsidR="00A478A0">
        <w:rPr>
          <w:rFonts w:ascii="Times New Roman" w:hAnsi="Times New Roman" w:cs="Times New Roman"/>
          <w:sz w:val="24"/>
          <w:szCs w:val="24"/>
        </w:rPr>
        <w:t xml:space="preserve">what caused this </w:t>
      </w:r>
      <w:r>
        <w:rPr>
          <w:rFonts w:ascii="Times New Roman" w:hAnsi="Times New Roman" w:cs="Times New Roman"/>
          <w:sz w:val="24"/>
          <w:szCs w:val="24"/>
        </w:rPr>
        <w:t>stress</w:t>
      </w:r>
    </w:p>
    <w:p w14:paraId="73174A57" w14:textId="77777777" w:rsidR="00A478A0" w:rsidRDefault="00A478A0" w:rsidP="001925CC">
      <w:pPr>
        <w:spacing w:after="0" w:line="360" w:lineRule="auto"/>
        <w:jc w:val="both"/>
        <w:rPr>
          <w:rFonts w:ascii="Times New Roman" w:hAnsi="Times New Roman" w:cs="Times New Roman"/>
          <w:sz w:val="24"/>
          <w:szCs w:val="24"/>
        </w:rPr>
      </w:pPr>
    </w:p>
    <w:p w14:paraId="0FEF534E" w14:textId="594EC8DB" w:rsidR="001925CC" w:rsidRDefault="001925CC" w:rsidP="001925C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Individual 9</w:t>
      </w:r>
      <w:r w:rsidR="00C90136">
        <w:rPr>
          <w:rFonts w:ascii="Times New Roman" w:hAnsi="Times New Roman" w:cs="Times New Roman"/>
          <w:b/>
          <w:sz w:val="24"/>
          <w:szCs w:val="24"/>
        </w:rPr>
        <w:t>: an infant female with an early solid food introduction</w:t>
      </w:r>
    </w:p>
    <w:p w14:paraId="6B5BA3E9" w14:textId="713C4255" w:rsidR="001925CC" w:rsidRDefault="001925CC" w:rsidP="001925C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Individual 9 is an infant female as determined by </w:t>
      </w:r>
      <w:proofErr w:type="spellStart"/>
      <w:r>
        <w:rPr>
          <w:rFonts w:ascii="Times New Roman" w:hAnsi="Times New Roman" w:cs="Times New Roman"/>
          <w:sz w:val="24"/>
          <w:szCs w:val="24"/>
        </w:rPr>
        <w:t>aDNA</w:t>
      </w:r>
      <w:proofErr w:type="spellEnd"/>
      <w:r>
        <w:rPr>
          <w:rFonts w:ascii="Times New Roman" w:hAnsi="Times New Roman" w:cs="Times New Roman"/>
          <w:sz w:val="24"/>
          <w:szCs w:val="24"/>
        </w:rPr>
        <w:t xml:space="preserve"> </w:t>
      </w:r>
      <w:r w:rsidR="00543D61">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{"citationID":"8v02USHz","properties":{"formattedCitation":"\\super 97\\nosupersub{}","plainCitation":"97","noteIndex":0},"citationItems":[{"id":183,"uris":["http://zotero.org/users/7125028/items/ELU9L6LQ"],"itemData":{"id":183,"type":"article-journal","abstract":"North Africa is a key region for understanding human history, but the genetic history of its people is largely unknown. We present genomic data from seven 15,000-year-old modern humans, attributed to the Iberomaurusian culture, from Morocco. We find a genetic affinity with early Holocene Near Easterners, best represented by Levantine Natufians, suggesting a pre-agricultural connection between Africa and the Near East. We do not find evidence for gene flow from Paleolithic Europeans to Late Pleistocene North Africans. The Taforalt individuals derive one-third of their ancestry from sub-Saharan Africans, best approximated by a mixture of genetic components preserved in present-day West and East Africans. Thus, we provide direct evidence for genetic interactions between modern humans across Africa and Eurasia in the Pleistocene.","container-title":"Science (New York, N.Y.)","DOI":"10.1126/science.aar8380","ISSN":"1095-9203","issue":"6388","journalAbbreviation":"Science","language":"eng","note":"PMID: 29545507","page":"548-552","source":"PubMed","title":"Pleistocene North African genomes link Near Eastern and sub-Saharan African human populations","volume":"360","author":[{"family":"Loosdrecht","given":"Marieke","non-dropping-particle":"van de"},{"family":"Bouzouggar","given":"Abdeljalil"},{"family":"Humphrey","given":"Louise"},{"family":"Posth","given":"Cosimo"},{"family":"Barton","given":"Nick"},{"family":"Aximu-Petri","given":"Ayinuer"},{"family":"Nickel","given":"Birgit"},{"family":"Nagel","given":"Sarah"},{"family":"Talbi","given":"El Hassan"},{"family":"El Hajraoui","given":"Mohammed Abdeljalil"},{"family":"Amzazi","given":"Saaïd"},{"family":"Hublin","given":"Jean-Jacques"},{"family":"Pääbo","given":"Svante"},{"family":"Schiffels","given":"Stephan"},{"family":"Meyer","given":"Matthias"},{"family":"Haak","given":"Wolfgang"},{"family":"Jeong","given":"Choongwon"},{"family":"Krause","given":"Johannes"}],"issued":{"date-parts":[["2018",5,4]]}}}],"schema":"https://github.com/citation-style-language/schema/raw/master/csl-citation.json"} </w:instrText>
      </w:r>
      <w:r w:rsidR="00543D61">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97</w:t>
      </w:r>
      <w:r w:rsidR="00543D61">
        <w:rPr>
          <w:rFonts w:ascii="Times New Roman" w:hAnsi="Times New Roman" w:cs="Times New Roman"/>
          <w:sz w:val="24"/>
          <w:szCs w:val="24"/>
        </w:rPr>
        <w:fldChar w:fldCharType="end"/>
      </w:r>
      <w:r>
        <w:rPr>
          <w:rFonts w:ascii="Times New Roman" w:hAnsi="Times New Roman" w:cs="Times New Roman"/>
          <w:sz w:val="24"/>
          <w:szCs w:val="24"/>
        </w:rPr>
        <w:t xml:space="preserve">and has an estimated age at death of 5-6 months. The TP from her bone is 2.7 suggesting at least partial breastfeeding but not as high as for Individual 6. </w:t>
      </w:r>
      <w:r w:rsidR="00A478A0">
        <w:rPr>
          <w:rFonts w:ascii="Times New Roman" w:hAnsi="Times New Roman" w:cs="Times New Roman"/>
          <w:sz w:val="24"/>
          <w:szCs w:val="24"/>
        </w:rPr>
        <w:t xml:space="preserve"> The introduction of solid food could therefore have been quite early for this individual, so that it could be recorded in her bones. </w:t>
      </w:r>
      <w:r>
        <w:rPr>
          <w:rFonts w:ascii="Times New Roman" w:hAnsi="Times New Roman" w:cs="Times New Roman"/>
          <w:sz w:val="24"/>
          <w:szCs w:val="24"/>
        </w:rPr>
        <w:t xml:space="preserve">No hypoplasia was </w:t>
      </w:r>
      <w:r w:rsidR="00A478A0">
        <w:rPr>
          <w:rFonts w:ascii="Times New Roman" w:hAnsi="Times New Roman" w:cs="Times New Roman"/>
          <w:sz w:val="24"/>
          <w:szCs w:val="24"/>
        </w:rPr>
        <w:t xml:space="preserve">however </w:t>
      </w:r>
      <w:r>
        <w:rPr>
          <w:rFonts w:ascii="Times New Roman" w:hAnsi="Times New Roman" w:cs="Times New Roman"/>
          <w:sz w:val="24"/>
          <w:szCs w:val="24"/>
        </w:rPr>
        <w:t>detected on the tooth of this individual.</w:t>
      </w:r>
    </w:p>
    <w:p w14:paraId="35AC13E9" w14:textId="77777777" w:rsidR="001925CC" w:rsidRPr="00D70D43" w:rsidRDefault="001925CC" w:rsidP="001925CC">
      <w:pPr>
        <w:spacing w:after="0" w:line="360" w:lineRule="auto"/>
        <w:rPr>
          <w:rFonts w:ascii="Times New Roman" w:eastAsia="Times New Roman" w:hAnsi="Times New Roman" w:cs="Times New Roman"/>
          <w:sz w:val="24"/>
          <w:szCs w:val="24"/>
          <w:highlight w:val="white"/>
        </w:rPr>
      </w:pPr>
    </w:p>
    <w:p w14:paraId="6164C248" w14:textId="77777777" w:rsidR="0020388D" w:rsidRDefault="0020388D" w:rsidP="0020388D">
      <w:pPr>
        <w:spacing w:after="0" w:line="360" w:lineRule="auto"/>
        <w:rPr>
          <w:rFonts w:ascii="Times New Roman" w:hAnsi="Times New Roman" w:cs="Times New Roman"/>
          <w:b/>
          <w:sz w:val="24"/>
          <w:szCs w:val="24"/>
          <w:highlight w:val="white"/>
          <w:u w:val="single"/>
        </w:rPr>
      </w:pPr>
    </w:p>
    <w:p w14:paraId="10513A4B" w14:textId="39797277" w:rsidR="0020388D" w:rsidRDefault="0020388D" w:rsidP="0020388D">
      <w:pPr>
        <w:spacing w:after="0" w:line="360" w:lineRule="auto"/>
        <w:rPr>
          <w:rFonts w:ascii="Times New Roman" w:hAnsi="Times New Roman" w:cs="Times New Roman"/>
          <w:b/>
          <w:sz w:val="24"/>
          <w:szCs w:val="24"/>
          <w:highlight w:val="white"/>
          <w:u w:val="single"/>
        </w:rPr>
      </w:pPr>
    </w:p>
    <w:p w14:paraId="03291EFE" w14:textId="77777777" w:rsidR="00757371" w:rsidRDefault="00757371" w:rsidP="0020388D">
      <w:pPr>
        <w:spacing w:after="0" w:line="360" w:lineRule="auto"/>
        <w:rPr>
          <w:rFonts w:ascii="Times New Roman" w:hAnsi="Times New Roman" w:cs="Times New Roman"/>
          <w:b/>
          <w:sz w:val="24"/>
          <w:szCs w:val="24"/>
          <w:highlight w:val="white"/>
          <w:u w:val="single"/>
        </w:rPr>
      </w:pPr>
    </w:p>
    <w:p w14:paraId="76FC1951" w14:textId="717E2B54" w:rsidR="0020388D" w:rsidRPr="003C7995" w:rsidRDefault="0020388D" w:rsidP="0020388D">
      <w:pPr>
        <w:spacing w:after="0" w:line="360" w:lineRule="auto"/>
        <w:rPr>
          <w:rFonts w:ascii="Times New Roman" w:hAnsi="Times New Roman" w:cs="Times New Roman"/>
          <w:b/>
          <w:sz w:val="24"/>
          <w:szCs w:val="24"/>
          <w:highlight w:val="white"/>
          <w:u w:val="single"/>
        </w:rPr>
      </w:pPr>
      <w:r w:rsidRPr="003C7995">
        <w:rPr>
          <w:rFonts w:ascii="Times New Roman" w:hAnsi="Times New Roman" w:cs="Times New Roman"/>
          <w:b/>
          <w:sz w:val="24"/>
          <w:szCs w:val="24"/>
          <w:highlight w:val="white"/>
          <w:u w:val="single"/>
        </w:rPr>
        <w:t xml:space="preserve">Supplementary information </w:t>
      </w:r>
      <w:r>
        <w:rPr>
          <w:rFonts w:ascii="Times New Roman" w:hAnsi="Times New Roman" w:cs="Times New Roman"/>
          <w:b/>
          <w:sz w:val="24"/>
          <w:szCs w:val="24"/>
          <w:highlight w:val="white"/>
          <w:u w:val="single"/>
        </w:rPr>
        <w:t>6</w:t>
      </w:r>
      <w:r w:rsidRPr="003C7995">
        <w:rPr>
          <w:rFonts w:ascii="Times New Roman" w:hAnsi="Times New Roman" w:cs="Times New Roman"/>
          <w:b/>
          <w:sz w:val="24"/>
          <w:szCs w:val="24"/>
          <w:highlight w:val="white"/>
          <w:u w:val="single"/>
        </w:rPr>
        <w:t xml:space="preserve">: Additional </w:t>
      </w:r>
      <w:r>
        <w:rPr>
          <w:rFonts w:ascii="Times New Roman" w:hAnsi="Times New Roman" w:cs="Times New Roman"/>
          <w:b/>
          <w:sz w:val="24"/>
          <w:szCs w:val="24"/>
          <w:highlight w:val="white"/>
          <w:u w:val="single"/>
        </w:rPr>
        <w:t>tables and figures</w:t>
      </w:r>
    </w:p>
    <w:p w14:paraId="22CDF675" w14:textId="77777777" w:rsidR="001925CC" w:rsidRPr="00D70D43" w:rsidRDefault="001925CC" w:rsidP="001925CC">
      <w:pPr>
        <w:spacing w:after="0" w:line="360" w:lineRule="auto"/>
        <w:rPr>
          <w:rFonts w:ascii="Times New Roman" w:hAnsi="Times New Roman" w:cs="Times New Roman"/>
          <w:sz w:val="24"/>
          <w:szCs w:val="24"/>
          <w:highlight w:val="white"/>
        </w:rPr>
      </w:pPr>
    </w:p>
    <w:p w14:paraId="1CB1F119" w14:textId="77777777" w:rsidR="005B04BC" w:rsidRDefault="005B04BC">
      <w:pPr>
        <w:spacing w:after="0" w:line="240" w:lineRule="auto"/>
        <w:rPr>
          <w:rFonts w:ascii="Times New Roman" w:eastAsia="Times New Roman" w:hAnsi="Times New Roman" w:cs="Times New Roman"/>
          <w:b/>
          <w:sz w:val="24"/>
          <w:szCs w:val="24"/>
        </w:rPr>
      </w:pPr>
    </w:p>
    <w:p w14:paraId="1A1D5AEC" w14:textId="77777777" w:rsidR="005B04BC" w:rsidRDefault="005B04BC">
      <w:pPr>
        <w:spacing w:after="0" w:line="240" w:lineRule="auto"/>
        <w:rPr>
          <w:rFonts w:ascii="Times New Roman" w:eastAsia="Times New Roman" w:hAnsi="Times New Roman" w:cs="Times New Roman"/>
          <w:b/>
          <w:sz w:val="24"/>
          <w:szCs w:val="24"/>
        </w:rPr>
      </w:pPr>
    </w:p>
    <w:p w14:paraId="709FFF83" w14:textId="77777777" w:rsidR="005B04BC" w:rsidRDefault="005B04BC">
      <w:pPr>
        <w:spacing w:after="0" w:line="240" w:lineRule="auto"/>
        <w:rPr>
          <w:rFonts w:ascii="Times New Roman" w:eastAsia="Times New Roman" w:hAnsi="Times New Roman" w:cs="Times New Roman"/>
          <w:b/>
          <w:sz w:val="24"/>
          <w:szCs w:val="24"/>
        </w:rPr>
      </w:pPr>
    </w:p>
    <w:p w14:paraId="18081CF3" w14:textId="77777777" w:rsidR="005B04BC" w:rsidRDefault="005B04BC">
      <w:pPr>
        <w:spacing w:after="0" w:line="240" w:lineRule="auto"/>
        <w:rPr>
          <w:rFonts w:ascii="Times New Roman" w:eastAsia="Times New Roman" w:hAnsi="Times New Roman" w:cs="Times New Roman"/>
          <w:b/>
          <w:sz w:val="24"/>
          <w:szCs w:val="24"/>
        </w:rPr>
      </w:pPr>
    </w:p>
    <w:p w14:paraId="00000447" w14:textId="451A2B9E" w:rsidR="00784AF4" w:rsidRPr="00D70D43" w:rsidRDefault="0003068C">
      <w:pPr>
        <w:spacing w:after="0" w:line="240" w:lineRule="auto"/>
        <w:rPr>
          <w:rFonts w:ascii="Times New Roman" w:eastAsia="Times New Roman" w:hAnsi="Times New Roman" w:cs="Times New Roman"/>
          <w:b/>
          <w:sz w:val="24"/>
          <w:szCs w:val="24"/>
        </w:rPr>
      </w:pPr>
      <w:r w:rsidRPr="00D70D43">
        <w:rPr>
          <w:rFonts w:ascii="Times New Roman" w:eastAsia="Times New Roman" w:hAnsi="Times New Roman" w:cs="Times New Roman"/>
          <w:b/>
          <w:sz w:val="24"/>
          <w:szCs w:val="24"/>
        </w:rPr>
        <w:t xml:space="preserve"> Supplementary figures</w:t>
      </w:r>
    </w:p>
    <w:p w14:paraId="00000448" w14:textId="77777777" w:rsidR="00784AF4" w:rsidRPr="00D70D43" w:rsidRDefault="00784AF4">
      <w:pPr>
        <w:spacing w:after="0" w:line="240" w:lineRule="auto"/>
        <w:rPr>
          <w:rFonts w:ascii="Times New Roman" w:eastAsia="Times New Roman" w:hAnsi="Times New Roman" w:cs="Times New Roman"/>
          <w:b/>
          <w:sz w:val="24"/>
          <w:szCs w:val="24"/>
        </w:rPr>
      </w:pPr>
    </w:p>
    <w:p w14:paraId="00000449" w14:textId="77777777" w:rsidR="00784AF4" w:rsidRPr="00D70D43" w:rsidRDefault="00784AF4">
      <w:pPr>
        <w:spacing w:after="0" w:line="240" w:lineRule="auto"/>
        <w:jc w:val="center"/>
        <w:rPr>
          <w:rFonts w:ascii="Times New Roman" w:eastAsia="Arial" w:hAnsi="Times New Roman" w:cs="Times New Roman"/>
          <w:i/>
          <w:color w:val="000000"/>
          <w:sz w:val="24"/>
          <w:szCs w:val="24"/>
        </w:rPr>
      </w:pPr>
    </w:p>
    <w:p w14:paraId="0000044A" w14:textId="05F93C3F" w:rsidR="00784AF4" w:rsidRPr="00D70D43" w:rsidRDefault="0021085D">
      <w:pPr>
        <w:spacing w:after="0" w:line="240" w:lineRule="auto"/>
        <w:jc w:val="center"/>
        <w:rPr>
          <w:rFonts w:ascii="Times New Roman" w:eastAsia="Arial" w:hAnsi="Times New Roman" w:cs="Times New Roman"/>
          <w:i/>
          <w:color w:val="000000"/>
          <w:sz w:val="24"/>
          <w:szCs w:val="24"/>
        </w:rPr>
      </w:pPr>
      <w:r>
        <w:rPr>
          <w:rFonts w:ascii="Times New Roman" w:eastAsia="Arial" w:hAnsi="Times New Roman" w:cs="Times New Roman"/>
          <w:i/>
          <w:noProof/>
          <w:color w:val="000000"/>
          <w:sz w:val="24"/>
          <w:szCs w:val="24"/>
        </w:rPr>
        <w:drawing>
          <wp:inline distT="0" distB="0" distL="0" distR="0" wp14:anchorId="4588FD54" wp14:editId="46503BC7">
            <wp:extent cx="6780944" cy="5876818"/>
            <wp:effectExtent l="0" t="0" r="1270" b="0"/>
            <wp:docPr id="202" name="Imag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ggplot2save-Figure_S6.1_0605.jpeg.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783791" cy="5879285"/>
                    </a:xfrm>
                    <a:prstGeom prst="rect">
                      <a:avLst/>
                    </a:prstGeom>
                  </pic:spPr>
                </pic:pic>
              </a:graphicData>
            </a:graphic>
          </wp:inline>
        </w:drawing>
      </w:r>
    </w:p>
    <w:p w14:paraId="0000044B" w14:textId="392605AF" w:rsidR="00784AF4" w:rsidRPr="00D70D43" w:rsidRDefault="00784AF4" w:rsidP="00A6374B">
      <w:pPr>
        <w:spacing w:after="0" w:line="240" w:lineRule="auto"/>
        <w:jc w:val="center"/>
        <w:rPr>
          <w:rFonts w:ascii="Times New Roman" w:eastAsia="Arial" w:hAnsi="Times New Roman" w:cs="Times New Roman"/>
          <w:i/>
          <w:color w:val="000000"/>
          <w:sz w:val="24"/>
          <w:szCs w:val="24"/>
        </w:rPr>
      </w:pPr>
    </w:p>
    <w:p w14:paraId="0000044C" w14:textId="457B007D" w:rsidR="00784AF4" w:rsidRPr="0056199B" w:rsidRDefault="0039475C">
      <w:pPr>
        <w:spacing w:after="0" w:line="240" w:lineRule="auto"/>
        <w:rPr>
          <w:rFonts w:ascii="Times New Roman" w:eastAsia="Times New Roman" w:hAnsi="Times New Roman" w:cs="Times New Roman"/>
          <w:sz w:val="24"/>
          <w:szCs w:val="24"/>
        </w:rPr>
      </w:pPr>
      <w:r w:rsidRPr="0064579A">
        <w:rPr>
          <w:rFonts w:ascii="Times New Roman" w:eastAsia="Times New Roman" w:hAnsi="Times New Roman" w:cs="Times New Roman"/>
          <w:b/>
          <w:sz w:val="24"/>
          <w:szCs w:val="24"/>
        </w:rPr>
        <w:t>Figure SI</w:t>
      </w:r>
      <w:r w:rsidR="00BD4F14" w:rsidRPr="0064579A">
        <w:rPr>
          <w:rFonts w:ascii="Times New Roman" w:eastAsia="Times New Roman" w:hAnsi="Times New Roman" w:cs="Times New Roman"/>
          <w:b/>
          <w:sz w:val="24"/>
          <w:szCs w:val="24"/>
        </w:rPr>
        <w:t xml:space="preserve"> </w:t>
      </w:r>
      <w:r w:rsidR="00E76B9C" w:rsidRPr="0064579A">
        <w:rPr>
          <w:rFonts w:ascii="Times New Roman" w:eastAsia="Times New Roman" w:hAnsi="Times New Roman" w:cs="Times New Roman"/>
          <w:b/>
          <w:sz w:val="24"/>
          <w:szCs w:val="24"/>
        </w:rPr>
        <w:t>6.1</w:t>
      </w:r>
      <w:r w:rsidRPr="0064579A">
        <w:rPr>
          <w:rFonts w:ascii="Times New Roman" w:eastAsia="Times New Roman" w:hAnsi="Times New Roman" w:cs="Times New Roman"/>
          <w:b/>
          <w:sz w:val="24"/>
          <w:szCs w:val="24"/>
        </w:rPr>
        <w:t>:</w:t>
      </w:r>
      <w:r w:rsidRPr="0056199B">
        <w:rPr>
          <w:rFonts w:ascii="Times New Roman" w:eastAsia="Times New Roman" w:hAnsi="Times New Roman" w:cs="Times New Roman"/>
          <w:sz w:val="24"/>
          <w:szCs w:val="24"/>
        </w:rPr>
        <w:t xml:space="preserve"> PCA plot of </w:t>
      </w:r>
      <w:r w:rsidRPr="0064579A">
        <w:rPr>
          <w:rFonts w:ascii="Times New Roman" w:hAnsi="Times New Roman" w:cs="Times New Roman"/>
          <w:sz w:val="24"/>
          <w:szCs w:val="24"/>
        </w:rPr>
        <w:t>δ</w:t>
      </w:r>
      <w:r w:rsidRPr="0064579A">
        <w:rPr>
          <w:rFonts w:ascii="Times New Roman" w:hAnsi="Times New Roman" w:cs="Times New Roman"/>
          <w:sz w:val="24"/>
          <w:szCs w:val="24"/>
          <w:vertAlign w:val="superscript"/>
        </w:rPr>
        <w:t>13</w:t>
      </w:r>
      <w:r w:rsidRPr="0064579A">
        <w:rPr>
          <w:rFonts w:ascii="Times New Roman" w:hAnsi="Times New Roman" w:cs="Times New Roman"/>
          <w:sz w:val="24"/>
          <w:szCs w:val="24"/>
        </w:rPr>
        <w:t>C, δ</w:t>
      </w:r>
      <w:r w:rsidRPr="0064579A">
        <w:rPr>
          <w:rFonts w:ascii="Times New Roman" w:hAnsi="Times New Roman" w:cs="Times New Roman"/>
          <w:sz w:val="24"/>
          <w:szCs w:val="24"/>
          <w:vertAlign w:val="superscript"/>
        </w:rPr>
        <w:t>15</w:t>
      </w:r>
      <w:r w:rsidRPr="0064579A">
        <w:rPr>
          <w:rFonts w:ascii="Times New Roman" w:hAnsi="Times New Roman" w:cs="Times New Roman"/>
          <w:sz w:val="24"/>
          <w:szCs w:val="24"/>
        </w:rPr>
        <w:t>N, δ</w:t>
      </w:r>
      <w:r w:rsidRPr="0064579A">
        <w:rPr>
          <w:rFonts w:ascii="Times New Roman" w:hAnsi="Times New Roman" w:cs="Times New Roman"/>
          <w:sz w:val="24"/>
          <w:szCs w:val="24"/>
          <w:vertAlign w:val="superscript"/>
        </w:rPr>
        <w:t>15</w:t>
      </w:r>
      <w:r w:rsidRPr="0064579A">
        <w:rPr>
          <w:rFonts w:ascii="Times New Roman" w:hAnsi="Times New Roman" w:cs="Times New Roman"/>
          <w:sz w:val="24"/>
          <w:szCs w:val="24"/>
        </w:rPr>
        <w:t>N</w:t>
      </w:r>
      <w:r w:rsidRPr="0064579A">
        <w:rPr>
          <w:rFonts w:ascii="Times New Roman" w:hAnsi="Times New Roman" w:cs="Times New Roman"/>
          <w:sz w:val="24"/>
          <w:szCs w:val="24"/>
          <w:vertAlign w:val="subscript"/>
        </w:rPr>
        <w:t>Glu</w:t>
      </w:r>
      <w:r w:rsidRPr="0064579A">
        <w:rPr>
          <w:rFonts w:ascii="Times New Roman" w:hAnsi="Times New Roman" w:cs="Times New Roman"/>
          <w:sz w:val="24"/>
          <w:szCs w:val="24"/>
        </w:rPr>
        <w:t>, δ</w:t>
      </w:r>
      <w:r w:rsidRPr="0064579A">
        <w:rPr>
          <w:rFonts w:ascii="Times New Roman" w:hAnsi="Times New Roman" w:cs="Times New Roman"/>
          <w:sz w:val="24"/>
          <w:szCs w:val="24"/>
          <w:vertAlign w:val="superscript"/>
        </w:rPr>
        <w:t>15</w:t>
      </w:r>
      <w:r w:rsidRPr="0064579A">
        <w:rPr>
          <w:rFonts w:ascii="Times New Roman" w:hAnsi="Times New Roman" w:cs="Times New Roman"/>
          <w:sz w:val="24"/>
          <w:szCs w:val="24"/>
        </w:rPr>
        <w:t>N</w:t>
      </w:r>
      <w:r w:rsidRPr="0064579A">
        <w:rPr>
          <w:rFonts w:ascii="Times New Roman" w:hAnsi="Times New Roman" w:cs="Times New Roman"/>
          <w:sz w:val="24"/>
          <w:szCs w:val="24"/>
          <w:vertAlign w:val="subscript"/>
        </w:rPr>
        <w:t>Phe</w:t>
      </w:r>
      <w:r w:rsidRPr="0064579A">
        <w:rPr>
          <w:rFonts w:ascii="Times New Roman" w:hAnsi="Times New Roman" w:cs="Times New Roman"/>
          <w:sz w:val="24"/>
          <w:szCs w:val="24"/>
        </w:rPr>
        <w:t xml:space="preserve"> and δ</w:t>
      </w:r>
      <w:r w:rsidRPr="0064579A">
        <w:rPr>
          <w:rFonts w:ascii="Times New Roman" w:hAnsi="Times New Roman" w:cs="Times New Roman"/>
          <w:sz w:val="24"/>
          <w:szCs w:val="24"/>
          <w:vertAlign w:val="superscript"/>
        </w:rPr>
        <w:t>66</w:t>
      </w:r>
      <w:r w:rsidRPr="0064579A">
        <w:rPr>
          <w:rFonts w:ascii="Times New Roman" w:hAnsi="Times New Roman" w:cs="Times New Roman"/>
          <w:sz w:val="24"/>
          <w:szCs w:val="24"/>
        </w:rPr>
        <w:t xml:space="preserve">Zn values from Taforalt </w:t>
      </w:r>
    </w:p>
    <w:p w14:paraId="0000044D" w14:textId="77777777" w:rsidR="00784AF4" w:rsidRPr="0039475C" w:rsidRDefault="00784AF4">
      <w:pPr>
        <w:spacing w:after="0" w:line="240" w:lineRule="auto"/>
        <w:rPr>
          <w:rFonts w:ascii="Times New Roman" w:eastAsia="Times New Roman" w:hAnsi="Times New Roman" w:cs="Times New Roman"/>
          <w:sz w:val="24"/>
          <w:szCs w:val="24"/>
        </w:rPr>
      </w:pPr>
    </w:p>
    <w:p w14:paraId="0000044E" w14:textId="77777777" w:rsidR="00784AF4" w:rsidRPr="0039475C" w:rsidRDefault="00784AF4">
      <w:pPr>
        <w:spacing w:after="0" w:line="240" w:lineRule="auto"/>
        <w:jc w:val="center"/>
        <w:rPr>
          <w:rFonts w:ascii="Times New Roman" w:eastAsia="Times New Roman" w:hAnsi="Times New Roman" w:cs="Times New Roman"/>
          <w:sz w:val="24"/>
          <w:szCs w:val="24"/>
        </w:rPr>
      </w:pPr>
    </w:p>
    <w:p w14:paraId="0000044F" w14:textId="77777777" w:rsidR="00784AF4" w:rsidRPr="0039475C" w:rsidRDefault="00784AF4">
      <w:pPr>
        <w:spacing w:after="0" w:line="240" w:lineRule="auto"/>
        <w:jc w:val="center"/>
        <w:rPr>
          <w:rFonts w:ascii="Times New Roman" w:eastAsia="Times New Roman" w:hAnsi="Times New Roman" w:cs="Times New Roman"/>
          <w:sz w:val="24"/>
          <w:szCs w:val="24"/>
        </w:rPr>
      </w:pPr>
    </w:p>
    <w:p w14:paraId="00000450" w14:textId="77777777" w:rsidR="00784AF4" w:rsidRPr="0039475C" w:rsidRDefault="00784AF4">
      <w:pPr>
        <w:spacing w:after="0" w:line="240" w:lineRule="auto"/>
        <w:rPr>
          <w:rFonts w:ascii="Times New Roman" w:eastAsia="Times New Roman" w:hAnsi="Times New Roman" w:cs="Times New Roman"/>
          <w:b/>
          <w:sz w:val="24"/>
          <w:szCs w:val="24"/>
        </w:rPr>
      </w:pPr>
    </w:p>
    <w:p w14:paraId="00000451" w14:textId="77777777" w:rsidR="00784AF4" w:rsidRPr="0039475C" w:rsidRDefault="00784AF4">
      <w:pPr>
        <w:spacing w:after="0" w:line="240" w:lineRule="auto"/>
        <w:rPr>
          <w:rFonts w:ascii="Times New Roman" w:eastAsia="Arial" w:hAnsi="Times New Roman" w:cs="Times New Roman"/>
          <w:i/>
          <w:color w:val="000000"/>
          <w:sz w:val="24"/>
          <w:szCs w:val="24"/>
        </w:rPr>
      </w:pPr>
    </w:p>
    <w:p w14:paraId="00000452" w14:textId="77777777" w:rsidR="00784AF4" w:rsidRPr="0039475C" w:rsidRDefault="00784AF4">
      <w:pPr>
        <w:spacing w:after="0" w:line="240" w:lineRule="auto"/>
        <w:rPr>
          <w:rFonts w:ascii="Times New Roman" w:eastAsia="Arial" w:hAnsi="Times New Roman" w:cs="Times New Roman"/>
          <w:i/>
          <w:color w:val="000000"/>
          <w:sz w:val="24"/>
          <w:szCs w:val="24"/>
        </w:rPr>
      </w:pPr>
    </w:p>
    <w:p w14:paraId="00000453" w14:textId="77777777" w:rsidR="00784AF4" w:rsidRPr="0039475C" w:rsidRDefault="00784AF4">
      <w:pPr>
        <w:spacing w:after="0" w:line="240" w:lineRule="auto"/>
        <w:rPr>
          <w:rFonts w:ascii="Times New Roman" w:eastAsia="Arial" w:hAnsi="Times New Roman" w:cs="Times New Roman"/>
          <w:i/>
          <w:color w:val="000000"/>
          <w:sz w:val="24"/>
          <w:szCs w:val="24"/>
        </w:rPr>
      </w:pPr>
    </w:p>
    <w:p w14:paraId="00000454" w14:textId="77777777" w:rsidR="00784AF4" w:rsidRPr="0039475C" w:rsidRDefault="00784AF4">
      <w:pPr>
        <w:spacing w:after="0" w:line="240" w:lineRule="auto"/>
        <w:jc w:val="center"/>
        <w:rPr>
          <w:rFonts w:ascii="Times New Roman" w:eastAsia="Times New Roman" w:hAnsi="Times New Roman" w:cs="Times New Roman"/>
          <w:b/>
          <w:sz w:val="24"/>
          <w:szCs w:val="24"/>
        </w:rPr>
      </w:pPr>
    </w:p>
    <w:p w14:paraId="00000455" w14:textId="77777777" w:rsidR="00784AF4" w:rsidRPr="0039475C" w:rsidRDefault="00784AF4">
      <w:pPr>
        <w:spacing w:after="0" w:line="240" w:lineRule="auto"/>
        <w:rPr>
          <w:rFonts w:ascii="Times New Roman" w:eastAsia="Times New Roman" w:hAnsi="Times New Roman" w:cs="Times New Roman"/>
          <w:b/>
          <w:sz w:val="24"/>
          <w:szCs w:val="24"/>
        </w:rPr>
      </w:pPr>
    </w:p>
    <w:p w14:paraId="00000456" w14:textId="77777777" w:rsidR="00784AF4" w:rsidRPr="0039475C" w:rsidRDefault="00784AF4">
      <w:pPr>
        <w:spacing w:after="0" w:line="240" w:lineRule="auto"/>
        <w:rPr>
          <w:rFonts w:ascii="Times New Roman" w:eastAsia="Times New Roman" w:hAnsi="Times New Roman" w:cs="Times New Roman"/>
          <w:b/>
          <w:sz w:val="24"/>
          <w:szCs w:val="24"/>
        </w:rPr>
      </w:pPr>
    </w:p>
    <w:p w14:paraId="00000457" w14:textId="1D196017" w:rsidR="00784AF4" w:rsidRPr="0039475C" w:rsidRDefault="00784AF4">
      <w:pPr>
        <w:spacing w:after="0" w:line="240" w:lineRule="auto"/>
        <w:jc w:val="center"/>
        <w:rPr>
          <w:rFonts w:ascii="Times New Roman" w:eastAsia="Times New Roman" w:hAnsi="Times New Roman" w:cs="Times New Roman"/>
          <w:b/>
          <w:sz w:val="24"/>
          <w:szCs w:val="24"/>
        </w:rPr>
      </w:pPr>
    </w:p>
    <w:p w14:paraId="00000458" w14:textId="77777777" w:rsidR="00784AF4" w:rsidRPr="0039475C" w:rsidRDefault="00784AF4">
      <w:pPr>
        <w:spacing w:after="0" w:line="240" w:lineRule="auto"/>
        <w:jc w:val="center"/>
        <w:rPr>
          <w:rFonts w:ascii="Times New Roman" w:eastAsia="Times New Roman" w:hAnsi="Times New Roman" w:cs="Times New Roman"/>
          <w:b/>
          <w:sz w:val="24"/>
          <w:szCs w:val="24"/>
        </w:rPr>
      </w:pPr>
    </w:p>
    <w:p w14:paraId="00000459" w14:textId="77777777" w:rsidR="00784AF4" w:rsidRPr="0039475C" w:rsidRDefault="00784AF4">
      <w:pPr>
        <w:spacing w:after="0" w:line="240" w:lineRule="auto"/>
        <w:jc w:val="center"/>
        <w:rPr>
          <w:rFonts w:ascii="Times New Roman" w:eastAsia="Times New Roman" w:hAnsi="Times New Roman" w:cs="Times New Roman"/>
          <w:b/>
          <w:sz w:val="24"/>
          <w:szCs w:val="24"/>
        </w:rPr>
      </w:pPr>
    </w:p>
    <w:p w14:paraId="0000045C" w14:textId="77777777" w:rsidR="00784AF4" w:rsidRPr="0039475C" w:rsidRDefault="00784AF4">
      <w:pPr>
        <w:spacing w:after="0" w:line="240" w:lineRule="auto"/>
        <w:rPr>
          <w:rFonts w:ascii="Times New Roman" w:eastAsia="Arial" w:hAnsi="Times New Roman" w:cs="Times New Roman"/>
          <w:i/>
          <w:sz w:val="24"/>
          <w:szCs w:val="24"/>
        </w:rPr>
      </w:pPr>
    </w:p>
    <w:p w14:paraId="00000465" w14:textId="77777777" w:rsidR="00784AF4" w:rsidRPr="0064579A" w:rsidRDefault="00784AF4">
      <w:pPr>
        <w:spacing w:after="0" w:line="240" w:lineRule="auto"/>
        <w:rPr>
          <w:rFonts w:ascii="Times New Roman" w:eastAsia="Times New Roman" w:hAnsi="Times New Roman" w:cs="Times New Roman"/>
          <w:sz w:val="24"/>
          <w:szCs w:val="24"/>
        </w:rPr>
      </w:pPr>
    </w:p>
    <w:p w14:paraId="00000467" w14:textId="6B1B9174" w:rsidR="00784AF4" w:rsidRPr="00D70D43" w:rsidRDefault="00784AF4">
      <w:pPr>
        <w:spacing w:after="0" w:line="360" w:lineRule="auto"/>
        <w:jc w:val="both"/>
        <w:rPr>
          <w:rFonts w:ascii="Times New Roman" w:eastAsia="Times New Roman" w:hAnsi="Times New Roman" w:cs="Times New Roman"/>
          <w:i/>
          <w:sz w:val="24"/>
          <w:szCs w:val="24"/>
        </w:rPr>
      </w:pPr>
    </w:p>
    <w:p w14:paraId="58CDF564" w14:textId="77777777" w:rsidR="002E7444" w:rsidRPr="00D70D43" w:rsidRDefault="002E7444" w:rsidP="002E7444">
      <w:pPr>
        <w:spacing w:after="0" w:line="360" w:lineRule="auto"/>
        <w:rPr>
          <w:rFonts w:ascii="Times New Roman" w:hAnsi="Times New Roman" w:cs="Times New Roman"/>
          <w:i/>
          <w:sz w:val="24"/>
          <w:szCs w:val="24"/>
          <w:highlight w:val="white"/>
        </w:rPr>
      </w:pPr>
      <w:r w:rsidRPr="00D70D43">
        <w:rPr>
          <w:rFonts w:ascii="Times New Roman" w:hAnsi="Times New Roman" w:cs="Times New Roman"/>
          <w:i/>
          <w:sz w:val="24"/>
          <w:szCs w:val="24"/>
          <w:highlight w:val="white"/>
        </w:rPr>
        <w:t>4.2 Comparison of Taforalt with published human zinc data</w:t>
      </w:r>
    </w:p>
    <w:p w14:paraId="704BED0B" w14:textId="32976109" w:rsidR="002E7444" w:rsidRPr="00D70D43" w:rsidRDefault="008A444D" w:rsidP="002E7444">
      <w:pPr>
        <w:spacing w:after="0" w:line="360" w:lineRule="auto"/>
        <w:rPr>
          <w:rFonts w:ascii="Times New Roman" w:hAnsi="Times New Roman" w:cs="Times New Roman"/>
          <w:i/>
          <w:sz w:val="24"/>
          <w:szCs w:val="24"/>
          <w:highlight w:val="white"/>
        </w:rPr>
      </w:pPr>
      <w:r>
        <w:rPr>
          <w:noProof/>
          <w:sz w:val="16"/>
          <w:szCs w:val="16"/>
        </w:rPr>
        <w:drawing>
          <wp:inline distT="0" distB="0" distL="0" distR="0" wp14:anchorId="74725488" wp14:editId="499EF501">
            <wp:extent cx="6897100" cy="5044611"/>
            <wp:effectExtent l="0" t="0" r="0" b="381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Zinc_Hominin comparision_Ink-1505.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908276" cy="5052785"/>
                    </a:xfrm>
                    <a:prstGeom prst="rect">
                      <a:avLst/>
                    </a:prstGeom>
                  </pic:spPr>
                </pic:pic>
              </a:graphicData>
            </a:graphic>
          </wp:inline>
        </w:drawing>
      </w:r>
    </w:p>
    <w:p w14:paraId="2BD1B888" w14:textId="4EDCFBB9" w:rsidR="002E7444" w:rsidRPr="00D70D43" w:rsidRDefault="002E7444" w:rsidP="002E7444">
      <w:pPr>
        <w:spacing w:after="0" w:line="360" w:lineRule="auto"/>
        <w:rPr>
          <w:rFonts w:ascii="Times New Roman" w:hAnsi="Times New Roman" w:cs="Times New Roman"/>
          <w:sz w:val="24"/>
          <w:szCs w:val="24"/>
        </w:rPr>
      </w:pPr>
      <w:r w:rsidRPr="0064579A">
        <w:rPr>
          <w:rFonts w:ascii="Times New Roman" w:hAnsi="Times New Roman" w:cs="Times New Roman"/>
          <w:b/>
          <w:sz w:val="24"/>
          <w:szCs w:val="24"/>
        </w:rPr>
        <w:t xml:space="preserve">Figure </w:t>
      </w:r>
      <w:r w:rsidR="00E76B9C" w:rsidRPr="0064579A">
        <w:rPr>
          <w:rFonts w:ascii="Times New Roman" w:hAnsi="Times New Roman" w:cs="Times New Roman"/>
          <w:b/>
          <w:sz w:val="24"/>
          <w:szCs w:val="24"/>
        </w:rPr>
        <w:t>6.</w:t>
      </w:r>
      <w:r w:rsidR="00275655">
        <w:rPr>
          <w:rFonts w:ascii="Times New Roman" w:hAnsi="Times New Roman" w:cs="Times New Roman"/>
          <w:b/>
          <w:sz w:val="24"/>
          <w:szCs w:val="24"/>
        </w:rPr>
        <w:t>2</w:t>
      </w:r>
      <w:r w:rsidRPr="0064579A">
        <w:rPr>
          <w:rFonts w:ascii="Times New Roman" w:hAnsi="Times New Roman" w:cs="Times New Roman"/>
          <w:b/>
          <w:sz w:val="24"/>
          <w:szCs w:val="24"/>
        </w:rPr>
        <w:t>:</w:t>
      </w:r>
      <w:r w:rsidRPr="00D70D43">
        <w:rPr>
          <w:rFonts w:ascii="Times New Roman" w:hAnsi="Times New Roman" w:cs="Times New Roman"/>
          <w:sz w:val="24"/>
          <w:szCs w:val="24"/>
        </w:rPr>
        <w:t xml:space="preserve"> Boxplot of Zinc isotopic ratio from Taforalt compared to published data</w:t>
      </w:r>
      <w:r w:rsidR="00C57585">
        <w:rPr>
          <w:rFonts w:ascii="Times New Roman" w:hAnsi="Times New Roman" w:cs="Times New Roman"/>
          <w:sz w:val="24"/>
          <w:szCs w:val="24"/>
        </w:rPr>
        <w:t xml:space="preserve"> and showing the highest zinc isotopic values recorded for a human population</w:t>
      </w:r>
      <w:r w:rsidR="00757371">
        <w:rPr>
          <w:rFonts w:ascii="Times New Roman" w:hAnsi="Times New Roman" w:cs="Times New Roman"/>
          <w:sz w:val="24"/>
          <w:szCs w:val="24"/>
        </w:rPr>
        <w:t xml:space="preserve"> (</w:t>
      </w:r>
      <w:r w:rsidR="00D23667">
        <w:rPr>
          <w:rFonts w:ascii="Times New Roman" w:hAnsi="Times New Roman" w:cs="Times New Roman"/>
          <w:sz w:val="24"/>
          <w:szCs w:val="24"/>
        </w:rPr>
        <w:fldChar w:fldCharType="begin"/>
      </w:r>
      <w:r w:rsidR="000E7E53">
        <w:rPr>
          <w:rFonts w:ascii="Times New Roman" w:hAnsi="Times New Roman" w:cs="Times New Roman"/>
          <w:sz w:val="24"/>
          <w:szCs w:val="24"/>
        </w:rPr>
        <w:instrText xml:space="preserve"> ADDIN ZOTERO_ITEM CSL_CITATION {"citationID":"24sKGB1J","properties":{"formattedCitation":"\\super 22,25,27,64,99\\nosupersub{}","plainCitation":"22,25,27,64,99","noteIndex":0},"citationItems":[{"id":604,"uris":["http://zotero.org/users/7125028/items/NQZASCL3"],"itemData":{"id":604,"type":"article-journal","abstract":"Tam Pà Ling, a cave site in northeastern Laos, has yielded the earliest skeletal evidence of Homo sapiens in mainland Southeast Asia. The reliance of Pleistocene humans in rainforest settings on plant or animal resources is still largely unstudied, mainly due to poor collagen preservation in fossils from tropical environments precluding stable nitrogen isotope analysis, the classical trophic level proxy. However, isotopic ratios of zinc (Zn) in bioapatite constitute a promising proxy to infer trophic and dietary information from fossil vertebrates, even under adverse tropical taphonomic conditions. Here, we analyzed the zinc isotope composition (66Zn/64Zn expressed as δ66Zn value) in the enamel of two teeth of the Late Pleistocene (63–46 ka) H. sapiens individual (TPL1) from Tam Pà Ling, as well as 76 mammal teeth from the same site and the nearby Nam Lot cave. The human individual exhibits relatively low enamel δ66Zn values (+0.24‰) consistent with an omnivorous diet, suggesting a dietary reliance on both plant and animal matter. These findings offer direct evidence of the broad utilization of resources from tropical rainforests by one of the earliest known anatomically modern humans in Southeast Asia.","container-title":"Journal of Human Evolution","DOI":"10.1016/j.jhevol.2021.103075","ISSN":"0047-2484","journalAbbreviation":"Journal of Human Evolution","language":"en","page":"103075","source":"ScienceDirect","title":"Trophic ecology of a Late Pleistocene early modern human from tropical Southeast Asia inferred from zinc isotopes","volume":"161","author":[{"family":"Bourgon","given":"Nicolas"},{"family":"Jaouen","given":"Klervia"},{"family":"Bacon","given":"Anne-Marie"},{"family":"Dufour","given":"Elise"},{"family":"McCormack","given":"Jeremy"},{"family":"Tran","given":"N. -Han"},{"family":"Trost","given":"Manuel"},{"family":"Fiorillo","given":"Denis"},{"family":"Dunn","given":"Tyler E."},{"family":"Zanolli","given":"Clément"},{"family":"Zachwieja","given":"Alexandra"},{"family":"Duringer","given":"Philippe"},{"family":"Ponche","given":"Jean-Luc"},{"family":"Boesch","given":"Quentin"},{"family":"Antoine","given":"Pierre-Olivier"},{"family":"Westaway","given":"Kira E."},{"family":"Joannes-Boyau","given":"Renaud"},{"family":"Suzzoni","given":"Eric"},{"family":"Frangeul","given":"Sébastien"},{"family":"Crozier","given":"Françoise"},{"family":"Aubaile","given":"Françoise"},{"family":"Patole-Edoumba","given":"Elise"},{"family":"Luangkhoth","given":"Thonglith"},{"family":"Souksavatdy","given":"Viengkeo"},{"family":"Boualaphane","given":"Souliphane"},{"family":"Sayavonkhamdy","given":"Thongsa"},{"family":"Sichanthongtip","given":"Phonephanh"},{"family":"Sihanam","given":"Daovee"},{"family":"Demeter","given":"Fabrice"},{"family":"Shackelford","given":"Laura L."},{"family":"Hublin","given":"Jean-Jacques"},{"family":"Tütken","given":"Thomas"}],"issued":{"date-parts":[["2021",12,1]]}}},{"id":1,"uris":["http://zotero.org/users/7125028/items/PSYJGYVH"],"itemData":{"id":1,"type":"article-journal","container-title":"Proceedings of the National Academy of Sciences","DOI":"10.1073/pnas.2109315119","issue":"43","note":"publisher: Proceedings of the National Academy of Sciences","page":"e2109315119","source":"pnas.org (Atypon)","title":"A Neandertal dietary conundrum: Insights provided by tooth enamel Zn isotopes from Gabasa, Spain","title-short":"A Neandertal dietary conundrum","volume":"119","author":[{"family":"Jaouen","given":"Klervia"},{"family":"Villalba-Mouco","given":"Vanessa"},{"family":"Smith","given":"Geoff M."},{"family":"Trost","given":"Manuel"},{"family":"Leichliter","given":"Jennifer"},{"family":"Lüdecke","given":"Tina"},{"family":"Méjean","given":"Pauline"},{"family":"Mandrou","given":"Stéphanie"},{"family":"Chmeleff","given":"Jérôme"},{"family":"Guiserix","given":"Danaé"},{"family":"Bourgon","given":"Nicolas"},{"family":"Blasco","given":"Fernanda"},{"family":"Mendes Cardoso","given":"Jéssica"},{"family":"Duquenoy","given":"Camille"},{"family":"Moubtahij","given":"Zineb"},{"family":"Salazar Garcia","given":"Domingo C."},{"family":"Richards","given":"Michael"},{"family":"Tütken","given":"Thomas"},{"family":"Hublin","given":"Jean-Jacques"},{"family":"Utrilla","given":"Pilar"},{"family":"Montes","given":"Lourdes"}],"issued":{"date-parts":[["2022",10,25]]}}},{"id":187,"uris":["http://zotero.org/users/7125028/items/5MKWU4L4"],"itemData":{"id":187,"type":"article-journal","abstract":"Zinc (Zn) isotope ratios of dental enamel are a promising tracer for dietary reconstruction in archeology, but its use is still in its infancy. A recent study demonstrated a high risk of Zn contamination from nitrile, and latex gloves used during chemical sample preparation. Here we assess the potential impact of the use of such gloves during enamel sampling on the Zn isotope composition of teeth from a population of early Holocene hunter gatherers from Lapa do Santo, Lagoa Santa, Minas Gerais, Brazil. We first examined the amount of Zn and its isotopic composition released from the gloves used in this study by soaking them in weak nitric acid and water. We compared Zn isotope ratios obtained from teeth that were sampled wearing nitrile, latex or no gloves. Finally, we performed a linear mixed model (LMM) to investigate post hoc the relationship between the gloves used for sampling and the Zn isotope variability in dental enamel. We found that the gloves used in this study released a similar amount of Zn compared to previous work, but only in acidic solution. Zn isotope ratios of teeth and the LMM identified no sign of significant Zn coming from the gloves when teeth were handled for enamel sampling. We hypothesize that Zn in gloves is mostly released by contact with acids. We found that the main source of Zn isotope variability in the Lapa do Santo population was related to the developmental stage of the tooth tissues sampled. We report identical results for two individuals coming from a different archeological context. Tooth enamel formed in utero and/or during the two first years of life showed higher Zn isotope ratios than enamel formed after weaning. More work is required to systematically investigate if Zn isotopes can be used as a breastfeeding tracer.","container-title":"PLOS ONE","DOI":"10.1371/journal.pone.0232379","ISSN":"1932-6203","issue":"5","journalAbbreviation":"PLOS ONE","language":"en","note":"publisher: Public Library of Science","page":"e0232379","source":"PLoS Journals","title":"Zinc isotope variations in archeological human teeth (Lapa do Santo, Brazil) reveal dietary transitions in childhood and no contamination from gloves","volume":"15","author":[{"family":"Jaouen","given":"Klervia"},{"family":"Trost","given":"Manuel"},{"family":"Bourgon","given":"Nicolas"},{"family":"Colleter","given":"Rozenn"},{"family":"Cabec","given":"Adeline Le"},{"family":"Tütken","given":"Thomas"},{"family":"Oliveira","given":"Rodrigo Elias"},{"family":"Pons","given":"Marie Laure"},{"family":"Méjean","given":"Pauline"},{"family":"Steinbrenner","given":"Sven"},{"family":"Chmeleff","given":"Jérôme"},{"family":"Strauss","given":"André"}],"issued":{"date-parts":[["2020",5,14]]}}},{"id":126,"uris":["http://zotero.org/users/7125028/items/IEYUJ9Z8"],"itemData":{"id":126,"type":"article-journal","abstract":"Here we report Sr and Zn isotope ratios of teeth of medieval to early modern Breton people a population whose diet is known from historical, archeological and collagen isotope data. Most of the population, buried in the Dominican convent of Rennes, France, consists of parliamentary nobles, wealthy commoners and ecclesiastics, who had a diet rich in animal products. Our aim is to assess how the Zn isotope ratios of their teeth compare to those of other French historical populations previously studied, which were characterized by cereal-based diets, and those of modern French individuals, who daily eat animal products. We describe a clear offset (</w:instrText>
      </w:r>
      <w:r w:rsidR="000E7E53">
        <w:rPr>
          <w:rFonts w:ascii="Cambria Math" w:hAnsi="Cambria Math" w:cs="Cambria Math"/>
          <w:sz w:val="24"/>
          <w:szCs w:val="24"/>
        </w:rPr>
        <w:instrText>∼</w:instrText>
      </w:r>
      <w:r w:rsidR="000E7E53">
        <w:rPr>
          <w:rFonts w:ascii="Times New Roman" w:hAnsi="Times New Roman" w:cs="Times New Roman"/>
          <w:sz w:val="24"/>
          <w:szCs w:val="24"/>
        </w:rPr>
        <w:instrText xml:space="preserve">0.35‰) between local and non-local human individuals in Zn isotope ratios. The δ66Zntooth values of local individuals overlap that of modern French people, and are lower than those of local carnivores. Non-local δ66Zn values are similar to those of historical individuals analyzed previously. We conclude the lower Zn isotope ratios of local humans relative to the associated fauna can be explained by the consumption of carnivorous fish and pork, in agreement with historical, zooarchaeological and collagen (C, N, S) isotope data. Zn isotopes could therefore be a tracer of fish and/or substantial meat consumption in ancient populations.","container-title":"Scientific Reports","DOI":"10.1038/s41598-018-23249-x","ISSN":"2045-2322","issue":"1","journalAbbreviation":"Sci Rep","language":"en","license":"2018 The Author(s)","note":"Bandiera_abtest: a\nCc_license_type: cc_by\nCg_type: Nature Research Journals\nnumber: 1\nPrimary_atype: Research\npublisher: Nature Publishing Group\nSubject_term: Archaeology;Stable isotope analysis\nSubject_term_id: archaeology;stable-isotopes","page":"5077","source":"www.nature.com","title":"Tracing intensive fish and meat consumption using Zn isotope ratios: evidence from a historical Breton population (Rennes, France)","title-short":"Tracing intensive fish and meat consumption using Zn isotope ratios","volume":"8","author":[{"family":"Jaouen","given":"Klervia"},{"family":"Colleter","given":"Rozenn"},{"family":"Pietrzak","given":"Anita"},{"family":"Pons","given":"Marie-Laure"},{"family":"Clavel","given":"Benoît"},{"family":"Telmon","given":"Norbert"},{"family":"Crubézy","given":"Éric"},{"family":"Hublin","given":"Jean-Jacques"},{"family":"Richards","given":"Michael P."}],"issued":{"date-parts":[["2018",3,22]]}}},{"id":93,"uris":["http://zotero.org/users/7125028/items/M4ESIIAT"],"itemData":{"id":93,"type":"article-journal","abstract":"OBJECTIVES: Here, we report Cu and Zn isotope ratios of bones and teeth of French people from various historical periods with the aim to understand how Cu and Zn isotope ratios of bone, a tissue that is continuously remodeled throughout life but that is prone to post-mortem diagenesis, compare with that of tooth enamel, a tissue that forms once during childhood but that is more resistant to diagenesis. Specifically, we examine (1) the potential existence of sex-related differences in the Cu isotope ratios (represented as δ65 Cu) in the tooth enamel of identified men and women, and (2) a decrease of Zn isotope delta ratios (represented as δ66 Zn) related to the increase of meat and fish consumption during the 20th century.\nMETHODS: Four series of material were studied: the archeological population of Saint-Laurent de Grenoble (17th -18th centuries AD), an anatomical collection of skulls (19th century AD), a contemporary anatomical collection of bones never buried, and contemporary teeth samples. The metals were purified by liquid chromatography and their isotopic ratios measured by means of multicollector inductively coupled plasma mass spectrometry.\nRESULTS: We describe a clear offset between bone and tooth enamel for Zn isotope ratios, as previously observed in animals. There is a similar offset for Cu isotope ratios. We did not observe any difference between the δ65 Cu values of men and women when looking at dental enamel. For the contemporary samples, the δ66 Zn values of bioapatite decreased, which might be explained by the increase of animal product consumption among the French people during this period, notably when the access to seafood became widespread.\nCONCLUSIONS: Our study demonstrates that the Cu and Zn isotope compositions of dental enamel are promising tools for childhood diet reconstruction. Meanwhile, the Cu isotope ratio of tooth enamel is unlikely to be useful for the identification of biological sex, even in the case of populations with early menarche. Further works are needed to understand the relationships between trophic level and Zn isotope ratios of human remains.","container-title":"American Journal of Physical Anthropology","DOI":"10.1002/ajpa.23132","ISSN":"1096-8644","issue":"3","journalAbbreviation":"Am J Phys Anthropol","language":"eng","note":"PMID: 27858983","page":"491-500","source":"PubMed","title":"Copper and zinc isotope ratios in human bone and enamel","volume":"162","author":[{"family":"Jaouen","given":"Klervia"},{"family":"Herrscher","given":"Estelle"},{"family":"Balter","given":"Vincent"}],"issued":{"date-parts":[["2017",3]]}}}],"schema":"https://github.com/citation-style-language/schema/raw/master/csl-citation.json"} </w:instrText>
      </w:r>
      <w:r w:rsidR="00D23667">
        <w:rPr>
          <w:rFonts w:ascii="Times New Roman" w:hAnsi="Times New Roman" w:cs="Times New Roman"/>
          <w:sz w:val="24"/>
          <w:szCs w:val="24"/>
        </w:rPr>
        <w:fldChar w:fldCharType="separate"/>
      </w:r>
      <w:r w:rsidR="000E7E53" w:rsidRPr="000E7E53">
        <w:rPr>
          <w:rFonts w:ascii="Times New Roman" w:hAnsi="Times New Roman" w:cs="Times New Roman"/>
          <w:sz w:val="24"/>
          <w:szCs w:val="24"/>
          <w:vertAlign w:val="superscript"/>
        </w:rPr>
        <w:t>22,25,27,64,99</w:t>
      </w:r>
      <w:r w:rsidR="00D23667">
        <w:rPr>
          <w:rFonts w:ascii="Times New Roman" w:hAnsi="Times New Roman" w:cs="Times New Roman"/>
          <w:sz w:val="24"/>
          <w:szCs w:val="24"/>
        </w:rPr>
        <w:fldChar w:fldCharType="end"/>
      </w:r>
      <w:r w:rsidR="00180841">
        <w:rPr>
          <w:rFonts w:ascii="Times New Roman" w:hAnsi="Times New Roman" w:cs="Times New Roman"/>
          <w:sz w:val="24"/>
          <w:szCs w:val="24"/>
        </w:rPr>
        <w:t>)</w:t>
      </w:r>
    </w:p>
    <w:p w14:paraId="27A104DC" w14:textId="77777777" w:rsidR="002E7444" w:rsidRPr="00D70D43" w:rsidRDefault="002E7444" w:rsidP="002E7444">
      <w:pPr>
        <w:spacing w:after="0" w:line="360" w:lineRule="auto"/>
        <w:rPr>
          <w:rFonts w:ascii="Times New Roman" w:hAnsi="Times New Roman" w:cs="Times New Roman"/>
          <w:b/>
          <w:sz w:val="24"/>
          <w:szCs w:val="24"/>
          <w:highlight w:val="yellow"/>
        </w:rPr>
      </w:pPr>
    </w:p>
    <w:p w14:paraId="237817D8" w14:textId="77777777" w:rsidR="002E7444" w:rsidRPr="00D70D43" w:rsidRDefault="002E7444">
      <w:pPr>
        <w:spacing w:after="0" w:line="240" w:lineRule="auto"/>
        <w:rPr>
          <w:rFonts w:ascii="Times New Roman" w:eastAsia="Times New Roman" w:hAnsi="Times New Roman" w:cs="Times New Roman"/>
          <w:b/>
          <w:sz w:val="24"/>
          <w:szCs w:val="24"/>
        </w:rPr>
      </w:pPr>
    </w:p>
    <w:p w14:paraId="0000046E" w14:textId="77777777" w:rsidR="00784AF4" w:rsidRPr="00D70D43" w:rsidRDefault="00784AF4">
      <w:pPr>
        <w:spacing w:after="0" w:line="240" w:lineRule="auto"/>
        <w:rPr>
          <w:rFonts w:ascii="Times New Roman" w:eastAsia="Times New Roman" w:hAnsi="Times New Roman" w:cs="Times New Roman"/>
          <w:b/>
          <w:sz w:val="24"/>
          <w:szCs w:val="24"/>
        </w:rPr>
      </w:pPr>
    </w:p>
    <w:p w14:paraId="0000046F" w14:textId="77777777" w:rsidR="00784AF4" w:rsidRPr="00D70D43" w:rsidRDefault="00784AF4">
      <w:pPr>
        <w:spacing w:after="0" w:line="240" w:lineRule="auto"/>
        <w:rPr>
          <w:rFonts w:ascii="Times New Roman" w:eastAsia="Times New Roman" w:hAnsi="Times New Roman" w:cs="Times New Roman"/>
          <w:b/>
          <w:sz w:val="24"/>
          <w:szCs w:val="24"/>
        </w:rPr>
      </w:pPr>
    </w:p>
    <w:p w14:paraId="00000470" w14:textId="77777777" w:rsidR="00784AF4" w:rsidRPr="00D70D43" w:rsidRDefault="00784AF4">
      <w:pPr>
        <w:spacing w:after="0" w:line="240" w:lineRule="auto"/>
        <w:jc w:val="center"/>
        <w:rPr>
          <w:rFonts w:ascii="Times New Roman" w:eastAsia="Times New Roman" w:hAnsi="Times New Roman" w:cs="Times New Roman"/>
          <w:b/>
          <w:sz w:val="24"/>
          <w:szCs w:val="24"/>
        </w:rPr>
      </w:pPr>
    </w:p>
    <w:p w14:paraId="00000471" w14:textId="77777777" w:rsidR="00784AF4" w:rsidRPr="00D70D43" w:rsidRDefault="00784AF4">
      <w:pPr>
        <w:spacing w:after="0" w:line="240" w:lineRule="auto"/>
        <w:jc w:val="center"/>
        <w:rPr>
          <w:rFonts w:ascii="Times New Roman" w:eastAsia="Times New Roman" w:hAnsi="Times New Roman" w:cs="Times New Roman"/>
          <w:b/>
          <w:sz w:val="24"/>
          <w:szCs w:val="24"/>
        </w:rPr>
      </w:pPr>
    </w:p>
    <w:p w14:paraId="00000472" w14:textId="77777777" w:rsidR="00784AF4" w:rsidRPr="00D70D43" w:rsidRDefault="00784AF4">
      <w:pPr>
        <w:spacing w:after="0" w:line="240" w:lineRule="auto"/>
        <w:jc w:val="center"/>
        <w:rPr>
          <w:rFonts w:ascii="Times New Roman" w:eastAsia="Times New Roman" w:hAnsi="Times New Roman" w:cs="Times New Roman"/>
          <w:b/>
          <w:sz w:val="24"/>
          <w:szCs w:val="24"/>
        </w:rPr>
      </w:pPr>
    </w:p>
    <w:p w14:paraId="00000473" w14:textId="77777777" w:rsidR="00784AF4" w:rsidRPr="00D70D43" w:rsidRDefault="00784AF4">
      <w:pPr>
        <w:spacing w:after="0" w:line="240" w:lineRule="auto"/>
        <w:jc w:val="center"/>
        <w:rPr>
          <w:rFonts w:ascii="Times New Roman" w:eastAsia="Times New Roman" w:hAnsi="Times New Roman" w:cs="Times New Roman"/>
          <w:b/>
          <w:sz w:val="24"/>
          <w:szCs w:val="24"/>
        </w:rPr>
      </w:pPr>
    </w:p>
    <w:p w14:paraId="00000474" w14:textId="77777777" w:rsidR="00784AF4" w:rsidRPr="00D70D43" w:rsidRDefault="00784AF4">
      <w:pPr>
        <w:spacing w:after="0" w:line="240" w:lineRule="auto"/>
        <w:jc w:val="center"/>
        <w:rPr>
          <w:rFonts w:ascii="Times New Roman" w:eastAsia="Times New Roman" w:hAnsi="Times New Roman" w:cs="Times New Roman"/>
          <w:b/>
          <w:sz w:val="24"/>
          <w:szCs w:val="24"/>
        </w:rPr>
      </w:pPr>
    </w:p>
    <w:p w14:paraId="00000475" w14:textId="77777777" w:rsidR="00784AF4" w:rsidRPr="00D70D43" w:rsidRDefault="00784AF4">
      <w:pPr>
        <w:spacing w:after="0" w:line="240" w:lineRule="auto"/>
        <w:rPr>
          <w:rFonts w:ascii="Times New Roman" w:eastAsia="Times New Roman" w:hAnsi="Times New Roman" w:cs="Times New Roman"/>
          <w:b/>
          <w:sz w:val="24"/>
          <w:szCs w:val="24"/>
        </w:rPr>
      </w:pPr>
    </w:p>
    <w:p w14:paraId="00000476" w14:textId="77777777" w:rsidR="00784AF4" w:rsidRPr="00D70D43" w:rsidRDefault="00784AF4">
      <w:pPr>
        <w:rPr>
          <w:rFonts w:ascii="Times New Roman" w:hAnsi="Times New Roman" w:cs="Times New Roman"/>
          <w:b/>
          <w:sz w:val="24"/>
          <w:szCs w:val="24"/>
        </w:rPr>
      </w:pPr>
    </w:p>
    <w:p w14:paraId="00000477" w14:textId="77777777" w:rsidR="00784AF4" w:rsidRPr="00D70D43" w:rsidRDefault="00784AF4">
      <w:pPr>
        <w:rPr>
          <w:rFonts w:ascii="Times New Roman" w:hAnsi="Times New Roman" w:cs="Times New Roman"/>
          <w:b/>
          <w:sz w:val="24"/>
          <w:szCs w:val="24"/>
        </w:rPr>
      </w:pPr>
    </w:p>
    <w:p w14:paraId="00000478" w14:textId="77777777" w:rsidR="00784AF4" w:rsidRPr="00D70D43" w:rsidRDefault="00784AF4">
      <w:pPr>
        <w:rPr>
          <w:rFonts w:ascii="Times New Roman" w:hAnsi="Times New Roman" w:cs="Times New Roman"/>
          <w:b/>
          <w:sz w:val="24"/>
          <w:szCs w:val="24"/>
        </w:rPr>
      </w:pPr>
    </w:p>
    <w:p w14:paraId="06DA4AB4" w14:textId="705F66C9" w:rsidR="002F23AA" w:rsidRDefault="002F23AA">
      <w:pPr>
        <w:rPr>
          <w:rFonts w:ascii="Times New Roman" w:hAnsi="Times New Roman" w:cs="Times New Roman"/>
          <w:b/>
          <w:sz w:val="24"/>
          <w:szCs w:val="24"/>
        </w:rPr>
      </w:pPr>
      <w:r>
        <w:rPr>
          <w:rFonts w:ascii="Times New Roman" w:hAnsi="Times New Roman" w:cs="Times New Roman"/>
          <w:b/>
          <w:sz w:val="24"/>
          <w:szCs w:val="24"/>
        </w:rPr>
        <w:t xml:space="preserve">Excel sheets: </w:t>
      </w:r>
    </w:p>
    <w:p w14:paraId="16F72B0D" w14:textId="37C72EAA" w:rsidR="002F23AA" w:rsidRPr="002F23AA" w:rsidRDefault="002F23AA">
      <w:pPr>
        <w:rPr>
          <w:rFonts w:ascii="Times New Roman" w:hAnsi="Times New Roman" w:cs="Times New Roman"/>
          <w:bCs/>
          <w:sz w:val="24"/>
          <w:szCs w:val="24"/>
        </w:rPr>
      </w:pPr>
      <w:r w:rsidRPr="00D70D43">
        <w:rPr>
          <w:rFonts w:ascii="Times New Roman" w:hAnsi="Times New Roman" w:cs="Times New Roman"/>
          <w:b/>
          <w:sz w:val="24"/>
          <w:szCs w:val="24"/>
        </w:rPr>
        <w:t xml:space="preserve">Table SI </w:t>
      </w:r>
      <w:r>
        <w:rPr>
          <w:rFonts w:ascii="Times New Roman" w:hAnsi="Times New Roman" w:cs="Times New Roman"/>
          <w:b/>
          <w:sz w:val="24"/>
          <w:szCs w:val="24"/>
        </w:rPr>
        <w:t>1</w:t>
      </w:r>
      <w:r w:rsidRPr="00D70D43">
        <w:rPr>
          <w:rFonts w:ascii="Times New Roman" w:hAnsi="Times New Roman" w:cs="Times New Roman"/>
          <w:b/>
          <w:sz w:val="24"/>
          <w:szCs w:val="24"/>
        </w:rPr>
        <w:t>:</w:t>
      </w:r>
      <w:r w:rsidRPr="002F23AA">
        <w:t xml:space="preserve"> </w:t>
      </w:r>
      <w:r w:rsidRPr="002F23AA">
        <w:rPr>
          <w:rFonts w:ascii="Times New Roman" w:hAnsi="Times New Roman" w:cs="Times New Roman"/>
          <w:bCs/>
          <w:sz w:val="24"/>
          <w:szCs w:val="24"/>
        </w:rPr>
        <w:t>The faunal species included in our stud</w:t>
      </w:r>
      <w:r w:rsidR="004B37D1">
        <w:rPr>
          <w:rFonts w:ascii="Times New Roman" w:hAnsi="Times New Roman" w:cs="Times New Roman"/>
          <w:bCs/>
          <w:sz w:val="24"/>
          <w:szCs w:val="24"/>
        </w:rPr>
        <w:t>y</w:t>
      </w:r>
      <w:r w:rsidRPr="002F23AA">
        <w:rPr>
          <w:rFonts w:ascii="Times New Roman" w:hAnsi="Times New Roman" w:cs="Times New Roman"/>
          <w:bCs/>
          <w:sz w:val="24"/>
          <w:szCs w:val="24"/>
        </w:rPr>
        <w:t xml:space="preserve"> along with their diet and water intake</w:t>
      </w:r>
      <w:r>
        <w:rPr>
          <w:rFonts w:ascii="Times New Roman" w:hAnsi="Times New Roman" w:cs="Times New Roman"/>
          <w:bCs/>
          <w:sz w:val="24"/>
          <w:szCs w:val="24"/>
        </w:rPr>
        <w:t xml:space="preserve"> information</w:t>
      </w:r>
    </w:p>
    <w:p w14:paraId="355263F0" w14:textId="2C388A98" w:rsidR="002F23AA" w:rsidRPr="002F23AA" w:rsidRDefault="002F23AA">
      <w:pPr>
        <w:rPr>
          <w:rFonts w:ascii="Times New Roman" w:hAnsi="Times New Roman" w:cs="Times New Roman"/>
          <w:bCs/>
          <w:sz w:val="24"/>
          <w:szCs w:val="24"/>
        </w:rPr>
      </w:pPr>
      <w:r w:rsidRPr="00D70D43">
        <w:rPr>
          <w:rFonts w:ascii="Times New Roman" w:hAnsi="Times New Roman" w:cs="Times New Roman"/>
          <w:b/>
          <w:sz w:val="24"/>
          <w:szCs w:val="24"/>
        </w:rPr>
        <w:t xml:space="preserve">Table SI </w:t>
      </w:r>
      <w:r>
        <w:rPr>
          <w:rFonts w:ascii="Times New Roman" w:hAnsi="Times New Roman" w:cs="Times New Roman"/>
          <w:b/>
          <w:sz w:val="24"/>
          <w:szCs w:val="24"/>
        </w:rPr>
        <w:t>2</w:t>
      </w:r>
      <w:r w:rsidRPr="00D70D43">
        <w:rPr>
          <w:rFonts w:ascii="Times New Roman" w:hAnsi="Times New Roman" w:cs="Times New Roman"/>
          <w:b/>
          <w:sz w:val="24"/>
          <w:szCs w:val="24"/>
        </w:rPr>
        <w:t>:</w:t>
      </w:r>
      <w:r>
        <w:rPr>
          <w:rFonts w:ascii="Times New Roman" w:hAnsi="Times New Roman" w:cs="Times New Roman"/>
          <w:b/>
          <w:sz w:val="24"/>
          <w:szCs w:val="24"/>
        </w:rPr>
        <w:t xml:space="preserve"> </w:t>
      </w:r>
      <w:r w:rsidRPr="002F23AA">
        <w:rPr>
          <w:rFonts w:ascii="Times New Roman" w:hAnsi="Times New Roman" w:cs="Times New Roman"/>
          <w:bCs/>
          <w:sz w:val="24"/>
          <w:szCs w:val="24"/>
        </w:rPr>
        <w:t>The human individuals from Taforalt included in our study along with their age and gender estimation</w:t>
      </w:r>
    </w:p>
    <w:p w14:paraId="00000479" w14:textId="51C35AF7" w:rsidR="00784AF4" w:rsidRPr="00D70D43" w:rsidRDefault="0003068C">
      <w:pPr>
        <w:rPr>
          <w:rFonts w:ascii="Times New Roman" w:hAnsi="Times New Roman" w:cs="Times New Roman"/>
          <w:sz w:val="24"/>
          <w:szCs w:val="24"/>
        </w:rPr>
      </w:pPr>
      <w:r w:rsidRPr="00D70D43">
        <w:rPr>
          <w:rFonts w:ascii="Times New Roman" w:hAnsi="Times New Roman" w:cs="Times New Roman"/>
          <w:b/>
          <w:sz w:val="24"/>
          <w:szCs w:val="24"/>
        </w:rPr>
        <w:t>Table SI 3:</w:t>
      </w:r>
      <w:r w:rsidRPr="00D70D43">
        <w:rPr>
          <w:rFonts w:ascii="Times New Roman" w:hAnsi="Times New Roman" w:cs="Times New Roman"/>
          <w:sz w:val="24"/>
          <w:szCs w:val="24"/>
        </w:rPr>
        <w:t xml:space="preserve"> Zn, Sr, C, N and S isotope data for human</w:t>
      </w:r>
      <w:r w:rsidR="004B37D1">
        <w:rPr>
          <w:rFonts w:ascii="Times New Roman" w:hAnsi="Times New Roman" w:cs="Times New Roman"/>
          <w:sz w:val="24"/>
          <w:szCs w:val="24"/>
        </w:rPr>
        <w:t xml:space="preserve"> </w:t>
      </w:r>
      <w:r w:rsidRPr="00D70D43">
        <w:rPr>
          <w:rFonts w:ascii="Times New Roman" w:hAnsi="Times New Roman" w:cs="Times New Roman"/>
          <w:sz w:val="24"/>
          <w:szCs w:val="24"/>
        </w:rPr>
        <w:t>teeth from Taforalt</w:t>
      </w:r>
    </w:p>
    <w:p w14:paraId="0000047A" w14:textId="77777777" w:rsidR="00784AF4" w:rsidRPr="00D70D43" w:rsidRDefault="00784AF4">
      <w:pPr>
        <w:rPr>
          <w:rFonts w:ascii="Times New Roman" w:hAnsi="Times New Roman" w:cs="Times New Roman"/>
          <w:sz w:val="24"/>
          <w:szCs w:val="24"/>
        </w:rPr>
      </w:pPr>
    </w:p>
    <w:p w14:paraId="0000047B" w14:textId="2E6DDC55" w:rsidR="00784AF4" w:rsidRPr="00D70D43" w:rsidRDefault="0003068C">
      <w:pPr>
        <w:rPr>
          <w:rFonts w:ascii="Times New Roman" w:hAnsi="Times New Roman" w:cs="Times New Roman"/>
          <w:sz w:val="24"/>
          <w:szCs w:val="24"/>
        </w:rPr>
      </w:pPr>
      <w:r w:rsidRPr="00D70D43">
        <w:rPr>
          <w:rFonts w:ascii="Times New Roman" w:hAnsi="Times New Roman" w:cs="Times New Roman"/>
          <w:b/>
          <w:sz w:val="24"/>
          <w:szCs w:val="24"/>
        </w:rPr>
        <w:t>Table SI 4:</w:t>
      </w:r>
      <w:r w:rsidRPr="00D70D43">
        <w:rPr>
          <w:rFonts w:ascii="Times New Roman" w:hAnsi="Times New Roman" w:cs="Times New Roman"/>
          <w:sz w:val="24"/>
          <w:szCs w:val="24"/>
        </w:rPr>
        <w:t xml:space="preserve"> Zn, Sr, C, N and S isotope data for the animal’s teeth from Taforalt </w:t>
      </w:r>
    </w:p>
    <w:p w14:paraId="0000047C" w14:textId="77777777" w:rsidR="00784AF4" w:rsidRPr="00D70D43" w:rsidRDefault="00784AF4">
      <w:pPr>
        <w:rPr>
          <w:rFonts w:ascii="Times New Roman" w:hAnsi="Times New Roman" w:cs="Times New Roman"/>
          <w:sz w:val="24"/>
          <w:szCs w:val="24"/>
        </w:rPr>
      </w:pPr>
    </w:p>
    <w:p w14:paraId="0000047E" w14:textId="271430E1" w:rsidR="00784AF4" w:rsidRPr="00D70D43" w:rsidRDefault="0003068C" w:rsidP="00ED55A0">
      <w:pPr>
        <w:rPr>
          <w:rFonts w:ascii="Times New Roman" w:hAnsi="Times New Roman" w:cs="Times New Roman"/>
          <w:sz w:val="24"/>
          <w:szCs w:val="24"/>
        </w:rPr>
      </w:pPr>
      <w:r w:rsidRPr="00D70D43">
        <w:rPr>
          <w:rFonts w:ascii="Times New Roman" w:hAnsi="Times New Roman" w:cs="Times New Roman"/>
          <w:b/>
          <w:sz w:val="24"/>
          <w:szCs w:val="24"/>
        </w:rPr>
        <w:t>Table SI 5:</w:t>
      </w:r>
      <w:r w:rsidRPr="00D70D43">
        <w:rPr>
          <w:rFonts w:ascii="Times New Roman" w:hAnsi="Times New Roman" w:cs="Times New Roman"/>
          <w:sz w:val="24"/>
          <w:szCs w:val="24"/>
        </w:rPr>
        <w:t xml:space="preserve"> </w:t>
      </w:r>
      <w:r w:rsidR="00ED55A0" w:rsidRPr="00ED55A0">
        <w:rPr>
          <w:rFonts w:ascii="Times New Roman" w:hAnsi="Times New Roman" w:cs="Times New Roman"/>
          <w:sz w:val="24"/>
          <w:szCs w:val="24"/>
        </w:rPr>
        <w:t xml:space="preserve">The zooarchaeological and the </w:t>
      </w:r>
      <w:proofErr w:type="spellStart"/>
      <w:r w:rsidR="00ED55A0" w:rsidRPr="00ED55A0">
        <w:rPr>
          <w:rFonts w:ascii="Times New Roman" w:hAnsi="Times New Roman" w:cs="Times New Roman"/>
          <w:sz w:val="24"/>
          <w:szCs w:val="24"/>
        </w:rPr>
        <w:t>ZooMs</w:t>
      </w:r>
      <w:proofErr w:type="spellEnd"/>
      <w:r w:rsidR="00ED55A0" w:rsidRPr="00ED55A0">
        <w:rPr>
          <w:rFonts w:ascii="Times New Roman" w:hAnsi="Times New Roman" w:cs="Times New Roman"/>
          <w:sz w:val="24"/>
          <w:szCs w:val="24"/>
        </w:rPr>
        <w:t xml:space="preserve"> identification of the animal species</w:t>
      </w:r>
    </w:p>
    <w:p w14:paraId="00000480" w14:textId="0B461324" w:rsidR="00784AF4" w:rsidRDefault="0003068C" w:rsidP="00ED55A0">
      <w:pPr>
        <w:rPr>
          <w:rFonts w:ascii="Times New Roman" w:hAnsi="Times New Roman" w:cs="Times New Roman"/>
          <w:sz w:val="24"/>
          <w:szCs w:val="24"/>
        </w:rPr>
      </w:pPr>
      <w:r w:rsidRPr="00D70D43">
        <w:rPr>
          <w:rFonts w:ascii="Times New Roman" w:hAnsi="Times New Roman" w:cs="Times New Roman"/>
          <w:b/>
          <w:sz w:val="24"/>
          <w:szCs w:val="24"/>
        </w:rPr>
        <w:t>Table SI 6</w:t>
      </w:r>
      <w:r w:rsidRPr="007D66F4">
        <w:rPr>
          <w:rFonts w:ascii="Times New Roman" w:hAnsi="Times New Roman" w:cs="Times New Roman"/>
          <w:b/>
          <w:bCs/>
          <w:sz w:val="24"/>
          <w:szCs w:val="24"/>
        </w:rPr>
        <w:t>:</w:t>
      </w:r>
      <w:r w:rsidRPr="00D70D43">
        <w:rPr>
          <w:rFonts w:ascii="Times New Roman" w:hAnsi="Times New Roman" w:cs="Times New Roman"/>
          <w:sz w:val="24"/>
          <w:szCs w:val="24"/>
        </w:rPr>
        <w:t xml:space="preserve"> </w:t>
      </w:r>
      <w:r w:rsidR="00ED55A0" w:rsidRPr="00ED55A0">
        <w:rPr>
          <w:rFonts w:ascii="Times New Roman" w:hAnsi="Times New Roman" w:cs="Times New Roman"/>
          <w:sz w:val="24"/>
          <w:szCs w:val="24"/>
        </w:rPr>
        <w:t xml:space="preserve">The mean value of the isotopic results for each human individual from Taforalt </w:t>
      </w:r>
      <w:proofErr w:type="spellStart"/>
      <w:r w:rsidR="00ED55A0" w:rsidRPr="00ED55A0">
        <w:rPr>
          <w:rFonts w:ascii="Times New Roman" w:hAnsi="Times New Roman" w:cs="Times New Roman"/>
          <w:sz w:val="24"/>
          <w:szCs w:val="24"/>
        </w:rPr>
        <w:t>analysed</w:t>
      </w:r>
      <w:proofErr w:type="spellEnd"/>
      <w:r w:rsidR="00ED55A0" w:rsidRPr="00ED55A0">
        <w:rPr>
          <w:rFonts w:ascii="Times New Roman" w:hAnsi="Times New Roman" w:cs="Times New Roman"/>
          <w:sz w:val="24"/>
          <w:szCs w:val="24"/>
        </w:rPr>
        <w:t xml:space="preserve"> in this study</w:t>
      </w:r>
      <w:r w:rsidRPr="00D70D43">
        <w:rPr>
          <w:rFonts w:ascii="Times New Roman" w:hAnsi="Times New Roman" w:cs="Times New Roman"/>
          <w:sz w:val="24"/>
          <w:szCs w:val="24"/>
        </w:rPr>
        <w:t xml:space="preserve"> </w:t>
      </w:r>
    </w:p>
    <w:p w14:paraId="6C4DD1C6" w14:textId="6318E5C3" w:rsidR="00ED55A0" w:rsidRDefault="00ED55A0" w:rsidP="00ED55A0">
      <w:pPr>
        <w:rPr>
          <w:rFonts w:ascii="Times New Roman" w:hAnsi="Times New Roman" w:cs="Times New Roman"/>
          <w:sz w:val="24"/>
          <w:szCs w:val="24"/>
        </w:rPr>
      </w:pPr>
      <w:r w:rsidRPr="00D70D43">
        <w:rPr>
          <w:rFonts w:ascii="Times New Roman" w:hAnsi="Times New Roman" w:cs="Times New Roman"/>
          <w:b/>
          <w:sz w:val="24"/>
          <w:szCs w:val="24"/>
        </w:rPr>
        <w:t xml:space="preserve">Table SI </w:t>
      </w:r>
      <w:r>
        <w:rPr>
          <w:rFonts w:ascii="Times New Roman" w:hAnsi="Times New Roman" w:cs="Times New Roman"/>
          <w:b/>
          <w:sz w:val="24"/>
          <w:szCs w:val="24"/>
        </w:rPr>
        <w:t>7</w:t>
      </w:r>
      <w:r w:rsidRPr="007D66F4">
        <w:rPr>
          <w:rFonts w:ascii="Times New Roman" w:hAnsi="Times New Roman" w:cs="Times New Roman"/>
          <w:b/>
          <w:bCs/>
          <w:sz w:val="24"/>
          <w:szCs w:val="24"/>
        </w:rPr>
        <w:t>:</w:t>
      </w:r>
      <w:r>
        <w:rPr>
          <w:rFonts w:ascii="Times New Roman" w:hAnsi="Times New Roman" w:cs="Times New Roman"/>
          <w:sz w:val="24"/>
          <w:szCs w:val="24"/>
        </w:rPr>
        <w:t xml:space="preserve"> The caries and hypoplasia presence in the analyzed teeth of the humans</w:t>
      </w:r>
    </w:p>
    <w:p w14:paraId="4D33622D" w14:textId="41DDDB10" w:rsidR="00ED55A0" w:rsidRDefault="00ED55A0" w:rsidP="00ED55A0">
      <w:pPr>
        <w:rPr>
          <w:rFonts w:ascii="Times New Roman" w:hAnsi="Times New Roman" w:cs="Times New Roman"/>
          <w:sz w:val="24"/>
          <w:szCs w:val="24"/>
        </w:rPr>
      </w:pPr>
      <w:r w:rsidRPr="00ED55A0">
        <w:rPr>
          <w:rFonts w:ascii="Times New Roman" w:hAnsi="Times New Roman" w:cs="Times New Roman"/>
          <w:b/>
          <w:sz w:val="24"/>
          <w:szCs w:val="24"/>
        </w:rPr>
        <w:t>Table SI 8:</w:t>
      </w:r>
      <w:r>
        <w:rPr>
          <w:rFonts w:ascii="Times New Roman" w:hAnsi="Times New Roman" w:cs="Times New Roman"/>
          <w:sz w:val="24"/>
          <w:szCs w:val="24"/>
        </w:rPr>
        <w:t xml:space="preserve"> </w:t>
      </w:r>
      <w:r w:rsidRPr="00ED55A0">
        <w:rPr>
          <w:rFonts w:ascii="Times New Roman" w:hAnsi="Times New Roman" w:cs="Times New Roman"/>
          <w:sz w:val="24"/>
          <w:szCs w:val="24"/>
        </w:rPr>
        <w:t>Nitrogen isotope data on amino acids</w:t>
      </w:r>
    </w:p>
    <w:p w14:paraId="65558FBE" w14:textId="0ED48D86" w:rsidR="00ED55A0" w:rsidRPr="000552F1" w:rsidRDefault="00ED55A0" w:rsidP="00ED55A0">
      <w:pPr>
        <w:rPr>
          <w:rFonts w:ascii="Times New Roman" w:hAnsi="Times New Roman" w:cs="Times New Roman"/>
          <w:sz w:val="24"/>
          <w:szCs w:val="24"/>
        </w:rPr>
      </w:pPr>
      <w:r w:rsidRPr="00ED55A0">
        <w:rPr>
          <w:rFonts w:ascii="Times New Roman" w:hAnsi="Times New Roman" w:cs="Times New Roman"/>
          <w:b/>
          <w:sz w:val="24"/>
          <w:szCs w:val="24"/>
        </w:rPr>
        <w:t>Table SI 9:</w:t>
      </w:r>
      <w:r w:rsidRPr="000552F1">
        <w:rPr>
          <w:rFonts w:ascii="Times New Roman" w:hAnsi="Times New Roman" w:cs="Times New Roman"/>
          <w:sz w:val="24"/>
          <w:szCs w:val="24"/>
        </w:rPr>
        <w:t xml:space="preserve"> </w:t>
      </w:r>
      <w:r w:rsidR="007D66F4" w:rsidRPr="000552F1">
        <w:rPr>
          <w:rFonts w:ascii="Times New Roman" w:hAnsi="Times New Roman" w:cs="Times New Roman"/>
          <w:sz w:val="24"/>
          <w:szCs w:val="24"/>
        </w:rPr>
        <w:t>Carbon isotope</w:t>
      </w:r>
      <w:r w:rsidRPr="000552F1">
        <w:rPr>
          <w:rFonts w:ascii="Times New Roman" w:hAnsi="Times New Roman" w:cs="Times New Roman"/>
          <w:sz w:val="24"/>
          <w:szCs w:val="24"/>
        </w:rPr>
        <w:t xml:space="preserve"> data on amino acids</w:t>
      </w:r>
    </w:p>
    <w:p w14:paraId="1973FCEA" w14:textId="75C8CA79" w:rsidR="00ED55A0" w:rsidRPr="00ED55A0" w:rsidRDefault="00ED55A0" w:rsidP="00ED55A0">
      <w:pPr>
        <w:rPr>
          <w:rFonts w:ascii="Times New Roman" w:hAnsi="Times New Roman" w:cs="Times New Roman"/>
          <w:sz w:val="24"/>
          <w:szCs w:val="24"/>
        </w:rPr>
      </w:pPr>
      <w:r w:rsidRPr="00ED55A0">
        <w:rPr>
          <w:rFonts w:ascii="Times New Roman" w:hAnsi="Times New Roman" w:cs="Times New Roman"/>
          <w:b/>
          <w:bCs/>
          <w:sz w:val="24"/>
          <w:szCs w:val="24"/>
        </w:rPr>
        <w:t>Table SI 10:</w:t>
      </w:r>
      <w:r w:rsidRPr="00ED55A0">
        <w:rPr>
          <w:rFonts w:ascii="Times New Roman" w:hAnsi="Times New Roman" w:cs="Times New Roman"/>
          <w:sz w:val="24"/>
          <w:szCs w:val="24"/>
        </w:rPr>
        <w:t xml:space="preserve"> Covariance matrix with the calculated eigenvalues for each of the features used.</w:t>
      </w:r>
    </w:p>
    <w:p w14:paraId="4B5D3833" w14:textId="77777777" w:rsidR="00ED55A0" w:rsidRPr="00ED55A0" w:rsidRDefault="00ED55A0" w:rsidP="00ED55A0">
      <w:pPr>
        <w:rPr>
          <w:rFonts w:ascii="Times New Roman" w:hAnsi="Times New Roman" w:cs="Times New Roman"/>
          <w:b/>
          <w:color w:val="0563C1"/>
          <w:sz w:val="24"/>
          <w:szCs w:val="24"/>
          <w:u w:val="single"/>
        </w:rPr>
      </w:pPr>
    </w:p>
    <w:p w14:paraId="0D4FCDAD" w14:textId="0BF2E134" w:rsidR="0020388D" w:rsidRDefault="0020388D">
      <w:pPr>
        <w:rPr>
          <w:rFonts w:ascii="Times New Roman" w:hAnsi="Times New Roman" w:cs="Times New Roman"/>
          <w:sz w:val="24"/>
          <w:szCs w:val="24"/>
        </w:rPr>
      </w:pPr>
    </w:p>
    <w:p w14:paraId="7FB641CE" w14:textId="1148E180" w:rsidR="001F6756" w:rsidRDefault="001F6756">
      <w:pPr>
        <w:rPr>
          <w:rFonts w:ascii="Times New Roman" w:hAnsi="Times New Roman" w:cs="Times New Roman"/>
          <w:sz w:val="24"/>
          <w:szCs w:val="24"/>
        </w:rPr>
      </w:pPr>
    </w:p>
    <w:p w14:paraId="33FFB442" w14:textId="77777777" w:rsidR="001F6756" w:rsidRPr="00ED55A0" w:rsidRDefault="001F6756">
      <w:pPr>
        <w:rPr>
          <w:rFonts w:ascii="Times New Roman" w:hAnsi="Times New Roman" w:cs="Times New Roman"/>
          <w:sz w:val="24"/>
          <w:szCs w:val="24"/>
        </w:rPr>
      </w:pPr>
    </w:p>
    <w:p w14:paraId="0691836E" w14:textId="176BC1A5" w:rsidR="0020388D" w:rsidRPr="00ED55A0" w:rsidRDefault="0020388D">
      <w:pPr>
        <w:rPr>
          <w:rFonts w:ascii="Times New Roman" w:hAnsi="Times New Roman" w:cs="Times New Roman"/>
          <w:sz w:val="24"/>
          <w:szCs w:val="24"/>
        </w:rPr>
      </w:pPr>
    </w:p>
    <w:p w14:paraId="798B8ECF" w14:textId="45CE3BEA" w:rsidR="0020388D" w:rsidRPr="003C7995" w:rsidRDefault="0020388D" w:rsidP="0020388D">
      <w:pPr>
        <w:spacing w:after="0" w:line="360" w:lineRule="auto"/>
        <w:rPr>
          <w:rFonts w:ascii="Times New Roman" w:hAnsi="Times New Roman" w:cs="Times New Roman"/>
          <w:b/>
          <w:sz w:val="24"/>
          <w:szCs w:val="24"/>
          <w:highlight w:val="white"/>
          <w:u w:val="single"/>
        </w:rPr>
      </w:pPr>
      <w:r w:rsidRPr="003C7995">
        <w:rPr>
          <w:rFonts w:ascii="Times New Roman" w:hAnsi="Times New Roman" w:cs="Times New Roman"/>
          <w:b/>
          <w:sz w:val="24"/>
          <w:szCs w:val="24"/>
          <w:highlight w:val="white"/>
          <w:u w:val="single"/>
        </w:rPr>
        <w:lastRenderedPageBreak/>
        <w:t xml:space="preserve">Supplementary information </w:t>
      </w:r>
      <w:r>
        <w:rPr>
          <w:rFonts w:ascii="Times New Roman" w:hAnsi="Times New Roman" w:cs="Times New Roman"/>
          <w:b/>
          <w:sz w:val="24"/>
          <w:szCs w:val="24"/>
          <w:highlight w:val="white"/>
          <w:u w:val="single"/>
        </w:rPr>
        <w:t xml:space="preserve">7: </w:t>
      </w:r>
      <w:r>
        <w:rPr>
          <w:rFonts w:ascii="Times New Roman" w:eastAsia="Times New Roman" w:hAnsi="Times New Roman" w:cs="Times New Roman"/>
          <w:b/>
          <w:sz w:val="24"/>
          <w:szCs w:val="24"/>
        </w:rPr>
        <w:t>Extracts of 3D Scans of the human teeth</w:t>
      </w:r>
      <w:r w:rsidR="00894D0F">
        <w:rPr>
          <w:rFonts w:ascii="Times New Roman" w:eastAsia="Times New Roman" w:hAnsi="Times New Roman" w:cs="Times New Roman"/>
          <w:b/>
          <w:sz w:val="24"/>
          <w:szCs w:val="24"/>
        </w:rPr>
        <w:t xml:space="preserve"> (pdf)</w:t>
      </w:r>
    </w:p>
    <w:p w14:paraId="1BF090A4" w14:textId="78397DBB" w:rsidR="0020388D" w:rsidRDefault="0020388D">
      <w:pPr>
        <w:rPr>
          <w:rFonts w:ascii="Times New Roman" w:hAnsi="Times New Roman" w:cs="Times New Roman"/>
          <w:sz w:val="24"/>
          <w:szCs w:val="24"/>
        </w:rPr>
      </w:pPr>
    </w:p>
    <w:p w14:paraId="50997488" w14:textId="2A185A27" w:rsidR="009C1161" w:rsidRDefault="009C1161">
      <w:pPr>
        <w:rPr>
          <w:rFonts w:ascii="Times New Roman" w:hAnsi="Times New Roman" w:cs="Times New Roman"/>
          <w:sz w:val="24"/>
          <w:szCs w:val="24"/>
        </w:rPr>
      </w:pPr>
    </w:p>
    <w:p w14:paraId="03474E5B" w14:textId="51B687E7" w:rsidR="009C1161" w:rsidRDefault="009C1161">
      <w:pPr>
        <w:rPr>
          <w:rFonts w:ascii="Times New Roman" w:hAnsi="Times New Roman" w:cs="Times New Roman"/>
          <w:sz w:val="24"/>
          <w:szCs w:val="24"/>
        </w:rPr>
      </w:pPr>
      <w:r>
        <w:rPr>
          <w:rFonts w:ascii="Times New Roman" w:hAnsi="Times New Roman" w:cs="Times New Roman"/>
          <w:sz w:val="24"/>
          <w:szCs w:val="24"/>
        </w:rPr>
        <w:t xml:space="preserve">References: </w:t>
      </w:r>
    </w:p>
    <w:p w14:paraId="6288795A" w14:textId="28A45E58" w:rsidR="009C1161" w:rsidRDefault="009C1161">
      <w:pPr>
        <w:rPr>
          <w:rFonts w:ascii="Times New Roman" w:hAnsi="Times New Roman" w:cs="Times New Roman"/>
          <w:sz w:val="24"/>
          <w:szCs w:val="24"/>
        </w:rPr>
      </w:pPr>
    </w:p>
    <w:p w14:paraId="5E114AAA" w14:textId="77777777" w:rsidR="000A3EAD" w:rsidRPr="00333F7C" w:rsidRDefault="009C1161" w:rsidP="000A3EAD">
      <w:pPr>
        <w:pStyle w:val="Bibliographie"/>
      </w:pPr>
      <w:r>
        <w:fldChar w:fldCharType="begin"/>
      </w:r>
      <w:r w:rsidR="000A3EAD">
        <w:instrText xml:space="preserve"> ADDIN ZOTERO_BIBL {"uncited":[],"omitted":[],"custom":[]} CSL_BIBLIOGRAPHY </w:instrText>
      </w:r>
      <w:r>
        <w:fldChar w:fldCharType="separate"/>
      </w:r>
      <w:r w:rsidR="000A3EAD">
        <w:t>1.</w:t>
      </w:r>
      <w:r w:rsidR="000A3EAD">
        <w:tab/>
        <w:t xml:space="preserve">Barton, R. N. E. Cemeteries and Sedentism in the Later Stone Age of NW Africa: Excavations at Grotte des Pigeons, Taforalt, Morocco. </w:t>
      </w:r>
      <w:r w:rsidR="000A3EAD" w:rsidRPr="00333F7C">
        <w:rPr>
          <w:i/>
          <w:iCs/>
        </w:rPr>
        <w:t>Monographien des RGZM</w:t>
      </w:r>
      <w:r w:rsidR="000A3EAD" w:rsidRPr="00333F7C">
        <w:t xml:space="preserve"> (2020) doi:10.11588/PROPYLAEUM.734.</w:t>
      </w:r>
    </w:p>
    <w:p w14:paraId="586A572A" w14:textId="77777777" w:rsidR="000A3EAD" w:rsidRDefault="000A3EAD" w:rsidP="000A3EAD">
      <w:pPr>
        <w:pStyle w:val="Bibliographie"/>
      </w:pPr>
      <w:r w:rsidRPr="00333F7C">
        <w:t>2.</w:t>
      </w:r>
      <w:r w:rsidRPr="00333F7C">
        <w:tab/>
        <w:t xml:space="preserve">Barton, R. N. E. </w:t>
      </w:r>
      <w:r w:rsidRPr="00333F7C">
        <w:rPr>
          <w:i/>
          <w:iCs/>
        </w:rPr>
        <w:t>et al.</w:t>
      </w:r>
      <w:r w:rsidRPr="00333F7C">
        <w:t xml:space="preserve"> </w:t>
      </w:r>
      <w:r>
        <w:t xml:space="preserve">Reconsidering the MSA to LSA transition at Taforalt Cave (Morocco) in the light of new multi-proxy dating evidence. </w:t>
      </w:r>
      <w:r>
        <w:rPr>
          <w:i/>
          <w:iCs/>
        </w:rPr>
        <w:t>Quaternary International</w:t>
      </w:r>
      <w:r>
        <w:t xml:space="preserve"> </w:t>
      </w:r>
      <w:r>
        <w:rPr>
          <w:b/>
          <w:bCs/>
        </w:rPr>
        <w:t>413</w:t>
      </w:r>
      <w:r>
        <w:t>, 36–49 (2016).</w:t>
      </w:r>
    </w:p>
    <w:p w14:paraId="029EC652" w14:textId="77777777" w:rsidR="000A3EAD" w:rsidRDefault="000A3EAD" w:rsidP="000A3EAD">
      <w:pPr>
        <w:pStyle w:val="Bibliographie"/>
      </w:pPr>
      <w:r>
        <w:t>3.</w:t>
      </w:r>
      <w:r>
        <w:tab/>
        <w:t xml:space="preserve">Barton, R. N. E. </w:t>
      </w:r>
      <w:r>
        <w:rPr>
          <w:i/>
          <w:iCs/>
        </w:rPr>
        <w:t>et al.</w:t>
      </w:r>
      <w:r>
        <w:t xml:space="preserve"> Origins of the Iberomaurusian in NW Africa: New AMS radiocarbon dating of the Middle and Later Stone Age deposits at Taforalt Cave, Morocco. </w:t>
      </w:r>
      <w:r>
        <w:rPr>
          <w:i/>
          <w:iCs/>
        </w:rPr>
        <w:t>Journal of Human Evolution</w:t>
      </w:r>
      <w:r>
        <w:t xml:space="preserve"> </w:t>
      </w:r>
      <w:r>
        <w:rPr>
          <w:b/>
          <w:bCs/>
        </w:rPr>
        <w:t>65</w:t>
      </w:r>
      <w:r>
        <w:t>, 266–281 (2013).</w:t>
      </w:r>
    </w:p>
    <w:p w14:paraId="202AE606" w14:textId="77777777" w:rsidR="000A3EAD" w:rsidRDefault="000A3EAD" w:rsidP="000A3EAD">
      <w:pPr>
        <w:pStyle w:val="Bibliographie"/>
      </w:pPr>
      <w:r>
        <w:t>4.</w:t>
      </w:r>
      <w:r>
        <w:tab/>
        <w:t xml:space="preserve">Humphrey, L. T. </w:t>
      </w:r>
      <w:r>
        <w:rPr>
          <w:i/>
          <w:iCs/>
        </w:rPr>
        <w:t>et al.</w:t>
      </w:r>
      <w:r>
        <w:t xml:space="preserve"> Earliest evidence for caries and exploitation of starchy plant foods in Pleistocene hunter-gatherers from Morocco. </w:t>
      </w:r>
      <w:r>
        <w:rPr>
          <w:i/>
          <w:iCs/>
        </w:rPr>
        <w:t>Proceedings of the National Academy of Sciences</w:t>
      </w:r>
      <w:r>
        <w:t xml:space="preserve"> </w:t>
      </w:r>
      <w:r>
        <w:rPr>
          <w:b/>
          <w:bCs/>
        </w:rPr>
        <w:t>111</w:t>
      </w:r>
      <w:r>
        <w:t>, 954–959 (2014).</w:t>
      </w:r>
    </w:p>
    <w:p w14:paraId="28C72A6F" w14:textId="77777777" w:rsidR="000A3EAD" w:rsidRDefault="000A3EAD" w:rsidP="000A3EAD">
      <w:pPr>
        <w:pStyle w:val="Bibliographie"/>
      </w:pPr>
      <w:r>
        <w:t>5.</w:t>
      </w:r>
      <w:r>
        <w:tab/>
        <w:t xml:space="preserve">Humphrey, L. </w:t>
      </w:r>
      <w:r>
        <w:rPr>
          <w:i/>
          <w:iCs/>
        </w:rPr>
        <w:t>et al.</w:t>
      </w:r>
      <w:r>
        <w:t xml:space="preserve"> Infant funerary behavior and kinship in Pleistocene hunter-gatherers from Morocco. </w:t>
      </w:r>
      <w:r>
        <w:rPr>
          <w:i/>
          <w:iCs/>
        </w:rPr>
        <w:t>Journal of Human Evolution</w:t>
      </w:r>
      <w:r>
        <w:t xml:space="preserve"> </w:t>
      </w:r>
      <w:r>
        <w:rPr>
          <w:b/>
          <w:bCs/>
        </w:rPr>
        <w:t>135</w:t>
      </w:r>
      <w:r>
        <w:t>, 102637 (2019).</w:t>
      </w:r>
    </w:p>
    <w:p w14:paraId="7BB39BEB" w14:textId="77777777" w:rsidR="000A3EAD" w:rsidRDefault="000A3EAD" w:rsidP="000A3EAD">
      <w:pPr>
        <w:pStyle w:val="Bibliographie"/>
      </w:pPr>
      <w:r>
        <w:t>6.</w:t>
      </w:r>
      <w:r>
        <w:tab/>
        <w:t xml:space="preserve">Humphrey, L., Freyne, A., Berridge, P. &amp; Berridge, P. HUMAN BURIAL EVIDENCE. in </w:t>
      </w:r>
      <w:r>
        <w:rPr>
          <w:i/>
          <w:iCs/>
        </w:rPr>
        <w:t>Cemeteries and Sedentism in the Later Stone Age of NW Africa: Excavations at Grotte des Pigeons, Taforalt, Morocco</w:t>
      </w:r>
      <w:r>
        <w:t xml:space="preserve"> 444–482 (Monographien des Römisch-Germanischen Zentralmuseums, 2019).</w:t>
      </w:r>
    </w:p>
    <w:p w14:paraId="34717E08" w14:textId="77777777" w:rsidR="000A3EAD" w:rsidRDefault="000A3EAD" w:rsidP="000A3EAD">
      <w:pPr>
        <w:pStyle w:val="Bibliographie"/>
      </w:pPr>
      <w:r>
        <w:t>7.</w:t>
      </w:r>
      <w:r>
        <w:tab/>
        <w:t xml:space="preserve">Bouzouggar, A. </w:t>
      </w:r>
      <w:r>
        <w:rPr>
          <w:i/>
          <w:iCs/>
        </w:rPr>
        <w:t>et al.</w:t>
      </w:r>
      <w:r>
        <w:t xml:space="preserve"> Reevaluating the Age of the Iberomaurusian in Morocco. </w:t>
      </w:r>
      <w:r>
        <w:rPr>
          <w:i/>
          <w:iCs/>
        </w:rPr>
        <w:t>The African Archaeological Review</w:t>
      </w:r>
      <w:r>
        <w:t xml:space="preserve"> </w:t>
      </w:r>
      <w:r>
        <w:rPr>
          <w:b/>
          <w:bCs/>
        </w:rPr>
        <w:t>25</w:t>
      </w:r>
      <w:r>
        <w:t>, 3–19 (2008).</w:t>
      </w:r>
    </w:p>
    <w:p w14:paraId="00FCD5E5" w14:textId="77777777" w:rsidR="000A3EAD" w:rsidRDefault="000A3EAD" w:rsidP="000A3EAD">
      <w:pPr>
        <w:pStyle w:val="Bibliographie"/>
      </w:pPr>
      <w:r>
        <w:t>8.</w:t>
      </w:r>
      <w:r>
        <w:tab/>
        <w:t xml:space="preserve">Hogue, J. &amp; Barton, N. New radiocarbon dates for the earliest Later Stone Age microlithic technology in Northwest Africa. </w:t>
      </w:r>
      <w:r>
        <w:rPr>
          <w:i/>
          <w:iCs/>
        </w:rPr>
        <w:t>Quaternary International</w:t>
      </w:r>
      <w:r>
        <w:t xml:space="preserve"> (2016) doi:10.1016/j.quaint.2015.11.144.</w:t>
      </w:r>
    </w:p>
    <w:p w14:paraId="7EA675A0" w14:textId="77777777" w:rsidR="000A3EAD" w:rsidRDefault="000A3EAD" w:rsidP="000A3EAD">
      <w:pPr>
        <w:pStyle w:val="Bibliographie"/>
      </w:pPr>
      <w:r>
        <w:lastRenderedPageBreak/>
        <w:t>9.</w:t>
      </w:r>
      <w:r>
        <w:tab/>
        <w:t xml:space="preserve">Barton, N. </w:t>
      </w:r>
      <w:r>
        <w:rPr>
          <w:i/>
          <w:iCs/>
        </w:rPr>
        <w:t>et al.</w:t>
      </w:r>
      <w:r>
        <w:t xml:space="preserve"> </w:t>
      </w:r>
      <w:r>
        <w:rPr>
          <w:i/>
          <w:iCs/>
        </w:rPr>
        <w:t>Human Burial Evidence from Hattab II Cave and the Question of Continuity in Late Pleistocene–Holocene Mortuary Practices in Northwest Africa</w:t>
      </w:r>
      <w:r>
        <w:t xml:space="preserve">. </w:t>
      </w:r>
      <w:r>
        <w:rPr>
          <w:i/>
          <w:iCs/>
        </w:rPr>
        <w:t>Cambridge Archaeological Journal</w:t>
      </w:r>
      <w:r>
        <w:t xml:space="preserve"> vol. 18 (2008).</w:t>
      </w:r>
    </w:p>
    <w:p w14:paraId="52FB673F" w14:textId="77777777" w:rsidR="000A3EAD" w:rsidRDefault="000A3EAD" w:rsidP="000A3EAD">
      <w:pPr>
        <w:pStyle w:val="Bibliographie"/>
      </w:pPr>
      <w:r>
        <w:t>10.</w:t>
      </w:r>
      <w:r>
        <w:tab/>
        <w:t xml:space="preserve">Barton, R. N. E. </w:t>
      </w:r>
      <w:r>
        <w:rPr>
          <w:i/>
          <w:iCs/>
        </w:rPr>
        <w:t>et al.</w:t>
      </w:r>
      <w:r>
        <w:t xml:space="preserve"> The Late Upper Palaeolithic Occupation of the Moroccan Northwest Maghreb During the Last Glacial Maximum. </w:t>
      </w:r>
      <w:r>
        <w:rPr>
          <w:i/>
          <w:iCs/>
        </w:rPr>
        <w:t>Afr Archaeol Rev</w:t>
      </w:r>
      <w:r>
        <w:t xml:space="preserve"> </w:t>
      </w:r>
      <w:r>
        <w:rPr>
          <w:b/>
          <w:bCs/>
        </w:rPr>
        <w:t>22</w:t>
      </w:r>
      <w:r>
        <w:t>, 77–100 (2005).</w:t>
      </w:r>
    </w:p>
    <w:p w14:paraId="11B4C577" w14:textId="77777777" w:rsidR="000A3EAD" w:rsidRDefault="000A3EAD" w:rsidP="000A3EAD">
      <w:pPr>
        <w:pStyle w:val="Bibliographie"/>
      </w:pPr>
      <w:r>
        <w:t>11.</w:t>
      </w:r>
      <w:r>
        <w:tab/>
        <w:t xml:space="preserve">Turner, E. Large mammalian faunal assemblages. in </w:t>
      </w:r>
      <w:r>
        <w:rPr>
          <w:i/>
          <w:iCs/>
        </w:rPr>
        <w:t>Cemeteries and Sedentism in the Later Stone Age of NW Africa: Excavations at Grotte des Pigeons, Taforalt, Morocco</w:t>
      </w:r>
      <w:r>
        <w:t xml:space="preserve"> 239–308 (Monographien des Römisch-Germanischen Zentralmuseums, 2019).</w:t>
      </w:r>
    </w:p>
    <w:p w14:paraId="5F081715" w14:textId="77777777" w:rsidR="000A3EAD" w:rsidRDefault="000A3EAD" w:rsidP="000A3EAD">
      <w:pPr>
        <w:pStyle w:val="Bibliographie"/>
      </w:pPr>
      <w:r>
        <w:t>12.</w:t>
      </w:r>
      <w:r>
        <w:tab/>
        <w:t xml:space="preserve">Desmond, A. </w:t>
      </w:r>
      <w:r>
        <w:rPr>
          <w:i/>
          <w:iCs/>
        </w:rPr>
        <w:t>et al.</w:t>
      </w:r>
      <w:r>
        <w:t xml:space="preserve"> ZooMS identification of bone tools from the North African Later Stone Age. </w:t>
      </w:r>
      <w:r>
        <w:rPr>
          <w:i/>
          <w:iCs/>
        </w:rPr>
        <w:t>Journal of Archaeological Science</w:t>
      </w:r>
      <w:r>
        <w:t xml:space="preserve"> </w:t>
      </w:r>
      <w:r>
        <w:rPr>
          <w:b/>
          <w:bCs/>
        </w:rPr>
        <w:t>98</w:t>
      </w:r>
      <w:r>
        <w:t>, 149–157 (2018).</w:t>
      </w:r>
    </w:p>
    <w:p w14:paraId="546A6AF4" w14:textId="77777777" w:rsidR="000A3EAD" w:rsidRDefault="000A3EAD" w:rsidP="000A3EAD">
      <w:pPr>
        <w:pStyle w:val="Bibliographie"/>
      </w:pPr>
      <w:r>
        <w:t>13.</w:t>
      </w:r>
      <w:r>
        <w:tab/>
        <w:t xml:space="preserve">Corr, L. T., Sealy, J. C., Horton, M. C. &amp; Evershed, R. P. A novel marine dietary indicator utilising compound-specific bone collagen amino acid δ13C values of ancient humans. </w:t>
      </w:r>
      <w:r>
        <w:rPr>
          <w:i/>
          <w:iCs/>
        </w:rPr>
        <w:t>Journal of Archaeological Science</w:t>
      </w:r>
      <w:r>
        <w:t xml:space="preserve"> </w:t>
      </w:r>
      <w:r>
        <w:rPr>
          <w:b/>
          <w:bCs/>
        </w:rPr>
        <w:t>32</w:t>
      </w:r>
      <w:r>
        <w:t>, 321–330 (2005).</w:t>
      </w:r>
    </w:p>
    <w:p w14:paraId="1195E2D1" w14:textId="77777777" w:rsidR="000A3EAD" w:rsidRDefault="000A3EAD" w:rsidP="000A3EAD">
      <w:pPr>
        <w:pStyle w:val="Bibliographie"/>
      </w:pPr>
      <w:r>
        <w:t>14.</w:t>
      </w:r>
      <w:r>
        <w:tab/>
        <w:t xml:space="preserve">Hedges, R. E. M. Isotopes and red herrings: comments on Milner et al. and Lidén et al. </w:t>
      </w:r>
      <w:r>
        <w:rPr>
          <w:i/>
          <w:iCs/>
        </w:rPr>
        <w:t>Antiquity</w:t>
      </w:r>
      <w:r>
        <w:t xml:space="preserve"> </w:t>
      </w:r>
      <w:r>
        <w:rPr>
          <w:b/>
          <w:bCs/>
        </w:rPr>
        <w:t>78</w:t>
      </w:r>
      <w:r>
        <w:t>, 34–37 (2004).</w:t>
      </w:r>
    </w:p>
    <w:p w14:paraId="3E2B2D0A" w14:textId="77777777" w:rsidR="000A3EAD" w:rsidRDefault="000A3EAD" w:rsidP="000A3EAD">
      <w:pPr>
        <w:pStyle w:val="Bibliographie"/>
      </w:pPr>
      <w:r>
        <w:t>15.</w:t>
      </w:r>
      <w:r>
        <w:tab/>
        <w:t xml:space="preserve">Heaton, T. H. E., Vogel, J. C., von la Chevallerie, G. &amp; Collett, G. Climatic influence on the isotopic composition of bone nitrogen. </w:t>
      </w:r>
      <w:r>
        <w:rPr>
          <w:i/>
          <w:iCs/>
        </w:rPr>
        <w:t>Nature</w:t>
      </w:r>
      <w:r>
        <w:t xml:space="preserve"> </w:t>
      </w:r>
      <w:r>
        <w:rPr>
          <w:b/>
          <w:bCs/>
        </w:rPr>
        <w:t>322</w:t>
      </w:r>
      <w:r>
        <w:t>, 822–823 (1986).</w:t>
      </w:r>
    </w:p>
    <w:p w14:paraId="196BAC8E" w14:textId="77777777" w:rsidR="000A3EAD" w:rsidRDefault="000A3EAD" w:rsidP="000A3EAD">
      <w:pPr>
        <w:pStyle w:val="Bibliographie"/>
      </w:pPr>
      <w:r>
        <w:t>16.</w:t>
      </w:r>
      <w:r>
        <w:tab/>
        <w:t xml:space="preserve">Schwarcz, H. P. &amp; Schoeninger, M. J. Stable Isotopes of Carbon and Nitrogen as Tracers for Paleo-Diet Reconstruction. in </w:t>
      </w:r>
      <w:r>
        <w:rPr>
          <w:i/>
          <w:iCs/>
        </w:rPr>
        <w:t>Handbook of Environmental Isotope Geochemistry: Vol I</w:t>
      </w:r>
      <w:r>
        <w:t xml:space="preserve"> (ed. Baskaran, M.) 725–742 (Springer, 2012). doi:10.1007/978-3-642-10637-8_34.</w:t>
      </w:r>
    </w:p>
    <w:p w14:paraId="52C787D8" w14:textId="77777777" w:rsidR="000A3EAD" w:rsidRDefault="000A3EAD" w:rsidP="000A3EAD">
      <w:pPr>
        <w:pStyle w:val="Bibliographie"/>
      </w:pPr>
      <w:r>
        <w:t>17.</w:t>
      </w:r>
      <w:r>
        <w:tab/>
        <w:t xml:space="preserve">Deniro, M. J. &amp; Epstein, S. Influence of diet on the distribution of nitrogen isotopes in animals. </w:t>
      </w:r>
      <w:r>
        <w:rPr>
          <w:i/>
          <w:iCs/>
        </w:rPr>
        <w:t>Geochimica et Cosmochimica Acta</w:t>
      </w:r>
      <w:r>
        <w:t xml:space="preserve"> </w:t>
      </w:r>
      <w:r>
        <w:rPr>
          <w:b/>
          <w:bCs/>
        </w:rPr>
        <w:t>45</w:t>
      </w:r>
      <w:r>
        <w:t>, 341–351 (1981).</w:t>
      </w:r>
    </w:p>
    <w:p w14:paraId="4BB35584" w14:textId="77777777" w:rsidR="000A3EAD" w:rsidRDefault="000A3EAD" w:rsidP="000A3EAD">
      <w:pPr>
        <w:pStyle w:val="Bibliographie"/>
      </w:pPr>
      <w:r>
        <w:t>18.</w:t>
      </w:r>
      <w:r>
        <w:tab/>
        <w:t xml:space="preserve">Hedges, R. E. M. &amp; Reynard, L. M. Nitrogen isotopes and the trophic level of humans in archaeology. </w:t>
      </w:r>
      <w:r>
        <w:rPr>
          <w:i/>
          <w:iCs/>
        </w:rPr>
        <w:t>Journal of Archaeological Science</w:t>
      </w:r>
      <w:r>
        <w:t xml:space="preserve"> </w:t>
      </w:r>
      <w:r>
        <w:rPr>
          <w:b/>
          <w:bCs/>
        </w:rPr>
        <w:t>34</w:t>
      </w:r>
      <w:r>
        <w:t>, 1240–1251 (2007).</w:t>
      </w:r>
    </w:p>
    <w:p w14:paraId="39E47FF2" w14:textId="77777777" w:rsidR="000A3EAD" w:rsidRDefault="000A3EAD" w:rsidP="000A3EAD">
      <w:pPr>
        <w:pStyle w:val="Bibliographie"/>
      </w:pPr>
      <w:r>
        <w:lastRenderedPageBreak/>
        <w:t>19.</w:t>
      </w:r>
      <w:r>
        <w:tab/>
        <w:t xml:space="preserve">Chikaraishi, Y., Ogawa, N. &amp; Ohkouchi, N. Further evaluation of the trophic level estimation based on nitrogen isotopic composition of amino acids. </w:t>
      </w:r>
      <w:r>
        <w:rPr>
          <w:i/>
          <w:iCs/>
        </w:rPr>
        <w:t>Earth, Life, and Isotopes</w:t>
      </w:r>
      <w:r>
        <w:t xml:space="preserve"> 37–51 (2010).</w:t>
      </w:r>
    </w:p>
    <w:p w14:paraId="0E0D3C56" w14:textId="77777777" w:rsidR="000A3EAD" w:rsidRDefault="000A3EAD" w:rsidP="000A3EAD">
      <w:pPr>
        <w:pStyle w:val="Bibliographie"/>
      </w:pPr>
      <w:r>
        <w:t>20.</w:t>
      </w:r>
      <w:r>
        <w:tab/>
        <w:t xml:space="preserve">Honch, N. V., McCullagh, J. S. O. &amp; Hedges, R. E. M. Variation of bone collagen amino acid δ13c values in archaeological humans and fauna with different dietary regimes: Developing frameworks of dietary discrimination. </w:t>
      </w:r>
      <w:r>
        <w:rPr>
          <w:i/>
          <w:iCs/>
        </w:rPr>
        <w:t>American Journal of Physical Anthropology</w:t>
      </w:r>
      <w:r>
        <w:t xml:space="preserve"> </w:t>
      </w:r>
      <w:r>
        <w:rPr>
          <w:b/>
          <w:bCs/>
        </w:rPr>
        <w:t>148</w:t>
      </w:r>
      <w:r>
        <w:t>, 495–511 (2012).</w:t>
      </w:r>
    </w:p>
    <w:p w14:paraId="2CD0656B" w14:textId="77777777" w:rsidR="000A3EAD" w:rsidRDefault="000A3EAD" w:rsidP="000A3EAD">
      <w:pPr>
        <w:pStyle w:val="Bibliographie"/>
      </w:pPr>
      <w:r>
        <w:t>21.</w:t>
      </w:r>
      <w:r>
        <w:tab/>
        <w:t xml:space="preserve">Colonese, A. C. </w:t>
      </w:r>
      <w:r>
        <w:rPr>
          <w:i/>
          <w:iCs/>
        </w:rPr>
        <w:t>et al.</w:t>
      </w:r>
      <w:r>
        <w:t xml:space="preserve"> Long-Term Resilience of Late Holocene Coastal Subsistence System in Southeastern South America. </w:t>
      </w:r>
      <w:r>
        <w:rPr>
          <w:i/>
          <w:iCs/>
        </w:rPr>
        <w:t>PLOS ONE</w:t>
      </w:r>
      <w:r>
        <w:t xml:space="preserve"> </w:t>
      </w:r>
      <w:r>
        <w:rPr>
          <w:b/>
          <w:bCs/>
        </w:rPr>
        <w:t>9</w:t>
      </w:r>
      <w:r>
        <w:t>, e93854 (2014).</w:t>
      </w:r>
    </w:p>
    <w:p w14:paraId="51CF79DC" w14:textId="77777777" w:rsidR="000A3EAD" w:rsidRDefault="000A3EAD" w:rsidP="000A3EAD">
      <w:pPr>
        <w:pStyle w:val="Bibliographie"/>
      </w:pPr>
      <w:r>
        <w:t>22.</w:t>
      </w:r>
      <w:r>
        <w:tab/>
        <w:t xml:space="preserve">Bourgon, N. </w:t>
      </w:r>
      <w:r>
        <w:rPr>
          <w:i/>
          <w:iCs/>
        </w:rPr>
        <w:t>et al.</w:t>
      </w:r>
      <w:r>
        <w:t xml:space="preserve"> Trophic ecology of a Late Pleistocene early modern human from tropical Southeast Asia inferred from zinc isotopes. </w:t>
      </w:r>
      <w:r>
        <w:rPr>
          <w:i/>
          <w:iCs/>
        </w:rPr>
        <w:t>Journal of Human Evolution</w:t>
      </w:r>
      <w:r>
        <w:t xml:space="preserve"> </w:t>
      </w:r>
      <w:r>
        <w:rPr>
          <w:b/>
          <w:bCs/>
        </w:rPr>
        <w:t>161</w:t>
      </w:r>
      <w:r>
        <w:t>, 103075 (2021).</w:t>
      </w:r>
    </w:p>
    <w:p w14:paraId="1F82CB69" w14:textId="77777777" w:rsidR="000A3EAD" w:rsidRDefault="000A3EAD" w:rsidP="000A3EAD">
      <w:pPr>
        <w:pStyle w:val="Bibliographie"/>
      </w:pPr>
      <w:r>
        <w:t>23.</w:t>
      </w:r>
      <w:r>
        <w:tab/>
        <w:t xml:space="preserve">Bourgon, N. </w:t>
      </w:r>
      <w:r>
        <w:rPr>
          <w:i/>
          <w:iCs/>
        </w:rPr>
        <w:t>et al.</w:t>
      </w:r>
      <w:r>
        <w:t xml:space="preserve"> Zinc isotopes in Late Pleistocene fossil teeth from a Southeast Asian cave setting preserve paleodietary information. </w:t>
      </w:r>
      <w:r>
        <w:rPr>
          <w:i/>
          <w:iCs/>
        </w:rPr>
        <w:t>PNAS</w:t>
      </w:r>
      <w:r>
        <w:t xml:space="preserve"> </w:t>
      </w:r>
      <w:r>
        <w:rPr>
          <w:b/>
          <w:bCs/>
        </w:rPr>
        <w:t>117</w:t>
      </w:r>
      <w:r>
        <w:t>, 4675–4681 (2020).</w:t>
      </w:r>
    </w:p>
    <w:p w14:paraId="77C2307E" w14:textId="77777777" w:rsidR="000A3EAD" w:rsidRDefault="000A3EAD" w:rsidP="000A3EAD">
      <w:pPr>
        <w:pStyle w:val="Bibliographie"/>
      </w:pPr>
      <w:r>
        <w:t>24.</w:t>
      </w:r>
      <w:r>
        <w:tab/>
        <w:t xml:space="preserve">Costas-Rodríguez, M., Van Heghe, L. &amp; Vanhaecke, F. Evidence for a possible dietary effect on the isotopic composition of Zn in blood via isotopic analysis of food products by multi-collector ICP-mass spectrometry†. </w:t>
      </w:r>
      <w:r>
        <w:rPr>
          <w:i/>
          <w:iCs/>
        </w:rPr>
        <w:t>Metallomics</w:t>
      </w:r>
      <w:r>
        <w:t xml:space="preserve"> </w:t>
      </w:r>
      <w:r>
        <w:rPr>
          <w:b/>
          <w:bCs/>
        </w:rPr>
        <w:t>6</w:t>
      </w:r>
      <w:r>
        <w:t>, 139–146 (2014).</w:t>
      </w:r>
    </w:p>
    <w:p w14:paraId="6FCB3833" w14:textId="77777777" w:rsidR="000A3EAD" w:rsidRDefault="000A3EAD" w:rsidP="000A3EAD">
      <w:pPr>
        <w:pStyle w:val="Bibliographie"/>
      </w:pPr>
      <w:r>
        <w:t>25.</w:t>
      </w:r>
      <w:r>
        <w:tab/>
        <w:t xml:space="preserve">Jaouen, K. </w:t>
      </w:r>
      <w:r>
        <w:rPr>
          <w:i/>
          <w:iCs/>
        </w:rPr>
        <w:t>et al.</w:t>
      </w:r>
      <w:r>
        <w:t xml:space="preserve"> Tracing intensive fish and meat consumption using Zn isotope ratios: evidence from a historical Breton population (Rennes, France). </w:t>
      </w:r>
      <w:r>
        <w:rPr>
          <w:i/>
          <w:iCs/>
        </w:rPr>
        <w:t>Sci Rep</w:t>
      </w:r>
      <w:r>
        <w:t xml:space="preserve"> </w:t>
      </w:r>
      <w:r>
        <w:rPr>
          <w:b/>
          <w:bCs/>
        </w:rPr>
        <w:t>8</w:t>
      </w:r>
      <w:r>
        <w:t>, 5077 (2018).</w:t>
      </w:r>
    </w:p>
    <w:p w14:paraId="6237E20E" w14:textId="77777777" w:rsidR="000A3EAD" w:rsidRDefault="000A3EAD" w:rsidP="000A3EAD">
      <w:pPr>
        <w:pStyle w:val="Bibliographie"/>
      </w:pPr>
      <w:r>
        <w:t>26.</w:t>
      </w:r>
      <w:r>
        <w:tab/>
        <w:t xml:space="preserve">Jaouen, K., Beasley, M., Schoeninger, M., Hublin, J.-J. &amp; Richards, M. P. Zinc isotope ratios of bones and teeth as new dietary indicators: results from a modern food web (Koobi Fora, Kenya). </w:t>
      </w:r>
      <w:r>
        <w:rPr>
          <w:i/>
          <w:iCs/>
        </w:rPr>
        <w:t>Scientific Reports</w:t>
      </w:r>
      <w:r>
        <w:t xml:space="preserve"> </w:t>
      </w:r>
      <w:r>
        <w:rPr>
          <w:b/>
          <w:bCs/>
        </w:rPr>
        <w:t>6</w:t>
      </w:r>
      <w:r>
        <w:t>, 26281 (2016).</w:t>
      </w:r>
    </w:p>
    <w:p w14:paraId="14E811B9" w14:textId="77777777" w:rsidR="000A3EAD" w:rsidRDefault="000A3EAD" w:rsidP="000A3EAD">
      <w:pPr>
        <w:pStyle w:val="Bibliographie"/>
      </w:pPr>
      <w:r>
        <w:t>27.</w:t>
      </w:r>
      <w:r>
        <w:tab/>
        <w:t xml:space="preserve">Jaouen, K. </w:t>
      </w:r>
      <w:r>
        <w:rPr>
          <w:i/>
          <w:iCs/>
        </w:rPr>
        <w:t>et al.</w:t>
      </w:r>
      <w:r>
        <w:t xml:space="preserve"> Zinc isotope variations in archeological human teeth (Lapa do Santo, Brazil) reveal dietary transitions in childhood and no contamination from gloves. </w:t>
      </w:r>
      <w:r>
        <w:rPr>
          <w:i/>
          <w:iCs/>
        </w:rPr>
        <w:t>PLOS ONE</w:t>
      </w:r>
      <w:r>
        <w:t xml:space="preserve"> </w:t>
      </w:r>
      <w:r>
        <w:rPr>
          <w:b/>
          <w:bCs/>
        </w:rPr>
        <w:t>15</w:t>
      </w:r>
      <w:r>
        <w:t>, e0232379 (2020).</w:t>
      </w:r>
    </w:p>
    <w:p w14:paraId="25FCA97F" w14:textId="77777777" w:rsidR="000A3EAD" w:rsidRDefault="000A3EAD" w:rsidP="000A3EAD">
      <w:pPr>
        <w:pStyle w:val="Bibliographie"/>
      </w:pPr>
      <w:r>
        <w:t>28.</w:t>
      </w:r>
      <w:r>
        <w:tab/>
        <w:t xml:space="preserve">Cloquet, C., Carignan, J., Lehmann, M. F. &amp; Vanhaecke, F. Variation in the isotopic composition of zinc in the natural environment and the use of zinc isotopes in biogeosciences: a review. </w:t>
      </w:r>
      <w:r>
        <w:rPr>
          <w:i/>
          <w:iCs/>
        </w:rPr>
        <w:t>Anal Bioanal Chem</w:t>
      </w:r>
      <w:r>
        <w:t xml:space="preserve"> </w:t>
      </w:r>
      <w:r>
        <w:rPr>
          <w:b/>
          <w:bCs/>
        </w:rPr>
        <w:t>390</w:t>
      </w:r>
      <w:r>
        <w:t>, 451–463 (2008).</w:t>
      </w:r>
    </w:p>
    <w:p w14:paraId="68FF24F5" w14:textId="77777777" w:rsidR="000A3EAD" w:rsidRDefault="000A3EAD" w:rsidP="000A3EAD">
      <w:pPr>
        <w:pStyle w:val="Bibliographie"/>
      </w:pPr>
      <w:r>
        <w:lastRenderedPageBreak/>
        <w:t>29.</w:t>
      </w:r>
      <w:r>
        <w:tab/>
        <w:t xml:space="preserve">Maréchal, C. N., Nicolas, E., Douchet, C. &amp; Albarède, F. Abundance of zinc isotopes as a marine biogeochemical tracer. </w:t>
      </w:r>
      <w:r>
        <w:rPr>
          <w:i/>
          <w:iCs/>
        </w:rPr>
        <w:t>Geochemistry, Geophysics, Geosystems</w:t>
      </w:r>
      <w:r>
        <w:t xml:space="preserve"> </w:t>
      </w:r>
      <w:r>
        <w:rPr>
          <w:b/>
          <w:bCs/>
        </w:rPr>
        <w:t>1</w:t>
      </w:r>
      <w:r>
        <w:t>, (2000).</w:t>
      </w:r>
    </w:p>
    <w:p w14:paraId="1F39B135" w14:textId="77777777" w:rsidR="000A3EAD" w:rsidRDefault="000A3EAD" w:rsidP="000A3EAD">
      <w:pPr>
        <w:pStyle w:val="Bibliographie"/>
      </w:pPr>
      <w:r>
        <w:t>30.</w:t>
      </w:r>
      <w:r>
        <w:tab/>
        <w:t xml:space="preserve">Moynier, F., Vance, D., Fujii, T. &amp; Savage, P. The Isotope Geochemistry of Zinc and Copper. </w:t>
      </w:r>
      <w:r>
        <w:rPr>
          <w:i/>
          <w:iCs/>
        </w:rPr>
        <w:t>Reviews in Mineralogy and Geochemistry</w:t>
      </w:r>
      <w:r>
        <w:t xml:space="preserve"> </w:t>
      </w:r>
      <w:r>
        <w:rPr>
          <w:b/>
          <w:bCs/>
        </w:rPr>
        <w:t>82</w:t>
      </w:r>
      <w:r>
        <w:t>, 543–600 (2017).</w:t>
      </w:r>
    </w:p>
    <w:p w14:paraId="03500ECE" w14:textId="77777777" w:rsidR="000A3EAD" w:rsidRDefault="000A3EAD" w:rsidP="000A3EAD">
      <w:pPr>
        <w:pStyle w:val="Bibliographie"/>
      </w:pPr>
      <w:r>
        <w:t>31.</w:t>
      </w:r>
      <w:r>
        <w:tab/>
        <w:t xml:space="preserve">Viers, J. </w:t>
      </w:r>
      <w:r>
        <w:rPr>
          <w:i/>
          <w:iCs/>
        </w:rPr>
        <w:t>et al.</w:t>
      </w:r>
      <w:r>
        <w:t xml:space="preserve"> Evidence of Zn isotopic fractionation in a soil–plant system of a pristine tropical watershed (Nsimi, Cameroon). </w:t>
      </w:r>
      <w:r>
        <w:rPr>
          <w:i/>
          <w:iCs/>
        </w:rPr>
        <w:t>Chemical Geology</w:t>
      </w:r>
      <w:r>
        <w:t xml:space="preserve"> </w:t>
      </w:r>
      <w:r>
        <w:rPr>
          <w:b/>
          <w:bCs/>
        </w:rPr>
        <w:t>239</w:t>
      </w:r>
      <w:r>
        <w:t>, 124–137 (2007).</w:t>
      </w:r>
    </w:p>
    <w:p w14:paraId="3154B26E" w14:textId="77777777" w:rsidR="000A3EAD" w:rsidRDefault="000A3EAD" w:rsidP="000A3EAD">
      <w:pPr>
        <w:pStyle w:val="Bibliographie"/>
      </w:pPr>
      <w:r>
        <w:t>32.</w:t>
      </w:r>
      <w:r>
        <w:tab/>
        <w:t xml:space="preserve">Balter, V. </w:t>
      </w:r>
      <w:r>
        <w:rPr>
          <w:i/>
          <w:iCs/>
        </w:rPr>
        <w:t>et al.</w:t>
      </w:r>
      <w:r>
        <w:t xml:space="preserve"> Bodily variability of zinc natural isotope abundances in sheep. </w:t>
      </w:r>
      <w:r>
        <w:rPr>
          <w:i/>
          <w:iCs/>
        </w:rPr>
        <w:t>Rapid Commun Mass Spectrom</w:t>
      </w:r>
      <w:r>
        <w:t xml:space="preserve"> </w:t>
      </w:r>
      <w:r>
        <w:rPr>
          <w:b/>
          <w:bCs/>
        </w:rPr>
        <w:t>24</w:t>
      </w:r>
      <w:r>
        <w:t>, 605–612 (2010).</w:t>
      </w:r>
    </w:p>
    <w:p w14:paraId="194DE548" w14:textId="77777777" w:rsidR="000A3EAD" w:rsidRDefault="000A3EAD" w:rsidP="000A3EAD">
      <w:pPr>
        <w:pStyle w:val="Bibliographie"/>
      </w:pPr>
      <w:r>
        <w:t>33.</w:t>
      </w:r>
      <w:r>
        <w:tab/>
        <w:t xml:space="preserve">Moynier, F., Fujii, T., Shaw, A. S. &amp; Le Borgne, M. Heterogeneous distribution of natural zinc isotopes in mice. </w:t>
      </w:r>
      <w:r>
        <w:rPr>
          <w:i/>
          <w:iCs/>
        </w:rPr>
        <w:t>Metallomics</w:t>
      </w:r>
      <w:r>
        <w:t xml:space="preserve"> </w:t>
      </w:r>
      <w:r>
        <w:rPr>
          <w:b/>
          <w:bCs/>
        </w:rPr>
        <w:t>5</w:t>
      </w:r>
      <w:r>
        <w:t>, 693–699 (2013).</w:t>
      </w:r>
    </w:p>
    <w:p w14:paraId="5C61B1ED" w14:textId="77777777" w:rsidR="000A3EAD" w:rsidRDefault="000A3EAD" w:rsidP="000A3EAD">
      <w:pPr>
        <w:pStyle w:val="Bibliographie"/>
      </w:pPr>
      <w:r>
        <w:t>34.</w:t>
      </w:r>
      <w:r>
        <w:tab/>
        <w:t xml:space="preserve">Bentley, A. Strontium Isotopes from the Earth to the Archaeological Skeleton: A Review. </w:t>
      </w:r>
      <w:r>
        <w:rPr>
          <w:i/>
          <w:iCs/>
        </w:rPr>
        <w:t>J Archaeol Method Theory</w:t>
      </w:r>
      <w:r>
        <w:t xml:space="preserve"> </w:t>
      </w:r>
      <w:r>
        <w:rPr>
          <w:b/>
          <w:bCs/>
        </w:rPr>
        <w:t>13</w:t>
      </w:r>
      <w:r>
        <w:t>, 135–187 (2006).</w:t>
      </w:r>
    </w:p>
    <w:p w14:paraId="2AF3C8D6" w14:textId="77777777" w:rsidR="000A3EAD" w:rsidRDefault="000A3EAD" w:rsidP="000A3EAD">
      <w:pPr>
        <w:pStyle w:val="Bibliographie"/>
      </w:pPr>
      <w:r>
        <w:t>35.</w:t>
      </w:r>
      <w:r>
        <w:tab/>
        <w:t xml:space="preserve">Price, T. D., Burton, J. H. &amp; Bentley, R. A. The Characterization of Biologically Available Strontium Isotope Ratios for the Study of Prehistoric Migration. </w:t>
      </w:r>
      <w:r>
        <w:rPr>
          <w:i/>
          <w:iCs/>
        </w:rPr>
        <w:t>Archaeometry</w:t>
      </w:r>
      <w:r>
        <w:t xml:space="preserve"> </w:t>
      </w:r>
      <w:r>
        <w:rPr>
          <w:b/>
          <w:bCs/>
        </w:rPr>
        <w:t>44</w:t>
      </w:r>
      <w:r>
        <w:t>, 117–135 (2002).</w:t>
      </w:r>
    </w:p>
    <w:p w14:paraId="656C7742" w14:textId="77777777" w:rsidR="000A3EAD" w:rsidRDefault="000A3EAD" w:rsidP="000A3EAD">
      <w:pPr>
        <w:pStyle w:val="Bibliographie"/>
      </w:pPr>
      <w:r>
        <w:t>36.</w:t>
      </w:r>
      <w:r>
        <w:tab/>
        <w:t xml:space="preserve">Marie, P. J., Ammann, P., Boivin, G. &amp; Rey, C. Mechanisms of action and therapeutic potential of strontium in bone. </w:t>
      </w:r>
      <w:r>
        <w:rPr>
          <w:i/>
          <w:iCs/>
        </w:rPr>
        <w:t>Calcif Tissue Int</w:t>
      </w:r>
      <w:r>
        <w:t xml:space="preserve"> </w:t>
      </w:r>
      <w:r>
        <w:rPr>
          <w:b/>
          <w:bCs/>
        </w:rPr>
        <w:t>69</w:t>
      </w:r>
      <w:r>
        <w:t>, 121–129 (2001).</w:t>
      </w:r>
    </w:p>
    <w:p w14:paraId="0D27FDB0" w14:textId="77777777" w:rsidR="000A3EAD" w:rsidRDefault="000A3EAD" w:rsidP="000A3EAD">
      <w:pPr>
        <w:pStyle w:val="Bibliographie"/>
      </w:pPr>
      <w:r>
        <w:t>37.</w:t>
      </w:r>
      <w:r>
        <w:tab/>
        <w:t xml:space="preserve">Craig, O. E., Ross, R., Andersen, S. H., Milner, N. &amp; Bailey, G. N. Focus: sulphur isotope variation in archaeological marine fauna from northern Europe. </w:t>
      </w:r>
      <w:r>
        <w:rPr>
          <w:i/>
          <w:iCs/>
        </w:rPr>
        <w:t>Journal of Archaeological Science</w:t>
      </w:r>
      <w:r>
        <w:t xml:space="preserve"> </w:t>
      </w:r>
      <w:r>
        <w:rPr>
          <w:b/>
          <w:bCs/>
        </w:rPr>
        <w:t>33</w:t>
      </w:r>
      <w:r>
        <w:t>, 1642–1646 (2006).</w:t>
      </w:r>
    </w:p>
    <w:p w14:paraId="523C1331" w14:textId="77777777" w:rsidR="000A3EAD" w:rsidRDefault="000A3EAD" w:rsidP="000A3EAD">
      <w:pPr>
        <w:pStyle w:val="Bibliographie"/>
      </w:pPr>
      <w:r>
        <w:t>38.</w:t>
      </w:r>
      <w:r>
        <w:tab/>
        <w:t xml:space="preserve">Nehlich, O. The application of sulphur isotope analyses in archaeological research: A review. </w:t>
      </w:r>
      <w:r>
        <w:rPr>
          <w:i/>
          <w:iCs/>
        </w:rPr>
        <w:t>Earth-Science Reviews</w:t>
      </w:r>
      <w:r>
        <w:t xml:space="preserve"> </w:t>
      </w:r>
      <w:r>
        <w:rPr>
          <w:b/>
          <w:bCs/>
        </w:rPr>
        <w:t>142</w:t>
      </w:r>
      <w:r>
        <w:t>, 1–17 (2015).</w:t>
      </w:r>
    </w:p>
    <w:p w14:paraId="65B918DD" w14:textId="77777777" w:rsidR="000A3EAD" w:rsidRDefault="000A3EAD" w:rsidP="000A3EAD">
      <w:pPr>
        <w:pStyle w:val="Bibliographie"/>
      </w:pPr>
      <w:r>
        <w:t>39.</w:t>
      </w:r>
      <w:r>
        <w:tab/>
        <w:t xml:space="preserve">Rees, C. E., Jenkins, W. J. &amp; Monster, J. The sulphur isotopic composition of ocean water sulphate. </w:t>
      </w:r>
      <w:r>
        <w:rPr>
          <w:i/>
          <w:iCs/>
        </w:rPr>
        <w:t>Geochimica et Cosmochimica Acta</w:t>
      </w:r>
      <w:r>
        <w:t xml:space="preserve"> </w:t>
      </w:r>
      <w:r>
        <w:rPr>
          <w:b/>
          <w:bCs/>
        </w:rPr>
        <w:t>42</w:t>
      </w:r>
      <w:r>
        <w:t>, 377–381 (1978).</w:t>
      </w:r>
    </w:p>
    <w:p w14:paraId="08FBBCDE" w14:textId="77777777" w:rsidR="000A3EAD" w:rsidRDefault="000A3EAD" w:rsidP="000A3EAD">
      <w:pPr>
        <w:pStyle w:val="Bibliographie"/>
      </w:pPr>
      <w:r>
        <w:t>40.</w:t>
      </w:r>
      <w:r>
        <w:tab/>
        <w:t>Thode, G., H. Sulphur Isotopes in Nature and the Environment: An Overview. in (2005).</w:t>
      </w:r>
    </w:p>
    <w:p w14:paraId="3C893750" w14:textId="77777777" w:rsidR="000A3EAD" w:rsidRDefault="000A3EAD" w:rsidP="000A3EAD">
      <w:pPr>
        <w:pStyle w:val="Bibliographie"/>
      </w:pPr>
      <w:r>
        <w:lastRenderedPageBreak/>
        <w:t>41.</w:t>
      </w:r>
      <w:r>
        <w:tab/>
        <w:t xml:space="preserve">Kusakabe, M., Rafter, T. A., Stout, J. D. &amp; Collie, T. W. Sulphur isotopic variations in nature. </w:t>
      </w:r>
      <w:r>
        <w:rPr>
          <w:i/>
          <w:iCs/>
        </w:rPr>
        <w:t>New Zealand Journal of Science</w:t>
      </w:r>
      <w:r>
        <w:t xml:space="preserve"> </w:t>
      </w:r>
      <w:r>
        <w:rPr>
          <w:b/>
          <w:bCs/>
        </w:rPr>
        <w:t>19</w:t>
      </w:r>
      <w:r>
        <w:t>, 433–440 (1976).</w:t>
      </w:r>
    </w:p>
    <w:p w14:paraId="771BC769" w14:textId="77777777" w:rsidR="000A3EAD" w:rsidRDefault="000A3EAD" w:rsidP="000A3EAD">
      <w:pPr>
        <w:pStyle w:val="Bibliographie"/>
      </w:pPr>
      <w:r>
        <w:t>42.</w:t>
      </w:r>
      <w:r>
        <w:tab/>
        <w:t xml:space="preserve">Trust, B. A. &amp; Fry, B. Stable sulphur isotopes in plants: a review. </w:t>
      </w:r>
      <w:r>
        <w:rPr>
          <w:i/>
          <w:iCs/>
        </w:rPr>
        <w:t>Plant, Cell &amp; Environment</w:t>
      </w:r>
      <w:r>
        <w:t xml:space="preserve"> </w:t>
      </w:r>
      <w:r>
        <w:rPr>
          <w:b/>
          <w:bCs/>
        </w:rPr>
        <w:t>15</w:t>
      </w:r>
      <w:r>
        <w:t>, 1105–1110 (1992).</w:t>
      </w:r>
    </w:p>
    <w:p w14:paraId="7FBDEEB1" w14:textId="77777777" w:rsidR="000A3EAD" w:rsidRDefault="000A3EAD" w:rsidP="000A3EAD">
      <w:pPr>
        <w:pStyle w:val="Bibliographie"/>
      </w:pPr>
      <w:r>
        <w:t>43.</w:t>
      </w:r>
      <w:r>
        <w:tab/>
        <w:t xml:space="preserve">Richards, M. P., Fuller, B. T., Sponheimer, M., Robinson, T. &amp; Ayliffe, L. Sulphur isotopes in palaeodietary studies: a review and results from a controlled feeding experiment. </w:t>
      </w:r>
      <w:r>
        <w:rPr>
          <w:i/>
          <w:iCs/>
        </w:rPr>
        <w:t>International Journal of Osteoarchaeology</w:t>
      </w:r>
      <w:r>
        <w:t xml:space="preserve"> </w:t>
      </w:r>
      <w:r>
        <w:rPr>
          <w:b/>
          <w:bCs/>
        </w:rPr>
        <w:t>13</w:t>
      </w:r>
      <w:r>
        <w:t>, 37–45 (2003).</w:t>
      </w:r>
    </w:p>
    <w:p w14:paraId="347AFDB4" w14:textId="77777777" w:rsidR="000A3EAD" w:rsidRDefault="000A3EAD" w:rsidP="000A3EAD">
      <w:pPr>
        <w:pStyle w:val="Bibliographie"/>
      </w:pPr>
      <w:r>
        <w:t>44.</w:t>
      </w:r>
      <w:r>
        <w:tab/>
        <w:t xml:space="preserve">Tcherkez, G. &amp; Tea, I. 32S/34S isotope fractionation in plant sulphur metabolism. </w:t>
      </w:r>
      <w:r>
        <w:rPr>
          <w:i/>
          <w:iCs/>
        </w:rPr>
        <w:t>New Phytologist</w:t>
      </w:r>
      <w:r>
        <w:t xml:space="preserve"> </w:t>
      </w:r>
      <w:r>
        <w:rPr>
          <w:b/>
          <w:bCs/>
        </w:rPr>
        <w:t>200</w:t>
      </w:r>
      <w:r>
        <w:t>, 44–53 (2013).</w:t>
      </w:r>
    </w:p>
    <w:p w14:paraId="6D63B08A" w14:textId="77777777" w:rsidR="000A3EAD" w:rsidRDefault="000A3EAD" w:rsidP="000A3EAD">
      <w:pPr>
        <w:pStyle w:val="Bibliographie"/>
      </w:pPr>
      <w:r>
        <w:t>45.</w:t>
      </w:r>
      <w:r>
        <w:tab/>
        <w:t xml:space="preserve">Webb, E. C. </w:t>
      </w:r>
      <w:r>
        <w:rPr>
          <w:i/>
          <w:iCs/>
        </w:rPr>
        <w:t>et al.</w:t>
      </w:r>
      <w:r>
        <w:t xml:space="preserve"> Sulphur-isotope compositions of pig tissues from a controlled feeding study. </w:t>
      </w:r>
      <w:r>
        <w:rPr>
          <w:i/>
          <w:iCs/>
        </w:rPr>
        <w:t>STAR: Science &amp; Technology of Archaeological Research</w:t>
      </w:r>
      <w:r>
        <w:t xml:space="preserve"> </w:t>
      </w:r>
      <w:r>
        <w:rPr>
          <w:b/>
          <w:bCs/>
        </w:rPr>
        <w:t>3</w:t>
      </w:r>
      <w:r>
        <w:t>, 71–79 (2017).</w:t>
      </w:r>
    </w:p>
    <w:p w14:paraId="24788948" w14:textId="77777777" w:rsidR="000A3EAD" w:rsidRDefault="000A3EAD" w:rsidP="000A3EAD">
      <w:pPr>
        <w:pStyle w:val="Bibliographie"/>
      </w:pPr>
      <w:r>
        <w:t>46.</w:t>
      </w:r>
      <w:r>
        <w:tab/>
        <w:t xml:space="preserve">Buckley, M., Collins, M., Thomas-Oates, J. &amp; Wilson, J. C. Species identification by analysis of bone collagen using matrix-assisted laser desorption/ionisation time-of-flight mass spectrometry. </w:t>
      </w:r>
      <w:r>
        <w:rPr>
          <w:i/>
          <w:iCs/>
        </w:rPr>
        <w:t>Rapid Commun Mass Spectrom</w:t>
      </w:r>
      <w:r>
        <w:t xml:space="preserve"> </w:t>
      </w:r>
      <w:r>
        <w:rPr>
          <w:b/>
          <w:bCs/>
        </w:rPr>
        <w:t>23</w:t>
      </w:r>
      <w:r>
        <w:t>, 3843–3854 (2009).</w:t>
      </w:r>
    </w:p>
    <w:p w14:paraId="3F375F68" w14:textId="77777777" w:rsidR="000A3EAD" w:rsidRDefault="000A3EAD" w:rsidP="000A3EAD">
      <w:pPr>
        <w:pStyle w:val="Bibliographie"/>
      </w:pPr>
      <w:r>
        <w:t>47.</w:t>
      </w:r>
      <w:r>
        <w:tab/>
        <w:t xml:space="preserve">Wilman, H. </w:t>
      </w:r>
      <w:r>
        <w:rPr>
          <w:i/>
          <w:iCs/>
        </w:rPr>
        <w:t>et al.</w:t>
      </w:r>
      <w:r>
        <w:t xml:space="preserve"> EltonTraits 1.0: Species-level foraging attributes of the world’s birds and mammals. </w:t>
      </w:r>
      <w:r>
        <w:rPr>
          <w:i/>
          <w:iCs/>
        </w:rPr>
        <w:t>Ecology</w:t>
      </w:r>
      <w:r>
        <w:t xml:space="preserve"> </w:t>
      </w:r>
      <w:r>
        <w:rPr>
          <w:b/>
          <w:bCs/>
        </w:rPr>
        <w:t>95</w:t>
      </w:r>
      <w:r>
        <w:t>, 2027–2027 (2014).</w:t>
      </w:r>
    </w:p>
    <w:p w14:paraId="4A53E0DD" w14:textId="77777777" w:rsidR="000A3EAD" w:rsidRDefault="000A3EAD" w:rsidP="000A3EAD">
      <w:pPr>
        <w:pStyle w:val="Bibliographie"/>
      </w:pPr>
      <w:r>
        <w:t>48.</w:t>
      </w:r>
      <w:r>
        <w:tab/>
        <w:t xml:space="preserve">Mimoun, J. &amp; Nouira, S. Food habits of the aoudad Ammotragus lervia in the Bou Hedma mountains, Tunisia. </w:t>
      </w:r>
      <w:r>
        <w:rPr>
          <w:i/>
          <w:iCs/>
        </w:rPr>
        <w:t>South African Journal of Science</w:t>
      </w:r>
      <w:r>
        <w:t xml:space="preserve"> </w:t>
      </w:r>
      <w:r>
        <w:rPr>
          <w:b/>
          <w:bCs/>
        </w:rPr>
        <w:t>Volume 111</w:t>
      </w:r>
      <w:r>
        <w:t>, (2015).</w:t>
      </w:r>
    </w:p>
    <w:p w14:paraId="0EE64E16" w14:textId="77777777" w:rsidR="000A3EAD" w:rsidRDefault="000A3EAD" w:rsidP="000A3EAD">
      <w:pPr>
        <w:pStyle w:val="Bibliographie"/>
      </w:pPr>
      <w:r>
        <w:t>49.</w:t>
      </w:r>
      <w:r>
        <w:tab/>
        <w:t xml:space="preserve">Loggers, C. Forage availability versus seasonal diets, as determined by fecal analysis, of dorcas gazelles in Morocco. </w:t>
      </w:r>
      <w:r>
        <w:rPr>
          <w:b/>
          <w:bCs/>
        </w:rPr>
        <w:t>55</w:t>
      </w:r>
      <w:r>
        <w:t>, 255–268 (1991).</w:t>
      </w:r>
    </w:p>
    <w:p w14:paraId="344E66A1" w14:textId="77777777" w:rsidR="000A3EAD" w:rsidRDefault="000A3EAD" w:rsidP="000A3EAD">
      <w:pPr>
        <w:pStyle w:val="Bibliographie"/>
      </w:pPr>
      <w:r>
        <w:t>50.</w:t>
      </w:r>
      <w:r>
        <w:tab/>
        <w:t xml:space="preserve">Estes, R. </w:t>
      </w:r>
      <w:r>
        <w:rPr>
          <w:i/>
          <w:iCs/>
        </w:rPr>
        <w:t>The behavior guide to African mammals : including hoofed mammals, carnivores, primates</w:t>
      </w:r>
      <w:r>
        <w:t>. (Berkeley : University of California Press, 1991).</w:t>
      </w:r>
    </w:p>
    <w:p w14:paraId="3EC3F0A6" w14:textId="77777777" w:rsidR="000A3EAD" w:rsidRDefault="000A3EAD" w:rsidP="000A3EAD">
      <w:pPr>
        <w:pStyle w:val="Bibliographie"/>
      </w:pPr>
      <w:r>
        <w:t>51.</w:t>
      </w:r>
      <w:r>
        <w:tab/>
        <w:t xml:space="preserve">Gray, G. G. &amp; Simpson, C. D. Ammotragus lervia. </w:t>
      </w:r>
      <w:r>
        <w:rPr>
          <w:i/>
          <w:iCs/>
        </w:rPr>
        <w:t>Mammalian Species</w:t>
      </w:r>
      <w:r>
        <w:t xml:space="preserve"> 1–7 (1980) doi:10.2307/3504009.</w:t>
      </w:r>
    </w:p>
    <w:p w14:paraId="7DF3F90D" w14:textId="77777777" w:rsidR="000A3EAD" w:rsidRDefault="000A3EAD" w:rsidP="000A3EAD">
      <w:pPr>
        <w:pStyle w:val="Bibliographie"/>
      </w:pPr>
      <w:r>
        <w:lastRenderedPageBreak/>
        <w:t>52.</w:t>
      </w:r>
      <w:r>
        <w:tab/>
        <w:t xml:space="preserve">Welker, F. </w:t>
      </w:r>
      <w:r>
        <w:rPr>
          <w:i/>
          <w:iCs/>
        </w:rPr>
        <w:t>et al.</w:t>
      </w:r>
      <w:r>
        <w:t xml:space="preserve"> Palaeoproteomic evidence identifies archaic hominins associated with the Châtelperronian at the Grotte du Renne. </w:t>
      </w:r>
      <w:r>
        <w:rPr>
          <w:i/>
          <w:iCs/>
        </w:rPr>
        <w:t>Proc Natl Acad Sci U S A</w:t>
      </w:r>
      <w:r>
        <w:t xml:space="preserve"> </w:t>
      </w:r>
      <w:r>
        <w:rPr>
          <w:b/>
          <w:bCs/>
        </w:rPr>
        <w:t>113</w:t>
      </w:r>
      <w:r>
        <w:t>, 11162–11167 (2016).</w:t>
      </w:r>
    </w:p>
    <w:p w14:paraId="13A66561" w14:textId="77777777" w:rsidR="000A3EAD" w:rsidRDefault="000A3EAD" w:rsidP="000A3EAD">
      <w:pPr>
        <w:pStyle w:val="Bibliographie"/>
      </w:pPr>
      <w:r>
        <w:t>53.</w:t>
      </w:r>
      <w:r>
        <w:tab/>
        <w:t xml:space="preserve">van Doorn, N. L., Hollund, H. &amp; Collins, M. J. A novel and non-destructive approach for ZooMS analysis: ammonium bicarbonate buffer extraction. </w:t>
      </w:r>
      <w:r>
        <w:rPr>
          <w:i/>
          <w:iCs/>
        </w:rPr>
        <w:t>Archaeol Anthropol Sci</w:t>
      </w:r>
      <w:r>
        <w:t xml:space="preserve"> </w:t>
      </w:r>
      <w:r>
        <w:rPr>
          <w:b/>
          <w:bCs/>
        </w:rPr>
        <w:t>3</w:t>
      </w:r>
      <w:r>
        <w:t>, 281–289 (2011).</w:t>
      </w:r>
    </w:p>
    <w:p w14:paraId="718C053D" w14:textId="77777777" w:rsidR="000A3EAD" w:rsidRDefault="000A3EAD" w:rsidP="000A3EAD">
      <w:pPr>
        <w:pStyle w:val="Bibliographie"/>
      </w:pPr>
      <w:r>
        <w:t>54.</w:t>
      </w:r>
      <w:r>
        <w:tab/>
        <w:t xml:space="preserve">Janzen, A. </w:t>
      </w:r>
      <w:r>
        <w:rPr>
          <w:i/>
          <w:iCs/>
        </w:rPr>
        <w:t>et al.</w:t>
      </w:r>
      <w:r>
        <w:t xml:space="preserve"> Distinguishing African bovids using Zooarchaeology by Mass Spectrometry (ZooMS): New peptide markers and insights into Iron Age economies in Zambia. </w:t>
      </w:r>
      <w:r>
        <w:rPr>
          <w:i/>
          <w:iCs/>
        </w:rPr>
        <w:t>PLOS ONE</w:t>
      </w:r>
      <w:r>
        <w:t xml:space="preserve"> </w:t>
      </w:r>
      <w:r>
        <w:rPr>
          <w:b/>
          <w:bCs/>
        </w:rPr>
        <w:t>16</w:t>
      </w:r>
      <w:r>
        <w:t>, e0251061 (2021).</w:t>
      </w:r>
    </w:p>
    <w:p w14:paraId="23B1EE8C" w14:textId="77777777" w:rsidR="000A3EAD" w:rsidRDefault="000A3EAD" w:rsidP="000A3EAD">
      <w:pPr>
        <w:pStyle w:val="Bibliographie"/>
      </w:pPr>
      <w:r>
        <w:t>55.</w:t>
      </w:r>
      <w:r>
        <w:tab/>
        <w:t xml:space="preserve">Ash, A. </w:t>
      </w:r>
      <w:r>
        <w:rPr>
          <w:i/>
          <w:iCs/>
        </w:rPr>
        <w:t>et al.</w:t>
      </w:r>
      <w:r>
        <w:t xml:space="preserve"> Regional differences in health, diet and weaning patterns amongst the first Neolithic farmers of central Europe. </w:t>
      </w:r>
      <w:r>
        <w:rPr>
          <w:i/>
          <w:iCs/>
        </w:rPr>
        <w:t>Sci Rep</w:t>
      </w:r>
      <w:r>
        <w:t xml:space="preserve"> </w:t>
      </w:r>
      <w:r>
        <w:rPr>
          <w:b/>
          <w:bCs/>
        </w:rPr>
        <w:t>6</w:t>
      </w:r>
      <w:r>
        <w:t>, 29458 (2016).</w:t>
      </w:r>
    </w:p>
    <w:p w14:paraId="7C192E39" w14:textId="77777777" w:rsidR="000A3EAD" w:rsidRDefault="000A3EAD" w:rsidP="000A3EAD">
      <w:pPr>
        <w:pStyle w:val="Bibliographie"/>
      </w:pPr>
      <w:r>
        <w:t>56.</w:t>
      </w:r>
      <w:r>
        <w:tab/>
        <w:t xml:space="preserve">Ogilvie, M. D., Curran, B. K. &amp; Trinkaus, E. Incidence and patterning of dental enamel hypoplasia among the Neandertals. </w:t>
      </w:r>
      <w:r>
        <w:rPr>
          <w:i/>
          <w:iCs/>
        </w:rPr>
        <w:t>American Journal of Physical Anthropology</w:t>
      </w:r>
      <w:r>
        <w:t xml:space="preserve"> </w:t>
      </w:r>
      <w:r>
        <w:rPr>
          <w:b/>
          <w:bCs/>
        </w:rPr>
        <w:t>79</w:t>
      </w:r>
      <w:r>
        <w:t>, 25–41 (1989).</w:t>
      </w:r>
    </w:p>
    <w:p w14:paraId="6D0F37D7" w14:textId="77777777" w:rsidR="000A3EAD" w:rsidRPr="000A3EAD" w:rsidRDefault="000A3EAD" w:rsidP="000A3EAD">
      <w:pPr>
        <w:pStyle w:val="Bibliographie"/>
        <w:rPr>
          <w:lang w:val="fr-FR"/>
        </w:rPr>
      </w:pPr>
      <w:r>
        <w:t>57.</w:t>
      </w:r>
      <w:r>
        <w:tab/>
        <w:t xml:space="preserve">Wright, J. T. Enamel Phenotypes: Genetic and Environmental Determinants. </w:t>
      </w:r>
      <w:r w:rsidRPr="000A3EAD">
        <w:rPr>
          <w:i/>
          <w:iCs/>
          <w:lang w:val="fr-FR"/>
        </w:rPr>
        <w:t>Genes (Basel)</w:t>
      </w:r>
      <w:r w:rsidRPr="000A3EAD">
        <w:rPr>
          <w:lang w:val="fr-FR"/>
        </w:rPr>
        <w:t xml:space="preserve"> </w:t>
      </w:r>
      <w:r w:rsidRPr="000A3EAD">
        <w:rPr>
          <w:b/>
          <w:bCs/>
          <w:lang w:val="fr-FR"/>
        </w:rPr>
        <w:t>14</w:t>
      </w:r>
      <w:r w:rsidRPr="000A3EAD">
        <w:rPr>
          <w:lang w:val="fr-FR"/>
        </w:rPr>
        <w:t>, 545 (2023).</w:t>
      </w:r>
    </w:p>
    <w:p w14:paraId="7BDE2C1D" w14:textId="77777777" w:rsidR="000A3EAD" w:rsidRDefault="000A3EAD" w:rsidP="000A3EAD">
      <w:pPr>
        <w:pStyle w:val="Bibliographie"/>
      </w:pPr>
      <w:r w:rsidRPr="000A3EAD">
        <w:rPr>
          <w:lang w:val="fr-FR"/>
        </w:rPr>
        <w:t>58.</w:t>
      </w:r>
      <w:r w:rsidRPr="000A3EAD">
        <w:rPr>
          <w:lang w:val="fr-FR"/>
        </w:rPr>
        <w:tab/>
        <w:t xml:space="preserve">Bocquentin, F. Pratiques funéraires, paramètres biologiques et identités culturelles au Natoufien : une analyse archéo-anthropologique. </w:t>
      </w:r>
      <w:r>
        <w:t>(Université Bordeaux 1, 2003).</w:t>
      </w:r>
    </w:p>
    <w:p w14:paraId="154F3BDD" w14:textId="77777777" w:rsidR="000A3EAD" w:rsidRDefault="000A3EAD" w:rsidP="000A3EAD">
      <w:pPr>
        <w:pStyle w:val="Bibliographie"/>
      </w:pPr>
      <w:r>
        <w:t>59.</w:t>
      </w:r>
      <w:r>
        <w:tab/>
        <w:t>AlQahtani, S. J. The London Atlas: developing an atlas of tooth development and testing its quality and performance measures. (Queen Mary University of London, 2012).</w:t>
      </w:r>
    </w:p>
    <w:p w14:paraId="1BB85358" w14:textId="77777777" w:rsidR="000A3EAD" w:rsidRDefault="000A3EAD" w:rsidP="000A3EAD">
      <w:pPr>
        <w:pStyle w:val="Bibliographie"/>
      </w:pPr>
      <w:r>
        <w:t>60.</w:t>
      </w:r>
      <w:r>
        <w:tab/>
        <w:t xml:space="preserve">Reid, D. J. &amp; Dean, M. C. Variation in modern human enamel formation times. </w:t>
      </w:r>
      <w:r>
        <w:rPr>
          <w:i/>
          <w:iCs/>
        </w:rPr>
        <w:t>Journal of Human Evolution</w:t>
      </w:r>
      <w:r>
        <w:t xml:space="preserve"> </w:t>
      </w:r>
      <w:r>
        <w:rPr>
          <w:b/>
          <w:bCs/>
        </w:rPr>
        <w:t>50</w:t>
      </w:r>
      <w:r>
        <w:t>, 329–346 (2006).</w:t>
      </w:r>
    </w:p>
    <w:p w14:paraId="09622A71" w14:textId="77777777" w:rsidR="000A3EAD" w:rsidRDefault="000A3EAD" w:rsidP="000A3EAD">
      <w:pPr>
        <w:pStyle w:val="Bibliographie"/>
      </w:pPr>
      <w:r>
        <w:t>61.</w:t>
      </w:r>
      <w:r>
        <w:tab/>
        <w:t xml:space="preserve">Copeland, S. R. </w:t>
      </w:r>
      <w:r>
        <w:rPr>
          <w:i/>
          <w:iCs/>
        </w:rPr>
        <w:t>et al.</w:t>
      </w:r>
      <w:r>
        <w:t xml:space="preserve"> Strontium isotope ratios (87Sr/86Sr) of tooth enamel: a comparison of solution and laser ablation multicollector inductively coupled plasma mass spectrometry methods. </w:t>
      </w:r>
      <w:r>
        <w:rPr>
          <w:i/>
          <w:iCs/>
        </w:rPr>
        <w:t>Rapid Communications in Mass Spectrometry</w:t>
      </w:r>
      <w:r>
        <w:t xml:space="preserve"> </w:t>
      </w:r>
      <w:r>
        <w:rPr>
          <w:b/>
          <w:bCs/>
        </w:rPr>
        <w:t>22</w:t>
      </w:r>
      <w:r>
        <w:t>, 3187–3194 (2008).</w:t>
      </w:r>
    </w:p>
    <w:p w14:paraId="1602F1DE" w14:textId="77777777" w:rsidR="000A3EAD" w:rsidRDefault="000A3EAD" w:rsidP="000A3EAD">
      <w:pPr>
        <w:pStyle w:val="Bibliographie"/>
      </w:pPr>
      <w:r>
        <w:t>62.</w:t>
      </w:r>
      <w:r>
        <w:tab/>
        <w:t xml:space="preserve">Talamo, S. &amp; Richards, M. A Comparison of Bone Pretreatment Methods for AMS Dating of Samples &gt;30,000 BP. </w:t>
      </w:r>
      <w:r>
        <w:rPr>
          <w:i/>
          <w:iCs/>
        </w:rPr>
        <w:t>Radiocarbon</w:t>
      </w:r>
      <w:r>
        <w:t xml:space="preserve"> </w:t>
      </w:r>
      <w:r>
        <w:rPr>
          <w:b/>
          <w:bCs/>
        </w:rPr>
        <w:t>53</w:t>
      </w:r>
      <w:r>
        <w:t>, 443–449 (2011).</w:t>
      </w:r>
    </w:p>
    <w:p w14:paraId="0A0589B3" w14:textId="77777777" w:rsidR="000A3EAD" w:rsidRDefault="000A3EAD" w:rsidP="000A3EAD">
      <w:pPr>
        <w:pStyle w:val="Bibliographie"/>
      </w:pPr>
      <w:r>
        <w:lastRenderedPageBreak/>
        <w:t>63.</w:t>
      </w:r>
      <w:r>
        <w:tab/>
        <w:t xml:space="preserve">Yarnes, C. T. &amp; Herszage, J. The relative influence of derivatization and normalization procedures on the compound-specific stable isotope analysis of nitrogen in amino acids. </w:t>
      </w:r>
      <w:r>
        <w:rPr>
          <w:i/>
          <w:iCs/>
        </w:rPr>
        <w:t>Rapid Communications in Mass Spectrometry</w:t>
      </w:r>
      <w:r>
        <w:t xml:space="preserve"> </w:t>
      </w:r>
      <w:r>
        <w:rPr>
          <w:b/>
          <w:bCs/>
        </w:rPr>
        <w:t>31</w:t>
      </w:r>
      <w:r>
        <w:t>, 693–704 (2017).</w:t>
      </w:r>
    </w:p>
    <w:p w14:paraId="11804669" w14:textId="77777777" w:rsidR="000A3EAD" w:rsidRDefault="000A3EAD" w:rsidP="000A3EAD">
      <w:pPr>
        <w:pStyle w:val="Bibliographie"/>
      </w:pPr>
      <w:r>
        <w:t>64.</w:t>
      </w:r>
      <w:r>
        <w:tab/>
        <w:t xml:space="preserve">Jaouen, K. </w:t>
      </w:r>
      <w:r>
        <w:rPr>
          <w:i/>
          <w:iCs/>
        </w:rPr>
        <w:t>et al.</w:t>
      </w:r>
      <w:r>
        <w:t xml:space="preserve"> A Neandertal dietary conundrum: Insights provided by tooth enamel Zn isotopes from Gabasa, Spain. </w:t>
      </w:r>
      <w:r>
        <w:rPr>
          <w:i/>
          <w:iCs/>
        </w:rPr>
        <w:t>Proceedings of the National Academy of Sciences</w:t>
      </w:r>
      <w:r>
        <w:t xml:space="preserve"> </w:t>
      </w:r>
      <w:r>
        <w:rPr>
          <w:b/>
          <w:bCs/>
        </w:rPr>
        <w:t>119</w:t>
      </w:r>
      <w:r>
        <w:t>, e2109315119 (2022).</w:t>
      </w:r>
    </w:p>
    <w:p w14:paraId="0119EE55" w14:textId="77777777" w:rsidR="000A3EAD" w:rsidRDefault="000A3EAD" w:rsidP="000A3EAD">
      <w:pPr>
        <w:pStyle w:val="Bibliographie"/>
      </w:pPr>
      <w:r>
        <w:t>65.</w:t>
      </w:r>
      <w:r>
        <w:tab/>
        <w:t xml:space="preserve">McCormack, J. </w:t>
      </w:r>
      <w:r>
        <w:rPr>
          <w:i/>
          <w:iCs/>
        </w:rPr>
        <w:t>et al.</w:t>
      </w:r>
      <w:r>
        <w:t xml:space="preserve"> Combining collagen extraction with mineral Zn isotope analyses from a single sample for robust palaeoecological investigations. </w:t>
      </w:r>
      <w:r>
        <w:rPr>
          <w:i/>
          <w:iCs/>
        </w:rPr>
        <w:t>Archaeol Anthropol Sci</w:t>
      </w:r>
      <w:r>
        <w:t xml:space="preserve"> </w:t>
      </w:r>
      <w:r>
        <w:rPr>
          <w:b/>
          <w:bCs/>
        </w:rPr>
        <w:t>14</w:t>
      </w:r>
      <w:r>
        <w:t>, 137 (2022).</w:t>
      </w:r>
    </w:p>
    <w:p w14:paraId="5AD8F198" w14:textId="77777777" w:rsidR="000A3EAD" w:rsidRDefault="000A3EAD" w:rsidP="000A3EAD">
      <w:pPr>
        <w:pStyle w:val="Bibliographie"/>
      </w:pPr>
      <w:r>
        <w:t>66.</w:t>
      </w:r>
      <w:r>
        <w:tab/>
        <w:t xml:space="preserve">Jaouen, K. </w:t>
      </w:r>
      <w:r>
        <w:rPr>
          <w:i/>
          <w:iCs/>
        </w:rPr>
        <w:t>et al.</w:t>
      </w:r>
      <w:r>
        <w:t xml:space="preserve"> Exceptionally high δ15N values in collagen single amino acids confirm Neandertals as high-trophic level carnivores. </w:t>
      </w:r>
      <w:r>
        <w:rPr>
          <w:i/>
          <w:iCs/>
        </w:rPr>
        <w:t>PNAS</w:t>
      </w:r>
      <w:r>
        <w:t xml:space="preserve"> </w:t>
      </w:r>
      <w:r>
        <w:rPr>
          <w:b/>
          <w:bCs/>
        </w:rPr>
        <w:t>116</w:t>
      </w:r>
      <w:r>
        <w:t>, 4928–4933 (2019).</w:t>
      </w:r>
    </w:p>
    <w:p w14:paraId="4FB92F55" w14:textId="77777777" w:rsidR="000A3EAD" w:rsidRDefault="000A3EAD" w:rsidP="000A3EAD">
      <w:pPr>
        <w:pStyle w:val="Bibliographie"/>
      </w:pPr>
      <w:r>
        <w:t>67.</w:t>
      </w:r>
      <w:r>
        <w:tab/>
        <w:t xml:space="preserve">O’Connell, T. C. &amp; Collins, M. J. Comment on “Ecological niche of Neanderthals from Spy Cave revealed by nitrogen isotopes of individual amino acids in collagen” [J. Hum. Evol. 93 (2016) 82–90]. </w:t>
      </w:r>
      <w:r>
        <w:rPr>
          <w:i/>
          <w:iCs/>
        </w:rPr>
        <w:t>Journal of Human Evolution</w:t>
      </w:r>
      <w:r>
        <w:t xml:space="preserve"> </w:t>
      </w:r>
      <w:r>
        <w:rPr>
          <w:b/>
          <w:bCs/>
        </w:rPr>
        <w:t>117</w:t>
      </w:r>
      <w:r>
        <w:t>, 53–55 (2018).</w:t>
      </w:r>
    </w:p>
    <w:p w14:paraId="0E59B064" w14:textId="77777777" w:rsidR="000A3EAD" w:rsidRDefault="000A3EAD" w:rsidP="000A3EAD">
      <w:pPr>
        <w:pStyle w:val="Bibliographie"/>
      </w:pPr>
      <w:r>
        <w:t>68.</w:t>
      </w:r>
      <w:r>
        <w:tab/>
        <w:t xml:space="preserve">Babraj, J. </w:t>
      </w:r>
      <w:r>
        <w:rPr>
          <w:i/>
          <w:iCs/>
        </w:rPr>
        <w:t>et al.</w:t>
      </w:r>
      <w:r>
        <w:t xml:space="preserve"> Sequential extracts of human bone show differing collagen synthetic rates. </w:t>
      </w:r>
      <w:r>
        <w:rPr>
          <w:i/>
          <w:iCs/>
        </w:rPr>
        <w:t>Biochemical Society Transactions</w:t>
      </w:r>
      <w:r>
        <w:t xml:space="preserve"> </w:t>
      </w:r>
      <w:r>
        <w:rPr>
          <w:b/>
          <w:bCs/>
        </w:rPr>
        <w:t>30</w:t>
      </w:r>
      <w:r>
        <w:t>, 61–65 (2002).</w:t>
      </w:r>
    </w:p>
    <w:p w14:paraId="21D09E02" w14:textId="77777777" w:rsidR="000A3EAD" w:rsidRDefault="000A3EAD" w:rsidP="000A3EAD">
      <w:pPr>
        <w:pStyle w:val="Bibliographie"/>
      </w:pPr>
      <w:r>
        <w:t>69.</w:t>
      </w:r>
      <w:r>
        <w:tab/>
        <w:t xml:space="preserve">Dauphin, Y. &amp; Williams, C. T. Diagenetic trends of dental tissues. </w:t>
      </w:r>
      <w:r>
        <w:rPr>
          <w:i/>
          <w:iCs/>
        </w:rPr>
        <w:t>Comptes Rendus Palevol</w:t>
      </w:r>
      <w:r>
        <w:t xml:space="preserve"> </w:t>
      </w:r>
      <w:r>
        <w:rPr>
          <w:b/>
          <w:bCs/>
        </w:rPr>
        <w:t>3</w:t>
      </w:r>
      <w:r>
        <w:t>, 583–590 (2004).</w:t>
      </w:r>
    </w:p>
    <w:p w14:paraId="5B4A769C" w14:textId="77777777" w:rsidR="000A3EAD" w:rsidRDefault="000A3EAD" w:rsidP="000A3EAD">
      <w:pPr>
        <w:pStyle w:val="Bibliographie"/>
      </w:pPr>
      <w:r>
        <w:t>70.</w:t>
      </w:r>
      <w:r>
        <w:tab/>
        <w:t xml:space="preserve">Kohn, M. J., Schoeninger, M. J. &amp; Barker, W. W. Altered states: effects of diagenesis on fossil tooth chemistry. </w:t>
      </w:r>
      <w:r>
        <w:rPr>
          <w:i/>
          <w:iCs/>
        </w:rPr>
        <w:t>Geochimica et Cosmochimica Acta</w:t>
      </w:r>
      <w:r>
        <w:t xml:space="preserve"> </w:t>
      </w:r>
      <w:r>
        <w:rPr>
          <w:b/>
          <w:bCs/>
        </w:rPr>
        <w:t>63</w:t>
      </w:r>
      <w:r>
        <w:t>, 2737–2747 (1999).</w:t>
      </w:r>
    </w:p>
    <w:p w14:paraId="52B52E3D" w14:textId="77777777" w:rsidR="000A3EAD" w:rsidRDefault="000A3EAD" w:rsidP="000A3EAD">
      <w:pPr>
        <w:pStyle w:val="Bibliographie"/>
      </w:pPr>
      <w:r>
        <w:t>71.</w:t>
      </w:r>
      <w:r>
        <w:tab/>
        <w:t xml:space="preserve">Reynard, B. &amp; Balter, V. Trace elements and their isotopes in bones and teeth: Diet, environments, diagenesis, and dating of archeological and paleontological samples. </w:t>
      </w:r>
      <w:r>
        <w:rPr>
          <w:i/>
          <w:iCs/>
        </w:rPr>
        <w:t>Palaeogeography, Palaeoclimatology, Palaeoecology</w:t>
      </w:r>
      <w:r>
        <w:t xml:space="preserve"> </w:t>
      </w:r>
      <w:r>
        <w:rPr>
          <w:b/>
          <w:bCs/>
        </w:rPr>
        <w:t>416</w:t>
      </w:r>
      <w:r>
        <w:t>, 4–16 (2014).</w:t>
      </w:r>
    </w:p>
    <w:p w14:paraId="0BBBC5C3" w14:textId="77777777" w:rsidR="000A3EAD" w:rsidRDefault="000A3EAD" w:rsidP="000A3EAD">
      <w:pPr>
        <w:pStyle w:val="Bibliographie"/>
      </w:pPr>
      <w:r>
        <w:t>72.</w:t>
      </w:r>
      <w:r>
        <w:tab/>
        <w:t xml:space="preserve">McCormack, J. </w:t>
      </w:r>
      <w:r>
        <w:rPr>
          <w:i/>
          <w:iCs/>
        </w:rPr>
        <w:t>et al.</w:t>
      </w:r>
      <w:r>
        <w:t xml:space="preserve"> Zinc isotopes from archaeological bones provide reliable trophic level information for marine mammals. </w:t>
      </w:r>
      <w:r>
        <w:rPr>
          <w:i/>
          <w:iCs/>
        </w:rPr>
        <w:t>Commun Biol</w:t>
      </w:r>
      <w:r>
        <w:t xml:space="preserve"> </w:t>
      </w:r>
      <w:r>
        <w:rPr>
          <w:b/>
          <w:bCs/>
        </w:rPr>
        <w:t>4</w:t>
      </w:r>
      <w:r>
        <w:t>, 1–11 (2021).</w:t>
      </w:r>
    </w:p>
    <w:p w14:paraId="3D9E7706" w14:textId="77777777" w:rsidR="000A3EAD" w:rsidRDefault="000A3EAD" w:rsidP="000A3EAD">
      <w:pPr>
        <w:pStyle w:val="Bibliographie"/>
      </w:pPr>
      <w:r>
        <w:lastRenderedPageBreak/>
        <w:t>73.</w:t>
      </w:r>
      <w:r>
        <w:tab/>
        <w:t xml:space="preserve">Weiss, D. J. </w:t>
      </w:r>
      <w:r>
        <w:rPr>
          <w:i/>
          <w:iCs/>
        </w:rPr>
        <w:t>et al.</w:t>
      </w:r>
      <w:r>
        <w:t xml:space="preserve"> Isotopic discrimination of zinc in higher plants. </w:t>
      </w:r>
      <w:r>
        <w:rPr>
          <w:i/>
          <w:iCs/>
        </w:rPr>
        <w:t>New Phytologist</w:t>
      </w:r>
      <w:r>
        <w:t xml:space="preserve"> </w:t>
      </w:r>
      <w:r>
        <w:rPr>
          <w:b/>
          <w:bCs/>
        </w:rPr>
        <w:t>165</w:t>
      </w:r>
      <w:r>
        <w:t>, 703–710 (2005).</w:t>
      </w:r>
    </w:p>
    <w:p w14:paraId="0348E8F7" w14:textId="77777777" w:rsidR="000A3EAD" w:rsidRDefault="000A3EAD" w:rsidP="000A3EAD">
      <w:pPr>
        <w:pStyle w:val="Bibliographie"/>
      </w:pPr>
      <w:r>
        <w:t>74.</w:t>
      </w:r>
      <w:r>
        <w:tab/>
        <w:t xml:space="preserve">Ma, Y. </w:t>
      </w:r>
      <w:r>
        <w:rPr>
          <w:i/>
          <w:iCs/>
        </w:rPr>
        <w:t>et al.</w:t>
      </w:r>
      <w:r>
        <w:t xml:space="preserve"> Aminoisoscapes and palaeodiet reconstruction: New perspectives on millet-based diets in China using amino acid δ13C values. </w:t>
      </w:r>
      <w:r>
        <w:rPr>
          <w:i/>
          <w:iCs/>
        </w:rPr>
        <w:t>Journal of Archaeological Science</w:t>
      </w:r>
      <w:r>
        <w:t xml:space="preserve"> </w:t>
      </w:r>
      <w:r>
        <w:rPr>
          <w:b/>
          <w:bCs/>
        </w:rPr>
        <w:t>125</w:t>
      </w:r>
      <w:r>
        <w:t>, 105289 (2021).</w:t>
      </w:r>
    </w:p>
    <w:p w14:paraId="1F1DFFA8" w14:textId="77777777" w:rsidR="000A3EAD" w:rsidRDefault="000A3EAD" w:rsidP="000A3EAD">
      <w:pPr>
        <w:pStyle w:val="Bibliographie"/>
      </w:pPr>
      <w:r>
        <w:t>75.</w:t>
      </w:r>
      <w:r>
        <w:tab/>
        <w:t xml:space="preserve">Cheung, C., Herrscher, E. &amp; Thomas, A. Compound specific isotope evidence points to use of freshwater resources as weaning food in Middle Neolithic Paris Basin. </w:t>
      </w:r>
      <w:r>
        <w:rPr>
          <w:i/>
          <w:iCs/>
        </w:rPr>
        <w:t>American Journal of Biological Anthropology</w:t>
      </w:r>
      <w:r>
        <w:t xml:space="preserve"> </w:t>
      </w:r>
      <w:r>
        <w:rPr>
          <w:b/>
          <w:bCs/>
        </w:rPr>
        <w:t>179</w:t>
      </w:r>
      <w:r>
        <w:t>, 118–133 (2022).</w:t>
      </w:r>
    </w:p>
    <w:p w14:paraId="5CE5A527" w14:textId="77777777" w:rsidR="000A3EAD" w:rsidRDefault="000A3EAD" w:rsidP="000A3EAD">
      <w:pPr>
        <w:pStyle w:val="Bibliographie"/>
      </w:pPr>
      <w:r>
        <w:t>76.</w:t>
      </w:r>
      <w:r>
        <w:tab/>
        <w:t xml:space="preserve">Choy, K., Smith, C. I., Fuller, B. T. &amp; Richards, M. P. Investigation of amino acid δ13C signatures in bone collagen to reconstruct human palaeodiets using liquid chromatography–isotope ratio mass spectrometry. </w:t>
      </w:r>
      <w:r>
        <w:rPr>
          <w:i/>
          <w:iCs/>
        </w:rPr>
        <w:t>Geochimica et Cosmochimica Acta</w:t>
      </w:r>
      <w:r>
        <w:t xml:space="preserve"> </w:t>
      </w:r>
      <w:r>
        <w:rPr>
          <w:b/>
          <w:bCs/>
        </w:rPr>
        <w:t>74</w:t>
      </w:r>
      <w:r>
        <w:t>, 6093–6111 (2010).</w:t>
      </w:r>
    </w:p>
    <w:p w14:paraId="70FDA0D5" w14:textId="77777777" w:rsidR="000A3EAD" w:rsidRDefault="000A3EAD" w:rsidP="000A3EAD">
      <w:pPr>
        <w:pStyle w:val="Bibliographie"/>
      </w:pPr>
      <w:r>
        <w:t>77.</w:t>
      </w:r>
      <w:r>
        <w:tab/>
        <w:t xml:space="preserve">Mora, A., Pacheco, A., Roberts, C. &amp; Smith, C. Pica 8: Refining dietary reconstruction through amino acid δ13C analysis of tendon collagen and hair keratin. </w:t>
      </w:r>
      <w:r>
        <w:rPr>
          <w:i/>
          <w:iCs/>
        </w:rPr>
        <w:t>Journal of Archaeological Science</w:t>
      </w:r>
      <w:r>
        <w:t xml:space="preserve"> </w:t>
      </w:r>
      <w:r>
        <w:rPr>
          <w:b/>
          <w:bCs/>
        </w:rPr>
        <w:t>93</w:t>
      </w:r>
      <w:r>
        <w:t>, 94–109 (2018).</w:t>
      </w:r>
    </w:p>
    <w:p w14:paraId="4D0FF926" w14:textId="77777777" w:rsidR="000A3EAD" w:rsidRDefault="000A3EAD" w:rsidP="000A3EAD">
      <w:pPr>
        <w:pStyle w:val="Bibliographie"/>
      </w:pPr>
      <w:r>
        <w:t>78.</w:t>
      </w:r>
      <w:r>
        <w:tab/>
        <w:t xml:space="preserve">Thorp, J. H. &amp; Bowes, R. E. Carbon Sources in Riverine Food Webs: New Evidence from Amino Acid Isotope Techniques. </w:t>
      </w:r>
      <w:r>
        <w:rPr>
          <w:i/>
          <w:iCs/>
        </w:rPr>
        <w:t>Ecosystems</w:t>
      </w:r>
      <w:r>
        <w:t xml:space="preserve"> </w:t>
      </w:r>
      <w:r>
        <w:rPr>
          <w:b/>
          <w:bCs/>
        </w:rPr>
        <w:t>20</w:t>
      </w:r>
      <w:r>
        <w:t>, 1029–1041 (2017).</w:t>
      </w:r>
    </w:p>
    <w:p w14:paraId="78D604B0" w14:textId="77777777" w:rsidR="000A3EAD" w:rsidRDefault="000A3EAD" w:rsidP="000A3EAD">
      <w:pPr>
        <w:pStyle w:val="Bibliographie"/>
      </w:pPr>
      <w:r>
        <w:t>79.</w:t>
      </w:r>
      <w:r>
        <w:tab/>
        <w:t xml:space="preserve">Ambrose, S. H. &amp; DeNiro, M. J. Reconstruction of African human diet using bone collagen carbon and nitrogen isotope ratios. </w:t>
      </w:r>
      <w:r>
        <w:rPr>
          <w:i/>
          <w:iCs/>
        </w:rPr>
        <w:t>Nature</w:t>
      </w:r>
      <w:r>
        <w:t xml:space="preserve"> </w:t>
      </w:r>
      <w:r>
        <w:rPr>
          <w:b/>
          <w:bCs/>
        </w:rPr>
        <w:t>319</w:t>
      </w:r>
      <w:r>
        <w:t>, 321–324 (1986).</w:t>
      </w:r>
    </w:p>
    <w:p w14:paraId="457EC4A1" w14:textId="77777777" w:rsidR="000A3EAD" w:rsidRDefault="000A3EAD" w:rsidP="000A3EAD">
      <w:pPr>
        <w:pStyle w:val="Bibliographie"/>
      </w:pPr>
      <w:r>
        <w:t>80.</w:t>
      </w:r>
      <w:r>
        <w:tab/>
        <w:t xml:space="preserve">Bocherens, H. &amp; Drucker, D. Trophic level isotopic enrichment of carbon and nitrogen in bone collagen: case studies from recent and ancient terrestrial ecosystems. </w:t>
      </w:r>
      <w:r>
        <w:rPr>
          <w:i/>
          <w:iCs/>
        </w:rPr>
        <w:t>International Journal of osteoarchaeology</w:t>
      </w:r>
      <w:r>
        <w:t xml:space="preserve"> </w:t>
      </w:r>
      <w:r>
        <w:rPr>
          <w:b/>
          <w:bCs/>
        </w:rPr>
        <w:t>13</w:t>
      </w:r>
      <w:r>
        <w:t>, 46–53 (2003).</w:t>
      </w:r>
    </w:p>
    <w:p w14:paraId="2B4A3586" w14:textId="77777777" w:rsidR="000A3EAD" w:rsidRDefault="000A3EAD" w:rsidP="000A3EAD">
      <w:pPr>
        <w:pStyle w:val="Bibliographie"/>
      </w:pPr>
      <w:r>
        <w:t>81.</w:t>
      </w:r>
      <w:r>
        <w:tab/>
        <w:t xml:space="preserve">Minagawa, M. &amp; Wada, E. Stepwise enrichment of 15N along food chains: Further evidence and the relation between δ15N and animal age. </w:t>
      </w:r>
      <w:r>
        <w:rPr>
          <w:i/>
          <w:iCs/>
        </w:rPr>
        <w:t>Geochimica et Cosmochimica Acta</w:t>
      </w:r>
      <w:r>
        <w:t xml:space="preserve"> </w:t>
      </w:r>
      <w:r>
        <w:rPr>
          <w:b/>
          <w:bCs/>
        </w:rPr>
        <w:t>48</w:t>
      </w:r>
      <w:r>
        <w:t>, 1135–1140 (1984).</w:t>
      </w:r>
    </w:p>
    <w:p w14:paraId="58F411C5" w14:textId="77777777" w:rsidR="000A3EAD" w:rsidRDefault="000A3EAD" w:rsidP="000A3EAD">
      <w:pPr>
        <w:pStyle w:val="Bibliographie"/>
      </w:pPr>
      <w:r>
        <w:t>82.</w:t>
      </w:r>
      <w:r>
        <w:tab/>
        <w:t xml:space="preserve">Schoeninger, M. J. &amp; DeNiro, M. J. Nitrogen and carbon isotopic composition of bone collagen from marine and terrestrial animals. </w:t>
      </w:r>
      <w:r>
        <w:rPr>
          <w:i/>
          <w:iCs/>
        </w:rPr>
        <w:t>Geochimica et Cosmochimica Acta</w:t>
      </w:r>
      <w:r>
        <w:t xml:space="preserve"> </w:t>
      </w:r>
      <w:r>
        <w:rPr>
          <w:b/>
          <w:bCs/>
        </w:rPr>
        <w:t>48</w:t>
      </w:r>
      <w:r>
        <w:t>, 625–639 (1984).</w:t>
      </w:r>
    </w:p>
    <w:p w14:paraId="265AA655" w14:textId="77777777" w:rsidR="000A3EAD" w:rsidRDefault="000A3EAD" w:rsidP="000A3EAD">
      <w:pPr>
        <w:pStyle w:val="Bibliographie"/>
      </w:pPr>
      <w:r>
        <w:lastRenderedPageBreak/>
        <w:t>83.</w:t>
      </w:r>
      <w:r>
        <w:tab/>
        <w:t xml:space="preserve">Drucker, D. G. </w:t>
      </w:r>
      <w:r>
        <w:rPr>
          <w:i/>
          <w:iCs/>
        </w:rPr>
        <w:t>et al.</w:t>
      </w:r>
      <w:r>
        <w:t xml:space="preserve"> Isotopic analyses suggest mammoth and plant in the diet of the oldest anatomically modern humans from far southeast Europe. </w:t>
      </w:r>
      <w:r>
        <w:rPr>
          <w:i/>
          <w:iCs/>
        </w:rPr>
        <w:t>Sci Rep</w:t>
      </w:r>
      <w:r>
        <w:t xml:space="preserve"> </w:t>
      </w:r>
      <w:r>
        <w:rPr>
          <w:b/>
          <w:bCs/>
        </w:rPr>
        <w:t>7</w:t>
      </w:r>
      <w:r>
        <w:t>, 6833 (2017).</w:t>
      </w:r>
    </w:p>
    <w:p w14:paraId="7EABD6B4" w14:textId="77777777" w:rsidR="000A3EAD" w:rsidRDefault="000A3EAD" w:rsidP="000A3EAD">
      <w:pPr>
        <w:pStyle w:val="Bibliographie"/>
      </w:pPr>
      <w:r w:rsidRPr="00333F7C">
        <w:t>84.</w:t>
      </w:r>
      <w:r w:rsidRPr="00333F7C">
        <w:tab/>
        <w:t xml:space="preserve">Naito, Y. I. </w:t>
      </w:r>
      <w:r w:rsidRPr="00333F7C">
        <w:rPr>
          <w:i/>
          <w:iCs/>
        </w:rPr>
        <w:t>et al.</w:t>
      </w:r>
      <w:r w:rsidRPr="00333F7C">
        <w:t xml:space="preserve"> </w:t>
      </w:r>
      <w:r>
        <w:t xml:space="preserve">Ecological niche of Neanderthals from Spy Cave revealed by nitrogen isotopes of individual amino acids in collagen. </w:t>
      </w:r>
      <w:r>
        <w:rPr>
          <w:i/>
          <w:iCs/>
        </w:rPr>
        <w:t>Journal of Human Evolution</w:t>
      </w:r>
      <w:r>
        <w:t xml:space="preserve"> </w:t>
      </w:r>
      <w:r>
        <w:rPr>
          <w:b/>
          <w:bCs/>
        </w:rPr>
        <w:t>93</w:t>
      </w:r>
      <w:r>
        <w:t>, 82–90 (2016).</w:t>
      </w:r>
    </w:p>
    <w:p w14:paraId="2158B0B4" w14:textId="77777777" w:rsidR="000A3EAD" w:rsidRDefault="000A3EAD" w:rsidP="000A3EAD">
      <w:pPr>
        <w:pStyle w:val="Bibliographie"/>
      </w:pPr>
      <w:r>
        <w:t>85.</w:t>
      </w:r>
      <w:r>
        <w:tab/>
        <w:t xml:space="preserve">Jhala, Y. &amp; Moehlman, P. Golden jackal (Canis aureus). </w:t>
      </w:r>
      <w:r>
        <w:rPr>
          <w:i/>
          <w:iCs/>
        </w:rPr>
        <w:t>Canids: Foxes, Wolves, Jackals and Dogs</w:t>
      </w:r>
      <w:r>
        <w:t xml:space="preserve"> 156–161 (2004).</w:t>
      </w:r>
    </w:p>
    <w:p w14:paraId="627F9FDD" w14:textId="77777777" w:rsidR="000A3EAD" w:rsidRDefault="000A3EAD" w:rsidP="000A3EAD">
      <w:pPr>
        <w:pStyle w:val="Bibliographie"/>
      </w:pPr>
      <w:r w:rsidRPr="000A3EAD">
        <w:rPr>
          <w:lang w:val="fr-FR"/>
        </w:rPr>
        <w:t>86.</w:t>
      </w:r>
      <w:r w:rsidRPr="000A3EAD">
        <w:rPr>
          <w:lang w:val="fr-FR"/>
        </w:rPr>
        <w:tab/>
        <w:t xml:space="preserve">Bataille, C. P. </w:t>
      </w:r>
      <w:r w:rsidRPr="000A3EAD">
        <w:rPr>
          <w:i/>
          <w:iCs/>
          <w:lang w:val="fr-FR"/>
        </w:rPr>
        <w:t>et al.</w:t>
      </w:r>
      <w:r w:rsidRPr="000A3EAD">
        <w:rPr>
          <w:lang w:val="fr-FR"/>
        </w:rPr>
        <w:t xml:space="preserve"> </w:t>
      </w:r>
      <w:r>
        <w:t xml:space="preserve">Triple sulfur-oxygen-strontium isotopes probabilistic geographic assignment of archaeological remains using a novel sulfur isoscape of western Europe. </w:t>
      </w:r>
      <w:r>
        <w:rPr>
          <w:i/>
          <w:iCs/>
        </w:rPr>
        <w:t>PLOS ONE</w:t>
      </w:r>
      <w:r>
        <w:t xml:space="preserve"> </w:t>
      </w:r>
      <w:r>
        <w:rPr>
          <w:b/>
          <w:bCs/>
        </w:rPr>
        <w:t>16</w:t>
      </w:r>
      <w:r>
        <w:t>, e0250383 (2021).</w:t>
      </w:r>
    </w:p>
    <w:p w14:paraId="5524BD25" w14:textId="77777777" w:rsidR="000A3EAD" w:rsidRDefault="000A3EAD" w:rsidP="000A3EAD">
      <w:pPr>
        <w:pStyle w:val="Bibliographie"/>
      </w:pPr>
      <w:r>
        <w:t>87.</w:t>
      </w:r>
      <w:r>
        <w:tab/>
        <w:t xml:space="preserve">Drake, N. A., Eckardt, F. D. &amp; White, H., Kevin. Sources of sulphur in gypsiferous sediments and crusts and pathways of gypsum redistribution in southern Tunisia. </w:t>
      </w:r>
      <w:r>
        <w:rPr>
          <w:i/>
          <w:iCs/>
        </w:rPr>
        <w:t>Earth Surface Processes and Landforms</w:t>
      </w:r>
      <w:r>
        <w:t xml:space="preserve"> </w:t>
      </w:r>
      <w:r>
        <w:rPr>
          <w:b/>
          <w:bCs/>
        </w:rPr>
        <w:t>29</w:t>
      </w:r>
      <w:r>
        <w:t>, 1459–1471 (2004).</w:t>
      </w:r>
    </w:p>
    <w:p w14:paraId="7D7928CD" w14:textId="77777777" w:rsidR="000A3EAD" w:rsidRDefault="000A3EAD" w:rsidP="000A3EAD">
      <w:pPr>
        <w:pStyle w:val="Bibliographie"/>
      </w:pPr>
      <w:r>
        <w:t>88.</w:t>
      </w:r>
      <w:r>
        <w:tab/>
        <w:t xml:space="preserve">Flentje, H. </w:t>
      </w:r>
      <w:r>
        <w:rPr>
          <w:i/>
          <w:iCs/>
        </w:rPr>
        <w:t>et al.</w:t>
      </w:r>
      <w:r>
        <w:t xml:space="preserve"> Identification and monitoring of Saharan dust: An inventory representative for south Germany since 1997. </w:t>
      </w:r>
      <w:r>
        <w:rPr>
          <w:i/>
          <w:iCs/>
        </w:rPr>
        <w:t>Atmospheric Environment</w:t>
      </w:r>
      <w:r>
        <w:t xml:space="preserve"> </w:t>
      </w:r>
      <w:r>
        <w:rPr>
          <w:b/>
          <w:bCs/>
        </w:rPr>
        <w:t>109</w:t>
      </w:r>
      <w:r>
        <w:t>, 87–96 (2015).</w:t>
      </w:r>
    </w:p>
    <w:p w14:paraId="2C1F440C" w14:textId="77777777" w:rsidR="000A3EAD" w:rsidRDefault="000A3EAD" w:rsidP="000A3EAD">
      <w:pPr>
        <w:pStyle w:val="Bibliographie"/>
      </w:pPr>
      <w:r>
        <w:t>89.</w:t>
      </w:r>
      <w:r>
        <w:tab/>
        <w:t xml:space="preserve">Fogel, M., Tuross, N. &amp; DW, O. Nitrogen Isotope Tracers of Human Lactation in Modern and Archaeological Populations. </w:t>
      </w:r>
      <w:r>
        <w:rPr>
          <w:i/>
          <w:iCs/>
        </w:rPr>
        <w:t>Carnegie Inst Wash Yearbook</w:t>
      </w:r>
      <w:r>
        <w:t xml:space="preserve"> </w:t>
      </w:r>
      <w:r>
        <w:rPr>
          <w:b/>
          <w:bCs/>
        </w:rPr>
        <w:t>88</w:t>
      </w:r>
      <w:r>
        <w:t>, (1989).</w:t>
      </w:r>
    </w:p>
    <w:p w14:paraId="468258B3" w14:textId="77777777" w:rsidR="000A3EAD" w:rsidRDefault="000A3EAD" w:rsidP="000A3EAD">
      <w:pPr>
        <w:pStyle w:val="Bibliographie"/>
      </w:pPr>
      <w:r>
        <w:t>90.</w:t>
      </w:r>
      <w:r>
        <w:tab/>
        <w:t xml:space="preserve">Fuller, B. t., Fuller, J. l., Harris, D. a. &amp; Hedges, R. e. m. Detection of breastfeeding and weaning in modern human infants with carbon and nitrogen stable isotope ratios. </w:t>
      </w:r>
      <w:r>
        <w:rPr>
          <w:i/>
          <w:iCs/>
        </w:rPr>
        <w:t>American Journal of Physical Anthropology</w:t>
      </w:r>
      <w:r>
        <w:t xml:space="preserve"> </w:t>
      </w:r>
      <w:r>
        <w:rPr>
          <w:b/>
          <w:bCs/>
        </w:rPr>
        <w:t>129</w:t>
      </w:r>
      <w:r>
        <w:t>, 279–293 (2006).</w:t>
      </w:r>
    </w:p>
    <w:p w14:paraId="1191AACA" w14:textId="77777777" w:rsidR="000A3EAD" w:rsidRDefault="000A3EAD" w:rsidP="000A3EAD">
      <w:pPr>
        <w:pStyle w:val="Bibliographie"/>
      </w:pPr>
      <w:r>
        <w:t>91.</w:t>
      </w:r>
      <w:r>
        <w:tab/>
        <w:t xml:space="preserve">Fulton, A., Amlani, M. &amp; Parekh, S. Oral manifestations of vitamin D deficiency in children. </w:t>
      </w:r>
      <w:r>
        <w:rPr>
          <w:i/>
          <w:iCs/>
        </w:rPr>
        <w:t>Br Dent J</w:t>
      </w:r>
      <w:r>
        <w:t xml:space="preserve"> </w:t>
      </w:r>
      <w:r>
        <w:rPr>
          <w:b/>
          <w:bCs/>
        </w:rPr>
        <w:t>228</w:t>
      </w:r>
      <w:r>
        <w:t>, 515–518 (2020).</w:t>
      </w:r>
    </w:p>
    <w:p w14:paraId="1C51C01B" w14:textId="77777777" w:rsidR="000A3EAD" w:rsidRDefault="000A3EAD" w:rsidP="000A3EAD">
      <w:pPr>
        <w:pStyle w:val="Bibliographie"/>
      </w:pPr>
      <w:r>
        <w:t>92.</w:t>
      </w:r>
      <w:r>
        <w:tab/>
        <w:t xml:space="preserve">Nakayama, N. The Relationship Between Linear Enamel Hypoplasia and Social Status in 18th to 19th Century Edo, Japan. </w:t>
      </w:r>
      <w:r>
        <w:rPr>
          <w:i/>
          <w:iCs/>
        </w:rPr>
        <w:t>International Journal of Osteoarchaeology</w:t>
      </w:r>
      <w:r>
        <w:t xml:space="preserve"> </w:t>
      </w:r>
      <w:r>
        <w:rPr>
          <w:b/>
          <w:bCs/>
        </w:rPr>
        <w:t>26</w:t>
      </w:r>
      <w:r>
        <w:t>, 1034–1044 (2016).</w:t>
      </w:r>
    </w:p>
    <w:p w14:paraId="0743928B" w14:textId="77777777" w:rsidR="000A3EAD" w:rsidRDefault="000A3EAD" w:rsidP="000A3EAD">
      <w:pPr>
        <w:pStyle w:val="Bibliographie"/>
      </w:pPr>
      <w:r>
        <w:lastRenderedPageBreak/>
        <w:t>93.</w:t>
      </w:r>
      <w:r>
        <w:tab/>
        <w:t xml:space="preserve">Saunders, S. R. &amp; Keenleyside, A. Enamel hypoplasia in a Canadian historic sample. </w:t>
      </w:r>
      <w:r>
        <w:rPr>
          <w:i/>
          <w:iCs/>
        </w:rPr>
        <w:t>American Journal of Human Biology</w:t>
      </w:r>
      <w:r>
        <w:t xml:space="preserve"> </w:t>
      </w:r>
      <w:r>
        <w:rPr>
          <w:b/>
          <w:bCs/>
        </w:rPr>
        <w:t>11</w:t>
      </w:r>
      <w:r>
        <w:t>, 513–524 (1999).</w:t>
      </w:r>
    </w:p>
    <w:p w14:paraId="4659A3F4" w14:textId="77777777" w:rsidR="000A3EAD" w:rsidRDefault="000A3EAD" w:rsidP="000A3EAD">
      <w:pPr>
        <w:pStyle w:val="Bibliographie"/>
      </w:pPr>
      <w:r>
        <w:t>94.</w:t>
      </w:r>
      <w:r>
        <w:tab/>
        <w:t xml:space="preserve">Bocquentin, F., Chamel, B., Anton, M. &amp; Noûs, C. The Subsistence and Foodways Transition during the Neolithization Process. Glimpses from a Contextualized Dental Perspective. </w:t>
      </w:r>
      <w:r>
        <w:rPr>
          <w:i/>
          <w:iCs/>
        </w:rPr>
        <w:t>Food and History</w:t>
      </w:r>
      <w:r>
        <w:t xml:space="preserve"> </w:t>
      </w:r>
      <w:r>
        <w:rPr>
          <w:b/>
          <w:bCs/>
        </w:rPr>
        <w:t>19</w:t>
      </w:r>
      <w:r>
        <w:t>, 23–52 (2021).</w:t>
      </w:r>
    </w:p>
    <w:p w14:paraId="77F3B016" w14:textId="77777777" w:rsidR="000A3EAD" w:rsidRDefault="000A3EAD" w:rsidP="000A3EAD">
      <w:pPr>
        <w:pStyle w:val="Bibliographie"/>
      </w:pPr>
      <w:r>
        <w:t>95.</w:t>
      </w:r>
      <w:r>
        <w:tab/>
        <w:t xml:space="preserve">Passey, B. H. </w:t>
      </w:r>
      <w:r>
        <w:rPr>
          <w:i/>
          <w:iCs/>
        </w:rPr>
        <w:t>et al.</w:t>
      </w:r>
      <w:r>
        <w:t xml:space="preserve"> Inverse methods for estimating primary input signals from time-averaged isotope profiles. </w:t>
      </w:r>
      <w:r>
        <w:rPr>
          <w:i/>
          <w:iCs/>
        </w:rPr>
        <w:t>Geochimica et Cosmochimica Acta</w:t>
      </w:r>
      <w:r>
        <w:t xml:space="preserve"> </w:t>
      </w:r>
      <w:r>
        <w:rPr>
          <w:b/>
          <w:bCs/>
        </w:rPr>
        <w:t>69</w:t>
      </w:r>
      <w:r>
        <w:t>, 4101–4116 (2005).</w:t>
      </w:r>
    </w:p>
    <w:p w14:paraId="5AB74423" w14:textId="77777777" w:rsidR="000A3EAD" w:rsidRDefault="000A3EAD" w:rsidP="000A3EAD">
      <w:pPr>
        <w:pStyle w:val="Bibliographie"/>
      </w:pPr>
      <w:r>
        <w:t>96.</w:t>
      </w:r>
      <w:r>
        <w:tab/>
        <w:t xml:space="preserve">Tacail, T. </w:t>
      </w:r>
      <w:r>
        <w:rPr>
          <w:i/>
          <w:iCs/>
        </w:rPr>
        <w:t>et al.</w:t>
      </w:r>
      <w:r>
        <w:t xml:space="preserve"> Assessing human weaning practices with calcium isotopes in tooth enamel. </w:t>
      </w:r>
      <w:r>
        <w:rPr>
          <w:i/>
          <w:iCs/>
        </w:rPr>
        <w:t>PNAS</w:t>
      </w:r>
      <w:r>
        <w:t xml:space="preserve"> </w:t>
      </w:r>
      <w:r>
        <w:rPr>
          <w:b/>
          <w:bCs/>
        </w:rPr>
        <w:t>114</w:t>
      </w:r>
      <w:r>
        <w:t>, 6268–6273 (2017).</w:t>
      </w:r>
    </w:p>
    <w:p w14:paraId="43BDCE34" w14:textId="77777777" w:rsidR="000A3EAD" w:rsidRDefault="000A3EAD" w:rsidP="000A3EAD">
      <w:pPr>
        <w:pStyle w:val="Bibliographie"/>
      </w:pPr>
      <w:r>
        <w:t>97.</w:t>
      </w:r>
      <w:r>
        <w:tab/>
        <w:t xml:space="preserve">van de Loosdrecht, M. </w:t>
      </w:r>
      <w:r>
        <w:rPr>
          <w:i/>
          <w:iCs/>
        </w:rPr>
        <w:t>et al.</w:t>
      </w:r>
      <w:r>
        <w:t xml:space="preserve"> Pleistocene North African genomes link Near Eastern and sub-Saharan African human populations. </w:t>
      </w:r>
      <w:r>
        <w:rPr>
          <w:i/>
          <w:iCs/>
        </w:rPr>
        <w:t>Science</w:t>
      </w:r>
      <w:r>
        <w:t xml:space="preserve"> </w:t>
      </w:r>
      <w:r>
        <w:rPr>
          <w:b/>
          <w:bCs/>
        </w:rPr>
        <w:t>360</w:t>
      </w:r>
      <w:r>
        <w:t>, 548–552 (2018).</w:t>
      </w:r>
    </w:p>
    <w:p w14:paraId="639C7269" w14:textId="77777777" w:rsidR="000A3EAD" w:rsidRDefault="000A3EAD" w:rsidP="000A3EAD">
      <w:pPr>
        <w:pStyle w:val="Bibliographie"/>
      </w:pPr>
      <w:r>
        <w:t>98.</w:t>
      </w:r>
      <w:r>
        <w:tab/>
        <w:t xml:space="preserve">Richards, M., Pearson, J., Molleson, T., Russell, N. &amp; Martin, L. Stable Isotope Evidence of Diet at Neolithic Çatalhöyük, Turkey. </w:t>
      </w:r>
      <w:r>
        <w:rPr>
          <w:i/>
          <w:iCs/>
        </w:rPr>
        <w:t>Journal of Archaeological Science</w:t>
      </w:r>
      <w:r>
        <w:t xml:space="preserve"> </w:t>
      </w:r>
      <w:r>
        <w:rPr>
          <w:b/>
          <w:bCs/>
        </w:rPr>
        <w:t>30</w:t>
      </w:r>
      <w:r>
        <w:t>, (2003).</w:t>
      </w:r>
    </w:p>
    <w:p w14:paraId="03DE17F7" w14:textId="77777777" w:rsidR="000A3EAD" w:rsidRDefault="000A3EAD" w:rsidP="000A3EAD">
      <w:pPr>
        <w:pStyle w:val="Bibliographie"/>
      </w:pPr>
      <w:r>
        <w:t>99.</w:t>
      </w:r>
      <w:r>
        <w:tab/>
        <w:t xml:space="preserve">Jaouen, K., Herrscher, E. &amp; Balter, V. Copper and zinc isotope ratios in human bone and enamel. </w:t>
      </w:r>
      <w:r>
        <w:rPr>
          <w:i/>
          <w:iCs/>
        </w:rPr>
        <w:t>Am J Phys Anthropol</w:t>
      </w:r>
      <w:r>
        <w:t xml:space="preserve"> </w:t>
      </w:r>
      <w:r>
        <w:rPr>
          <w:b/>
          <w:bCs/>
        </w:rPr>
        <w:t>162</w:t>
      </w:r>
      <w:r>
        <w:t>, 491–500 (2017).</w:t>
      </w:r>
    </w:p>
    <w:p w14:paraId="44C417FB" w14:textId="7A4A0ED5" w:rsidR="009C1161" w:rsidRPr="00DD7041" w:rsidRDefault="009C1161">
      <w:pPr>
        <w:rPr>
          <w:rFonts w:ascii="Times New Roman" w:hAnsi="Times New Roman" w:cs="Times New Roman"/>
          <w:sz w:val="24"/>
          <w:szCs w:val="24"/>
          <w:lang w:val="fr-FR"/>
        </w:rPr>
      </w:pPr>
      <w:r>
        <w:rPr>
          <w:rFonts w:ascii="Times New Roman" w:hAnsi="Times New Roman" w:cs="Times New Roman"/>
          <w:sz w:val="24"/>
          <w:szCs w:val="24"/>
        </w:rPr>
        <w:fldChar w:fldCharType="end"/>
      </w:r>
    </w:p>
    <w:sectPr w:rsidR="009C1161" w:rsidRPr="00DD7041" w:rsidSect="0063777E">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CCA7EB" w14:textId="77777777" w:rsidR="00243BE3" w:rsidRDefault="00243BE3" w:rsidP="00F97482">
      <w:pPr>
        <w:spacing w:after="0" w:line="240" w:lineRule="auto"/>
      </w:pPr>
      <w:r>
        <w:separator/>
      </w:r>
    </w:p>
  </w:endnote>
  <w:endnote w:type="continuationSeparator" w:id="0">
    <w:p w14:paraId="177AF93A" w14:textId="77777777" w:rsidR="00243BE3" w:rsidRDefault="00243BE3" w:rsidP="00F97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Roman">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306456863"/>
      <w:docPartObj>
        <w:docPartGallery w:val="Page Numbers (Bottom of Page)"/>
        <w:docPartUnique/>
      </w:docPartObj>
    </w:sdtPr>
    <w:sdtContent>
      <w:p w14:paraId="403CE0BA" w14:textId="053EE62F" w:rsidR="00333F7C" w:rsidRDefault="00333F7C" w:rsidP="0015020B">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1A04ABBB" w14:textId="77777777" w:rsidR="00333F7C" w:rsidRDefault="00333F7C" w:rsidP="005B04B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22346719"/>
      <w:docPartObj>
        <w:docPartGallery w:val="Page Numbers (Bottom of Page)"/>
        <w:docPartUnique/>
      </w:docPartObj>
    </w:sdtPr>
    <w:sdtContent>
      <w:p w14:paraId="77024F7B" w14:textId="75E845B7" w:rsidR="00333F7C" w:rsidRDefault="00333F7C" w:rsidP="0015020B">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5A25CBA5" w14:textId="77777777" w:rsidR="00333F7C" w:rsidRDefault="00333F7C" w:rsidP="005B04B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B76677" w14:textId="77777777" w:rsidR="00243BE3" w:rsidRDefault="00243BE3" w:rsidP="00F97482">
      <w:pPr>
        <w:spacing w:after="0" w:line="240" w:lineRule="auto"/>
      </w:pPr>
      <w:r>
        <w:separator/>
      </w:r>
    </w:p>
  </w:footnote>
  <w:footnote w:type="continuationSeparator" w:id="0">
    <w:p w14:paraId="0AFA7C04" w14:textId="77777777" w:rsidR="00243BE3" w:rsidRDefault="00243BE3" w:rsidP="00F974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D5C58"/>
    <w:multiLevelType w:val="hybridMultilevel"/>
    <w:tmpl w:val="8E9C769A"/>
    <w:lvl w:ilvl="0" w:tplc="F02C4CEC">
      <w:start w:val="1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2B63B1E"/>
    <w:multiLevelType w:val="multilevel"/>
    <w:tmpl w:val="6EAC27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5634A76"/>
    <w:multiLevelType w:val="hybridMultilevel"/>
    <w:tmpl w:val="D1F8D5D4"/>
    <w:lvl w:ilvl="0" w:tplc="386625E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137A74"/>
    <w:multiLevelType w:val="hybridMultilevel"/>
    <w:tmpl w:val="9D6E22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BA076C"/>
    <w:multiLevelType w:val="multilevel"/>
    <w:tmpl w:val="DD78DA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853081F"/>
    <w:multiLevelType w:val="hybridMultilevel"/>
    <w:tmpl w:val="3C4696D0"/>
    <w:lvl w:ilvl="0" w:tplc="471ED3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DD94E33"/>
    <w:multiLevelType w:val="hybridMultilevel"/>
    <w:tmpl w:val="5A340FC6"/>
    <w:lvl w:ilvl="0" w:tplc="4A6803C8">
      <w:start w:val="1"/>
      <w:numFmt w:val="decimal"/>
      <w:lvlText w:val="%1)"/>
      <w:lvlJc w:val="left"/>
      <w:pPr>
        <w:ind w:left="720" w:hanging="360"/>
      </w:pPr>
      <w:rPr>
        <w:rFonts w:eastAsia="Calibr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6"/>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4AF4"/>
    <w:rsid w:val="000008AB"/>
    <w:rsid w:val="00002710"/>
    <w:rsid w:val="00003A23"/>
    <w:rsid w:val="00004D90"/>
    <w:rsid w:val="00007258"/>
    <w:rsid w:val="00007943"/>
    <w:rsid w:val="00007EBB"/>
    <w:rsid w:val="00012ABC"/>
    <w:rsid w:val="00015CF7"/>
    <w:rsid w:val="00015D88"/>
    <w:rsid w:val="00020A6B"/>
    <w:rsid w:val="00021CB8"/>
    <w:rsid w:val="00022984"/>
    <w:rsid w:val="00025DE6"/>
    <w:rsid w:val="0002769F"/>
    <w:rsid w:val="0003068C"/>
    <w:rsid w:val="00031854"/>
    <w:rsid w:val="00032711"/>
    <w:rsid w:val="0003424B"/>
    <w:rsid w:val="0003660F"/>
    <w:rsid w:val="00036863"/>
    <w:rsid w:val="000378BF"/>
    <w:rsid w:val="00041596"/>
    <w:rsid w:val="00041832"/>
    <w:rsid w:val="00042ABC"/>
    <w:rsid w:val="00043F88"/>
    <w:rsid w:val="000475E4"/>
    <w:rsid w:val="00052986"/>
    <w:rsid w:val="00053B9E"/>
    <w:rsid w:val="00053F7E"/>
    <w:rsid w:val="000552F1"/>
    <w:rsid w:val="00057F9B"/>
    <w:rsid w:val="00062874"/>
    <w:rsid w:val="00062C71"/>
    <w:rsid w:val="00063F2D"/>
    <w:rsid w:val="000653E0"/>
    <w:rsid w:val="00067D7C"/>
    <w:rsid w:val="00071EDD"/>
    <w:rsid w:val="0007221D"/>
    <w:rsid w:val="000722A0"/>
    <w:rsid w:val="00072C4F"/>
    <w:rsid w:val="00072DE3"/>
    <w:rsid w:val="000730AE"/>
    <w:rsid w:val="000775A8"/>
    <w:rsid w:val="000808A7"/>
    <w:rsid w:val="00080EBC"/>
    <w:rsid w:val="00081168"/>
    <w:rsid w:val="000813BA"/>
    <w:rsid w:val="000829A5"/>
    <w:rsid w:val="00082FE2"/>
    <w:rsid w:val="00084424"/>
    <w:rsid w:val="000854E9"/>
    <w:rsid w:val="000857D7"/>
    <w:rsid w:val="00087233"/>
    <w:rsid w:val="000875DB"/>
    <w:rsid w:val="000945F3"/>
    <w:rsid w:val="0009551F"/>
    <w:rsid w:val="00096C4F"/>
    <w:rsid w:val="000970AF"/>
    <w:rsid w:val="0009771F"/>
    <w:rsid w:val="000A3EAD"/>
    <w:rsid w:val="000A523F"/>
    <w:rsid w:val="000A5A73"/>
    <w:rsid w:val="000A79E0"/>
    <w:rsid w:val="000B08D3"/>
    <w:rsid w:val="000B262C"/>
    <w:rsid w:val="000B2C95"/>
    <w:rsid w:val="000B5BBF"/>
    <w:rsid w:val="000B77D4"/>
    <w:rsid w:val="000C328A"/>
    <w:rsid w:val="000C3FB1"/>
    <w:rsid w:val="000C52F5"/>
    <w:rsid w:val="000C62A4"/>
    <w:rsid w:val="000C73E4"/>
    <w:rsid w:val="000D5A95"/>
    <w:rsid w:val="000D6408"/>
    <w:rsid w:val="000D7A95"/>
    <w:rsid w:val="000E14B6"/>
    <w:rsid w:val="000E23E0"/>
    <w:rsid w:val="000E39D9"/>
    <w:rsid w:val="000E4EE2"/>
    <w:rsid w:val="000E7201"/>
    <w:rsid w:val="000E7E53"/>
    <w:rsid w:val="000F443C"/>
    <w:rsid w:val="000F50BD"/>
    <w:rsid w:val="000F5D4A"/>
    <w:rsid w:val="000F76A3"/>
    <w:rsid w:val="0010297B"/>
    <w:rsid w:val="001048D5"/>
    <w:rsid w:val="00110EF4"/>
    <w:rsid w:val="00111B50"/>
    <w:rsid w:val="001130BF"/>
    <w:rsid w:val="00116DFC"/>
    <w:rsid w:val="00120C73"/>
    <w:rsid w:val="0012107E"/>
    <w:rsid w:val="00121A30"/>
    <w:rsid w:val="001235D0"/>
    <w:rsid w:val="0012430E"/>
    <w:rsid w:val="00126550"/>
    <w:rsid w:val="00127A77"/>
    <w:rsid w:val="00130701"/>
    <w:rsid w:val="00131D1A"/>
    <w:rsid w:val="001320C4"/>
    <w:rsid w:val="00132C9A"/>
    <w:rsid w:val="00141C5C"/>
    <w:rsid w:val="00143118"/>
    <w:rsid w:val="00143ED7"/>
    <w:rsid w:val="001446AC"/>
    <w:rsid w:val="0015020B"/>
    <w:rsid w:val="0015042E"/>
    <w:rsid w:val="001571CA"/>
    <w:rsid w:val="00157448"/>
    <w:rsid w:val="001578BF"/>
    <w:rsid w:val="0016115C"/>
    <w:rsid w:val="0016194E"/>
    <w:rsid w:val="0016318B"/>
    <w:rsid w:val="0016426E"/>
    <w:rsid w:val="00165AAA"/>
    <w:rsid w:val="00167834"/>
    <w:rsid w:val="0017032E"/>
    <w:rsid w:val="00171F0B"/>
    <w:rsid w:val="0017276C"/>
    <w:rsid w:val="00175138"/>
    <w:rsid w:val="001760C5"/>
    <w:rsid w:val="00180841"/>
    <w:rsid w:val="00180B66"/>
    <w:rsid w:val="00182734"/>
    <w:rsid w:val="001868C4"/>
    <w:rsid w:val="00186FBF"/>
    <w:rsid w:val="0019225A"/>
    <w:rsid w:val="001925CC"/>
    <w:rsid w:val="00192FD1"/>
    <w:rsid w:val="00193A85"/>
    <w:rsid w:val="001951EC"/>
    <w:rsid w:val="0019733F"/>
    <w:rsid w:val="001975A4"/>
    <w:rsid w:val="001A06DE"/>
    <w:rsid w:val="001A1B7C"/>
    <w:rsid w:val="001A556C"/>
    <w:rsid w:val="001A7A55"/>
    <w:rsid w:val="001A7BFF"/>
    <w:rsid w:val="001B02CC"/>
    <w:rsid w:val="001B155C"/>
    <w:rsid w:val="001B1842"/>
    <w:rsid w:val="001B1CBA"/>
    <w:rsid w:val="001B31AC"/>
    <w:rsid w:val="001B50D0"/>
    <w:rsid w:val="001B6BB3"/>
    <w:rsid w:val="001B7599"/>
    <w:rsid w:val="001B7B4A"/>
    <w:rsid w:val="001B7D36"/>
    <w:rsid w:val="001C0257"/>
    <w:rsid w:val="001C58B8"/>
    <w:rsid w:val="001C60B9"/>
    <w:rsid w:val="001C6C7B"/>
    <w:rsid w:val="001C78FF"/>
    <w:rsid w:val="001C7BE2"/>
    <w:rsid w:val="001D132A"/>
    <w:rsid w:val="001D3971"/>
    <w:rsid w:val="001D4BFC"/>
    <w:rsid w:val="001D7647"/>
    <w:rsid w:val="001E0EC4"/>
    <w:rsid w:val="001E67BB"/>
    <w:rsid w:val="001E7D90"/>
    <w:rsid w:val="001F0083"/>
    <w:rsid w:val="001F0849"/>
    <w:rsid w:val="001F19F7"/>
    <w:rsid w:val="001F2193"/>
    <w:rsid w:val="001F2526"/>
    <w:rsid w:val="001F2D79"/>
    <w:rsid w:val="001F46F3"/>
    <w:rsid w:val="001F5019"/>
    <w:rsid w:val="001F5637"/>
    <w:rsid w:val="001F6756"/>
    <w:rsid w:val="001F7697"/>
    <w:rsid w:val="002008AF"/>
    <w:rsid w:val="00200F32"/>
    <w:rsid w:val="0020388D"/>
    <w:rsid w:val="00205147"/>
    <w:rsid w:val="002055FE"/>
    <w:rsid w:val="00206B29"/>
    <w:rsid w:val="00207DD4"/>
    <w:rsid w:val="002106E1"/>
    <w:rsid w:val="0021085D"/>
    <w:rsid w:val="00212AC0"/>
    <w:rsid w:val="00213217"/>
    <w:rsid w:val="002133A8"/>
    <w:rsid w:val="00215B0D"/>
    <w:rsid w:val="00217072"/>
    <w:rsid w:val="002205E4"/>
    <w:rsid w:val="002211B1"/>
    <w:rsid w:val="00222A28"/>
    <w:rsid w:val="00222FCA"/>
    <w:rsid w:val="00223D07"/>
    <w:rsid w:val="00224D1B"/>
    <w:rsid w:val="00224F58"/>
    <w:rsid w:val="00225500"/>
    <w:rsid w:val="002269D4"/>
    <w:rsid w:val="00227415"/>
    <w:rsid w:val="00230829"/>
    <w:rsid w:val="00236875"/>
    <w:rsid w:val="00236F71"/>
    <w:rsid w:val="00237009"/>
    <w:rsid w:val="00243BE3"/>
    <w:rsid w:val="00246783"/>
    <w:rsid w:val="0024698D"/>
    <w:rsid w:val="00247A40"/>
    <w:rsid w:val="00247E79"/>
    <w:rsid w:val="0025134F"/>
    <w:rsid w:val="0025141B"/>
    <w:rsid w:val="002522E0"/>
    <w:rsid w:val="00252CBE"/>
    <w:rsid w:val="002536D1"/>
    <w:rsid w:val="00253FDA"/>
    <w:rsid w:val="00256785"/>
    <w:rsid w:val="00257581"/>
    <w:rsid w:val="00261777"/>
    <w:rsid w:val="002623F4"/>
    <w:rsid w:val="00262AFE"/>
    <w:rsid w:val="002640B2"/>
    <w:rsid w:val="00264D29"/>
    <w:rsid w:val="00265C63"/>
    <w:rsid w:val="002678F9"/>
    <w:rsid w:val="00267C91"/>
    <w:rsid w:val="00271365"/>
    <w:rsid w:val="00272AC8"/>
    <w:rsid w:val="00275655"/>
    <w:rsid w:val="002767D7"/>
    <w:rsid w:val="002802E0"/>
    <w:rsid w:val="00280396"/>
    <w:rsid w:val="00281295"/>
    <w:rsid w:val="002812A1"/>
    <w:rsid w:val="00282BF9"/>
    <w:rsid w:val="002833CE"/>
    <w:rsid w:val="0028341E"/>
    <w:rsid w:val="00285F2E"/>
    <w:rsid w:val="00290A23"/>
    <w:rsid w:val="00293D17"/>
    <w:rsid w:val="00294C8F"/>
    <w:rsid w:val="00294E1C"/>
    <w:rsid w:val="0029728D"/>
    <w:rsid w:val="002973FB"/>
    <w:rsid w:val="00297476"/>
    <w:rsid w:val="002978F9"/>
    <w:rsid w:val="002A4583"/>
    <w:rsid w:val="002A488B"/>
    <w:rsid w:val="002A4C5E"/>
    <w:rsid w:val="002A565D"/>
    <w:rsid w:val="002A5B55"/>
    <w:rsid w:val="002A6FBF"/>
    <w:rsid w:val="002B77A9"/>
    <w:rsid w:val="002C2A9F"/>
    <w:rsid w:val="002C509D"/>
    <w:rsid w:val="002C53DC"/>
    <w:rsid w:val="002C65DC"/>
    <w:rsid w:val="002C6CEE"/>
    <w:rsid w:val="002D01B1"/>
    <w:rsid w:val="002D203B"/>
    <w:rsid w:val="002D2251"/>
    <w:rsid w:val="002D51EE"/>
    <w:rsid w:val="002D7F82"/>
    <w:rsid w:val="002E11C2"/>
    <w:rsid w:val="002E374D"/>
    <w:rsid w:val="002E43E7"/>
    <w:rsid w:val="002E43FB"/>
    <w:rsid w:val="002E521C"/>
    <w:rsid w:val="002E5AF8"/>
    <w:rsid w:val="002E64A0"/>
    <w:rsid w:val="002E735B"/>
    <w:rsid w:val="002E7444"/>
    <w:rsid w:val="002E7EE7"/>
    <w:rsid w:val="002F059C"/>
    <w:rsid w:val="002F23AA"/>
    <w:rsid w:val="002F3E1D"/>
    <w:rsid w:val="002F7A20"/>
    <w:rsid w:val="00300B40"/>
    <w:rsid w:val="00300E8D"/>
    <w:rsid w:val="003028AC"/>
    <w:rsid w:val="003035F1"/>
    <w:rsid w:val="00303984"/>
    <w:rsid w:val="00303FC8"/>
    <w:rsid w:val="00312D4F"/>
    <w:rsid w:val="0031561B"/>
    <w:rsid w:val="003169E6"/>
    <w:rsid w:val="0031719A"/>
    <w:rsid w:val="0032041F"/>
    <w:rsid w:val="00320AB7"/>
    <w:rsid w:val="00322B92"/>
    <w:rsid w:val="003249F5"/>
    <w:rsid w:val="00330188"/>
    <w:rsid w:val="003328B6"/>
    <w:rsid w:val="00333F7C"/>
    <w:rsid w:val="00334589"/>
    <w:rsid w:val="003357D6"/>
    <w:rsid w:val="00335C15"/>
    <w:rsid w:val="00337C13"/>
    <w:rsid w:val="003403A9"/>
    <w:rsid w:val="00341367"/>
    <w:rsid w:val="003426AA"/>
    <w:rsid w:val="00343C00"/>
    <w:rsid w:val="00343DF9"/>
    <w:rsid w:val="00344994"/>
    <w:rsid w:val="00347205"/>
    <w:rsid w:val="00347F6A"/>
    <w:rsid w:val="00350237"/>
    <w:rsid w:val="003512BA"/>
    <w:rsid w:val="0035524A"/>
    <w:rsid w:val="00356EDB"/>
    <w:rsid w:val="003579C2"/>
    <w:rsid w:val="0036023D"/>
    <w:rsid w:val="003610F8"/>
    <w:rsid w:val="00361B73"/>
    <w:rsid w:val="003672CF"/>
    <w:rsid w:val="00370770"/>
    <w:rsid w:val="003717FA"/>
    <w:rsid w:val="00374594"/>
    <w:rsid w:val="00374F8E"/>
    <w:rsid w:val="00375ACF"/>
    <w:rsid w:val="003777DA"/>
    <w:rsid w:val="00380232"/>
    <w:rsid w:val="003807E7"/>
    <w:rsid w:val="00383FA5"/>
    <w:rsid w:val="00384D11"/>
    <w:rsid w:val="003860E6"/>
    <w:rsid w:val="00387016"/>
    <w:rsid w:val="00393391"/>
    <w:rsid w:val="0039441C"/>
    <w:rsid w:val="0039475C"/>
    <w:rsid w:val="00394A8D"/>
    <w:rsid w:val="00394B1E"/>
    <w:rsid w:val="003A3001"/>
    <w:rsid w:val="003A36FD"/>
    <w:rsid w:val="003A41F1"/>
    <w:rsid w:val="003A42AB"/>
    <w:rsid w:val="003A5F78"/>
    <w:rsid w:val="003A76CC"/>
    <w:rsid w:val="003B1C89"/>
    <w:rsid w:val="003B2472"/>
    <w:rsid w:val="003B384F"/>
    <w:rsid w:val="003B4695"/>
    <w:rsid w:val="003B5104"/>
    <w:rsid w:val="003B6729"/>
    <w:rsid w:val="003B7A15"/>
    <w:rsid w:val="003C0A6E"/>
    <w:rsid w:val="003C11FC"/>
    <w:rsid w:val="003C176B"/>
    <w:rsid w:val="003C1C85"/>
    <w:rsid w:val="003C2A6A"/>
    <w:rsid w:val="003C3864"/>
    <w:rsid w:val="003C419A"/>
    <w:rsid w:val="003C50A9"/>
    <w:rsid w:val="003C7995"/>
    <w:rsid w:val="003C7DA9"/>
    <w:rsid w:val="003C7FB1"/>
    <w:rsid w:val="003D293E"/>
    <w:rsid w:val="003D4B32"/>
    <w:rsid w:val="003D51D6"/>
    <w:rsid w:val="003D53DE"/>
    <w:rsid w:val="003D7735"/>
    <w:rsid w:val="003D7D27"/>
    <w:rsid w:val="003E5605"/>
    <w:rsid w:val="003F0AB2"/>
    <w:rsid w:val="003F1313"/>
    <w:rsid w:val="003F17AF"/>
    <w:rsid w:val="003F2C9A"/>
    <w:rsid w:val="003F579E"/>
    <w:rsid w:val="003F599D"/>
    <w:rsid w:val="003F5F3D"/>
    <w:rsid w:val="003F60E1"/>
    <w:rsid w:val="003F7B6E"/>
    <w:rsid w:val="00400F1C"/>
    <w:rsid w:val="004025A3"/>
    <w:rsid w:val="0040293C"/>
    <w:rsid w:val="00403A86"/>
    <w:rsid w:val="0040558C"/>
    <w:rsid w:val="00405F98"/>
    <w:rsid w:val="004103FF"/>
    <w:rsid w:val="004117A8"/>
    <w:rsid w:val="0041434C"/>
    <w:rsid w:val="00414DCD"/>
    <w:rsid w:val="0041613B"/>
    <w:rsid w:val="00420205"/>
    <w:rsid w:val="004237C5"/>
    <w:rsid w:val="004277BE"/>
    <w:rsid w:val="00427ABE"/>
    <w:rsid w:val="00431ECD"/>
    <w:rsid w:val="00432D7F"/>
    <w:rsid w:val="00432E61"/>
    <w:rsid w:val="00432E8F"/>
    <w:rsid w:val="00433248"/>
    <w:rsid w:val="004334DE"/>
    <w:rsid w:val="00435BEC"/>
    <w:rsid w:val="00435DCE"/>
    <w:rsid w:val="004420C9"/>
    <w:rsid w:val="004448B9"/>
    <w:rsid w:val="004459A5"/>
    <w:rsid w:val="00445E36"/>
    <w:rsid w:val="00446F00"/>
    <w:rsid w:val="004470CC"/>
    <w:rsid w:val="0045055C"/>
    <w:rsid w:val="00450B42"/>
    <w:rsid w:val="00453597"/>
    <w:rsid w:val="0046303C"/>
    <w:rsid w:val="0046315E"/>
    <w:rsid w:val="00465614"/>
    <w:rsid w:val="00465785"/>
    <w:rsid w:val="00467F5B"/>
    <w:rsid w:val="004705A0"/>
    <w:rsid w:val="00470CB5"/>
    <w:rsid w:val="004710D6"/>
    <w:rsid w:val="004715B6"/>
    <w:rsid w:val="0047176B"/>
    <w:rsid w:val="00471931"/>
    <w:rsid w:val="00471C2A"/>
    <w:rsid w:val="004728A0"/>
    <w:rsid w:val="004730C9"/>
    <w:rsid w:val="0047579E"/>
    <w:rsid w:val="004764A5"/>
    <w:rsid w:val="0047709D"/>
    <w:rsid w:val="00482F4B"/>
    <w:rsid w:val="0048342F"/>
    <w:rsid w:val="004845CD"/>
    <w:rsid w:val="00484806"/>
    <w:rsid w:val="00484F01"/>
    <w:rsid w:val="0048581E"/>
    <w:rsid w:val="00485D36"/>
    <w:rsid w:val="00492B05"/>
    <w:rsid w:val="00493174"/>
    <w:rsid w:val="004A0628"/>
    <w:rsid w:val="004A135D"/>
    <w:rsid w:val="004A1B6F"/>
    <w:rsid w:val="004A5CF6"/>
    <w:rsid w:val="004B143B"/>
    <w:rsid w:val="004B1D96"/>
    <w:rsid w:val="004B363E"/>
    <w:rsid w:val="004B37D1"/>
    <w:rsid w:val="004B48FE"/>
    <w:rsid w:val="004B5B54"/>
    <w:rsid w:val="004B708A"/>
    <w:rsid w:val="004C4C5C"/>
    <w:rsid w:val="004C5841"/>
    <w:rsid w:val="004C6755"/>
    <w:rsid w:val="004C77CD"/>
    <w:rsid w:val="004D0693"/>
    <w:rsid w:val="004D0B64"/>
    <w:rsid w:val="004D152B"/>
    <w:rsid w:val="004D278E"/>
    <w:rsid w:val="004D3076"/>
    <w:rsid w:val="004E06BA"/>
    <w:rsid w:val="004E1B04"/>
    <w:rsid w:val="004E2C85"/>
    <w:rsid w:val="004E6042"/>
    <w:rsid w:val="004E6C7F"/>
    <w:rsid w:val="004F3A31"/>
    <w:rsid w:val="004F4273"/>
    <w:rsid w:val="004F4DEF"/>
    <w:rsid w:val="004F549D"/>
    <w:rsid w:val="004F5613"/>
    <w:rsid w:val="004F59B4"/>
    <w:rsid w:val="004F79D0"/>
    <w:rsid w:val="00501209"/>
    <w:rsid w:val="00501316"/>
    <w:rsid w:val="00503FE4"/>
    <w:rsid w:val="00510227"/>
    <w:rsid w:val="00510E9B"/>
    <w:rsid w:val="00513530"/>
    <w:rsid w:val="00514182"/>
    <w:rsid w:val="00517687"/>
    <w:rsid w:val="005224C8"/>
    <w:rsid w:val="00524324"/>
    <w:rsid w:val="00524CA2"/>
    <w:rsid w:val="00525E90"/>
    <w:rsid w:val="0052616E"/>
    <w:rsid w:val="00531BCD"/>
    <w:rsid w:val="005322F4"/>
    <w:rsid w:val="00533A4B"/>
    <w:rsid w:val="00534F84"/>
    <w:rsid w:val="0053515B"/>
    <w:rsid w:val="00535731"/>
    <w:rsid w:val="005402EC"/>
    <w:rsid w:val="005413A1"/>
    <w:rsid w:val="0054173D"/>
    <w:rsid w:val="00542CA4"/>
    <w:rsid w:val="00543906"/>
    <w:rsid w:val="00543D61"/>
    <w:rsid w:val="005443AE"/>
    <w:rsid w:val="00544668"/>
    <w:rsid w:val="00545730"/>
    <w:rsid w:val="0054664D"/>
    <w:rsid w:val="00546D8C"/>
    <w:rsid w:val="00547113"/>
    <w:rsid w:val="00547B3A"/>
    <w:rsid w:val="0055091E"/>
    <w:rsid w:val="00550F59"/>
    <w:rsid w:val="00551904"/>
    <w:rsid w:val="00553EFF"/>
    <w:rsid w:val="005559BB"/>
    <w:rsid w:val="00557AD6"/>
    <w:rsid w:val="00557BBE"/>
    <w:rsid w:val="0056199B"/>
    <w:rsid w:val="00562BC7"/>
    <w:rsid w:val="00562C89"/>
    <w:rsid w:val="00565BC1"/>
    <w:rsid w:val="0056604A"/>
    <w:rsid w:val="0056790E"/>
    <w:rsid w:val="00570B99"/>
    <w:rsid w:val="00571092"/>
    <w:rsid w:val="00572753"/>
    <w:rsid w:val="00573813"/>
    <w:rsid w:val="00576863"/>
    <w:rsid w:val="00580703"/>
    <w:rsid w:val="00580CC6"/>
    <w:rsid w:val="0058298A"/>
    <w:rsid w:val="00582B82"/>
    <w:rsid w:val="00584627"/>
    <w:rsid w:val="0058465E"/>
    <w:rsid w:val="00584DEC"/>
    <w:rsid w:val="00584FE0"/>
    <w:rsid w:val="00591706"/>
    <w:rsid w:val="00594EDC"/>
    <w:rsid w:val="00595846"/>
    <w:rsid w:val="005961EF"/>
    <w:rsid w:val="005A0997"/>
    <w:rsid w:val="005A4C82"/>
    <w:rsid w:val="005A51F3"/>
    <w:rsid w:val="005B04BC"/>
    <w:rsid w:val="005B18AC"/>
    <w:rsid w:val="005B39D5"/>
    <w:rsid w:val="005B433D"/>
    <w:rsid w:val="005B441E"/>
    <w:rsid w:val="005B5A7F"/>
    <w:rsid w:val="005B7508"/>
    <w:rsid w:val="005B794A"/>
    <w:rsid w:val="005B7D0F"/>
    <w:rsid w:val="005C20E0"/>
    <w:rsid w:val="005C3AFE"/>
    <w:rsid w:val="005C6831"/>
    <w:rsid w:val="005C6D72"/>
    <w:rsid w:val="005C7CB3"/>
    <w:rsid w:val="005D138B"/>
    <w:rsid w:val="005D3AB2"/>
    <w:rsid w:val="005D461F"/>
    <w:rsid w:val="005D624D"/>
    <w:rsid w:val="005D62F7"/>
    <w:rsid w:val="005D6751"/>
    <w:rsid w:val="005D7CCF"/>
    <w:rsid w:val="005E042D"/>
    <w:rsid w:val="005E2325"/>
    <w:rsid w:val="005E4441"/>
    <w:rsid w:val="005F09A3"/>
    <w:rsid w:val="005F1358"/>
    <w:rsid w:val="005F32DE"/>
    <w:rsid w:val="005F36B2"/>
    <w:rsid w:val="00600864"/>
    <w:rsid w:val="00600CD3"/>
    <w:rsid w:val="00600F49"/>
    <w:rsid w:val="0060294B"/>
    <w:rsid w:val="00602D6D"/>
    <w:rsid w:val="0060747B"/>
    <w:rsid w:val="00611364"/>
    <w:rsid w:val="00612276"/>
    <w:rsid w:val="0061536E"/>
    <w:rsid w:val="00616F41"/>
    <w:rsid w:val="006202D1"/>
    <w:rsid w:val="00620BB7"/>
    <w:rsid w:val="00621038"/>
    <w:rsid w:val="00622A56"/>
    <w:rsid w:val="00622F4A"/>
    <w:rsid w:val="006264D5"/>
    <w:rsid w:val="0062661F"/>
    <w:rsid w:val="006354F8"/>
    <w:rsid w:val="00636878"/>
    <w:rsid w:val="0063777E"/>
    <w:rsid w:val="00637E38"/>
    <w:rsid w:val="00640284"/>
    <w:rsid w:val="00641836"/>
    <w:rsid w:val="006420F7"/>
    <w:rsid w:val="006429F9"/>
    <w:rsid w:val="00643462"/>
    <w:rsid w:val="00643A30"/>
    <w:rsid w:val="00643EEE"/>
    <w:rsid w:val="00644B14"/>
    <w:rsid w:val="00645492"/>
    <w:rsid w:val="0064579A"/>
    <w:rsid w:val="006459E9"/>
    <w:rsid w:val="0065065D"/>
    <w:rsid w:val="00655288"/>
    <w:rsid w:val="00655350"/>
    <w:rsid w:val="00655B63"/>
    <w:rsid w:val="00655E2B"/>
    <w:rsid w:val="00657DF9"/>
    <w:rsid w:val="00661909"/>
    <w:rsid w:val="00661C77"/>
    <w:rsid w:val="0066220C"/>
    <w:rsid w:val="006625CD"/>
    <w:rsid w:val="00663685"/>
    <w:rsid w:val="00665906"/>
    <w:rsid w:val="00670C00"/>
    <w:rsid w:val="00671186"/>
    <w:rsid w:val="00671C76"/>
    <w:rsid w:val="00672068"/>
    <w:rsid w:val="00674BAE"/>
    <w:rsid w:val="00675623"/>
    <w:rsid w:val="006759D1"/>
    <w:rsid w:val="00676E28"/>
    <w:rsid w:val="0068060B"/>
    <w:rsid w:val="00680CAE"/>
    <w:rsid w:val="00681716"/>
    <w:rsid w:val="00682429"/>
    <w:rsid w:val="006840F0"/>
    <w:rsid w:val="00684136"/>
    <w:rsid w:val="0068558F"/>
    <w:rsid w:val="00690140"/>
    <w:rsid w:val="00690AED"/>
    <w:rsid w:val="00691061"/>
    <w:rsid w:val="006A1D01"/>
    <w:rsid w:val="006A3961"/>
    <w:rsid w:val="006A3D2A"/>
    <w:rsid w:val="006B0028"/>
    <w:rsid w:val="006B2FB4"/>
    <w:rsid w:val="006C2288"/>
    <w:rsid w:val="006C3B4E"/>
    <w:rsid w:val="006C4B5B"/>
    <w:rsid w:val="006C577F"/>
    <w:rsid w:val="006C68D2"/>
    <w:rsid w:val="006C6C1E"/>
    <w:rsid w:val="006D00A6"/>
    <w:rsid w:val="006D043C"/>
    <w:rsid w:val="006D6D20"/>
    <w:rsid w:val="006D7344"/>
    <w:rsid w:val="006E252A"/>
    <w:rsid w:val="006E3C59"/>
    <w:rsid w:val="006E52BE"/>
    <w:rsid w:val="006E6BE5"/>
    <w:rsid w:val="006F002A"/>
    <w:rsid w:val="006F0490"/>
    <w:rsid w:val="006F1504"/>
    <w:rsid w:val="006F2C8A"/>
    <w:rsid w:val="006F3540"/>
    <w:rsid w:val="006F59F8"/>
    <w:rsid w:val="006F6E32"/>
    <w:rsid w:val="007003E4"/>
    <w:rsid w:val="00700BBF"/>
    <w:rsid w:val="007019F1"/>
    <w:rsid w:val="00705E49"/>
    <w:rsid w:val="007107AE"/>
    <w:rsid w:val="00710C41"/>
    <w:rsid w:val="00711200"/>
    <w:rsid w:val="00716BFB"/>
    <w:rsid w:val="00716CC2"/>
    <w:rsid w:val="00721356"/>
    <w:rsid w:val="0072214C"/>
    <w:rsid w:val="007224A9"/>
    <w:rsid w:val="00722ED5"/>
    <w:rsid w:val="0072489E"/>
    <w:rsid w:val="00724941"/>
    <w:rsid w:val="00725B28"/>
    <w:rsid w:val="00727940"/>
    <w:rsid w:val="00731E48"/>
    <w:rsid w:val="00742DFF"/>
    <w:rsid w:val="00743E90"/>
    <w:rsid w:val="00746391"/>
    <w:rsid w:val="007474C9"/>
    <w:rsid w:val="0074765A"/>
    <w:rsid w:val="0074782A"/>
    <w:rsid w:val="0075146C"/>
    <w:rsid w:val="0075156C"/>
    <w:rsid w:val="0075204F"/>
    <w:rsid w:val="007533B9"/>
    <w:rsid w:val="00757371"/>
    <w:rsid w:val="00762F05"/>
    <w:rsid w:val="007637D0"/>
    <w:rsid w:val="00764E63"/>
    <w:rsid w:val="00765922"/>
    <w:rsid w:val="00766A4A"/>
    <w:rsid w:val="0077021B"/>
    <w:rsid w:val="007708F5"/>
    <w:rsid w:val="00772792"/>
    <w:rsid w:val="0077421C"/>
    <w:rsid w:val="00775DFF"/>
    <w:rsid w:val="007776AE"/>
    <w:rsid w:val="00782A40"/>
    <w:rsid w:val="00782C1F"/>
    <w:rsid w:val="00782FD5"/>
    <w:rsid w:val="00783AF8"/>
    <w:rsid w:val="00784AF4"/>
    <w:rsid w:val="00785A91"/>
    <w:rsid w:val="0078770C"/>
    <w:rsid w:val="0079179D"/>
    <w:rsid w:val="00792463"/>
    <w:rsid w:val="007958D4"/>
    <w:rsid w:val="007A4CED"/>
    <w:rsid w:val="007A6307"/>
    <w:rsid w:val="007B0C94"/>
    <w:rsid w:val="007B1507"/>
    <w:rsid w:val="007B250A"/>
    <w:rsid w:val="007B2B63"/>
    <w:rsid w:val="007B3863"/>
    <w:rsid w:val="007B466C"/>
    <w:rsid w:val="007B4800"/>
    <w:rsid w:val="007B641C"/>
    <w:rsid w:val="007B67C6"/>
    <w:rsid w:val="007B6DC3"/>
    <w:rsid w:val="007B7537"/>
    <w:rsid w:val="007C1E7E"/>
    <w:rsid w:val="007C2064"/>
    <w:rsid w:val="007C2525"/>
    <w:rsid w:val="007C2945"/>
    <w:rsid w:val="007C35FD"/>
    <w:rsid w:val="007C4811"/>
    <w:rsid w:val="007C7C10"/>
    <w:rsid w:val="007D121B"/>
    <w:rsid w:val="007D161A"/>
    <w:rsid w:val="007D4997"/>
    <w:rsid w:val="007D4BC5"/>
    <w:rsid w:val="007D66F4"/>
    <w:rsid w:val="007D6F21"/>
    <w:rsid w:val="007D79D0"/>
    <w:rsid w:val="007D7FE3"/>
    <w:rsid w:val="007E35AF"/>
    <w:rsid w:val="007E530A"/>
    <w:rsid w:val="007E5A6F"/>
    <w:rsid w:val="007E5DCD"/>
    <w:rsid w:val="007E63E5"/>
    <w:rsid w:val="007E6E50"/>
    <w:rsid w:val="007E720D"/>
    <w:rsid w:val="007E7E79"/>
    <w:rsid w:val="007F0EF7"/>
    <w:rsid w:val="007F37A4"/>
    <w:rsid w:val="007F5695"/>
    <w:rsid w:val="007F5B1E"/>
    <w:rsid w:val="007F7210"/>
    <w:rsid w:val="007F7243"/>
    <w:rsid w:val="0080074C"/>
    <w:rsid w:val="008044CE"/>
    <w:rsid w:val="00804640"/>
    <w:rsid w:val="00805A0D"/>
    <w:rsid w:val="00807238"/>
    <w:rsid w:val="00807640"/>
    <w:rsid w:val="00810F6B"/>
    <w:rsid w:val="00811549"/>
    <w:rsid w:val="008123AC"/>
    <w:rsid w:val="00812589"/>
    <w:rsid w:val="00812EC9"/>
    <w:rsid w:val="008139B5"/>
    <w:rsid w:val="008139F3"/>
    <w:rsid w:val="00813BD2"/>
    <w:rsid w:val="00816B4C"/>
    <w:rsid w:val="008178F5"/>
    <w:rsid w:val="00821098"/>
    <w:rsid w:val="00821D27"/>
    <w:rsid w:val="008221A0"/>
    <w:rsid w:val="008225CA"/>
    <w:rsid w:val="008238A1"/>
    <w:rsid w:val="00826C74"/>
    <w:rsid w:val="00826D96"/>
    <w:rsid w:val="008318A4"/>
    <w:rsid w:val="0083273E"/>
    <w:rsid w:val="008330D2"/>
    <w:rsid w:val="00833159"/>
    <w:rsid w:val="00834977"/>
    <w:rsid w:val="008351A4"/>
    <w:rsid w:val="008354DC"/>
    <w:rsid w:val="0083740A"/>
    <w:rsid w:val="00837F62"/>
    <w:rsid w:val="00841A18"/>
    <w:rsid w:val="00843511"/>
    <w:rsid w:val="008465F9"/>
    <w:rsid w:val="00846796"/>
    <w:rsid w:val="00854344"/>
    <w:rsid w:val="00854C33"/>
    <w:rsid w:val="00855953"/>
    <w:rsid w:val="00855A22"/>
    <w:rsid w:val="00855E6D"/>
    <w:rsid w:val="00861907"/>
    <w:rsid w:val="0086327E"/>
    <w:rsid w:val="008643D9"/>
    <w:rsid w:val="008651CF"/>
    <w:rsid w:val="008671DB"/>
    <w:rsid w:val="00867CF1"/>
    <w:rsid w:val="008733B1"/>
    <w:rsid w:val="00877A0B"/>
    <w:rsid w:val="008802E5"/>
    <w:rsid w:val="00880AEE"/>
    <w:rsid w:val="00883410"/>
    <w:rsid w:val="0088703A"/>
    <w:rsid w:val="00887C85"/>
    <w:rsid w:val="00891356"/>
    <w:rsid w:val="00892717"/>
    <w:rsid w:val="00893740"/>
    <w:rsid w:val="00894D0F"/>
    <w:rsid w:val="00896926"/>
    <w:rsid w:val="008A0525"/>
    <w:rsid w:val="008A0B16"/>
    <w:rsid w:val="008A1341"/>
    <w:rsid w:val="008A1853"/>
    <w:rsid w:val="008A1B0B"/>
    <w:rsid w:val="008A444D"/>
    <w:rsid w:val="008B4300"/>
    <w:rsid w:val="008B4920"/>
    <w:rsid w:val="008B556E"/>
    <w:rsid w:val="008B5926"/>
    <w:rsid w:val="008B5EAC"/>
    <w:rsid w:val="008B5F10"/>
    <w:rsid w:val="008B704D"/>
    <w:rsid w:val="008B7CC7"/>
    <w:rsid w:val="008B7FCD"/>
    <w:rsid w:val="008C0835"/>
    <w:rsid w:val="008C288D"/>
    <w:rsid w:val="008C4547"/>
    <w:rsid w:val="008C6384"/>
    <w:rsid w:val="008D1A11"/>
    <w:rsid w:val="008D5D27"/>
    <w:rsid w:val="008D7E0B"/>
    <w:rsid w:val="008E1AD6"/>
    <w:rsid w:val="008E1D0D"/>
    <w:rsid w:val="008E2742"/>
    <w:rsid w:val="008E2CD8"/>
    <w:rsid w:val="008E4A8A"/>
    <w:rsid w:val="008E548C"/>
    <w:rsid w:val="008E685E"/>
    <w:rsid w:val="008E734F"/>
    <w:rsid w:val="008E7B1E"/>
    <w:rsid w:val="008F04D1"/>
    <w:rsid w:val="008F128C"/>
    <w:rsid w:val="008F160D"/>
    <w:rsid w:val="008F592D"/>
    <w:rsid w:val="008F6A41"/>
    <w:rsid w:val="00900147"/>
    <w:rsid w:val="00900397"/>
    <w:rsid w:val="00901247"/>
    <w:rsid w:val="00903F12"/>
    <w:rsid w:val="00905241"/>
    <w:rsid w:val="00906F28"/>
    <w:rsid w:val="00910290"/>
    <w:rsid w:val="00910C07"/>
    <w:rsid w:val="009120AD"/>
    <w:rsid w:val="009147FF"/>
    <w:rsid w:val="009165E0"/>
    <w:rsid w:val="00917A24"/>
    <w:rsid w:val="00920908"/>
    <w:rsid w:val="009238A1"/>
    <w:rsid w:val="009243CF"/>
    <w:rsid w:val="00926E23"/>
    <w:rsid w:val="00932BF1"/>
    <w:rsid w:val="009341E0"/>
    <w:rsid w:val="0093472B"/>
    <w:rsid w:val="009350FB"/>
    <w:rsid w:val="0093671F"/>
    <w:rsid w:val="009401D3"/>
    <w:rsid w:val="00940728"/>
    <w:rsid w:val="00940AE5"/>
    <w:rsid w:val="00940F14"/>
    <w:rsid w:val="00942E2D"/>
    <w:rsid w:val="00946203"/>
    <w:rsid w:val="00946A77"/>
    <w:rsid w:val="009540B1"/>
    <w:rsid w:val="00955E6C"/>
    <w:rsid w:val="009573E9"/>
    <w:rsid w:val="0095742F"/>
    <w:rsid w:val="009575A3"/>
    <w:rsid w:val="00962A73"/>
    <w:rsid w:val="009656CF"/>
    <w:rsid w:val="0096598C"/>
    <w:rsid w:val="0097320E"/>
    <w:rsid w:val="00973412"/>
    <w:rsid w:val="00973451"/>
    <w:rsid w:val="009739A3"/>
    <w:rsid w:val="00975EFB"/>
    <w:rsid w:val="009766F0"/>
    <w:rsid w:val="00977426"/>
    <w:rsid w:val="00980BF4"/>
    <w:rsid w:val="00981167"/>
    <w:rsid w:val="00981799"/>
    <w:rsid w:val="0098181B"/>
    <w:rsid w:val="00981E8C"/>
    <w:rsid w:val="0098454F"/>
    <w:rsid w:val="00986A5E"/>
    <w:rsid w:val="009918F7"/>
    <w:rsid w:val="00991CBB"/>
    <w:rsid w:val="00992F2E"/>
    <w:rsid w:val="00993409"/>
    <w:rsid w:val="00995217"/>
    <w:rsid w:val="00995CFF"/>
    <w:rsid w:val="009A04FB"/>
    <w:rsid w:val="009A0AD6"/>
    <w:rsid w:val="009A0CE5"/>
    <w:rsid w:val="009A1212"/>
    <w:rsid w:val="009A3A07"/>
    <w:rsid w:val="009A3B66"/>
    <w:rsid w:val="009A680B"/>
    <w:rsid w:val="009B0390"/>
    <w:rsid w:val="009B05DE"/>
    <w:rsid w:val="009B1919"/>
    <w:rsid w:val="009B369C"/>
    <w:rsid w:val="009B58E7"/>
    <w:rsid w:val="009B6687"/>
    <w:rsid w:val="009B6AAF"/>
    <w:rsid w:val="009B7377"/>
    <w:rsid w:val="009C1161"/>
    <w:rsid w:val="009C4264"/>
    <w:rsid w:val="009C598A"/>
    <w:rsid w:val="009C7175"/>
    <w:rsid w:val="009C7D88"/>
    <w:rsid w:val="009C7E07"/>
    <w:rsid w:val="009D24C6"/>
    <w:rsid w:val="009D3F8C"/>
    <w:rsid w:val="009D4CEF"/>
    <w:rsid w:val="009D6A46"/>
    <w:rsid w:val="009E08A6"/>
    <w:rsid w:val="009E231B"/>
    <w:rsid w:val="009E629A"/>
    <w:rsid w:val="009E64F1"/>
    <w:rsid w:val="009E6BC9"/>
    <w:rsid w:val="009E6E9E"/>
    <w:rsid w:val="009E7875"/>
    <w:rsid w:val="009F094F"/>
    <w:rsid w:val="009F0B15"/>
    <w:rsid w:val="009F59AA"/>
    <w:rsid w:val="009F664A"/>
    <w:rsid w:val="00A015ED"/>
    <w:rsid w:val="00A01F58"/>
    <w:rsid w:val="00A0489B"/>
    <w:rsid w:val="00A049E4"/>
    <w:rsid w:val="00A04EA7"/>
    <w:rsid w:val="00A05CF2"/>
    <w:rsid w:val="00A05E4F"/>
    <w:rsid w:val="00A074AC"/>
    <w:rsid w:val="00A12F25"/>
    <w:rsid w:val="00A143B9"/>
    <w:rsid w:val="00A15BAD"/>
    <w:rsid w:val="00A168A2"/>
    <w:rsid w:val="00A217FD"/>
    <w:rsid w:val="00A239D1"/>
    <w:rsid w:val="00A23B7A"/>
    <w:rsid w:val="00A33860"/>
    <w:rsid w:val="00A33CF1"/>
    <w:rsid w:val="00A36240"/>
    <w:rsid w:val="00A372EA"/>
    <w:rsid w:val="00A37526"/>
    <w:rsid w:val="00A375CE"/>
    <w:rsid w:val="00A4136C"/>
    <w:rsid w:val="00A41428"/>
    <w:rsid w:val="00A421B7"/>
    <w:rsid w:val="00A43D55"/>
    <w:rsid w:val="00A45DC2"/>
    <w:rsid w:val="00A478A0"/>
    <w:rsid w:val="00A530F0"/>
    <w:rsid w:val="00A53723"/>
    <w:rsid w:val="00A550C8"/>
    <w:rsid w:val="00A56CA8"/>
    <w:rsid w:val="00A56D8C"/>
    <w:rsid w:val="00A570BC"/>
    <w:rsid w:val="00A5764C"/>
    <w:rsid w:val="00A61603"/>
    <w:rsid w:val="00A62A51"/>
    <w:rsid w:val="00A63545"/>
    <w:rsid w:val="00A6374B"/>
    <w:rsid w:val="00A64C5C"/>
    <w:rsid w:val="00A67FDA"/>
    <w:rsid w:val="00A70467"/>
    <w:rsid w:val="00A73189"/>
    <w:rsid w:val="00A733A6"/>
    <w:rsid w:val="00A73828"/>
    <w:rsid w:val="00A741F9"/>
    <w:rsid w:val="00A74992"/>
    <w:rsid w:val="00A807F2"/>
    <w:rsid w:val="00A81D33"/>
    <w:rsid w:val="00A82788"/>
    <w:rsid w:val="00A82E1C"/>
    <w:rsid w:val="00A847E5"/>
    <w:rsid w:val="00A9024B"/>
    <w:rsid w:val="00A90A17"/>
    <w:rsid w:val="00A92DF3"/>
    <w:rsid w:val="00A95CE8"/>
    <w:rsid w:val="00AA02BC"/>
    <w:rsid w:val="00AA1554"/>
    <w:rsid w:val="00AA1F3B"/>
    <w:rsid w:val="00AA1FD2"/>
    <w:rsid w:val="00AA21F6"/>
    <w:rsid w:val="00AA384D"/>
    <w:rsid w:val="00AA3F46"/>
    <w:rsid w:val="00AA5C33"/>
    <w:rsid w:val="00AA62A3"/>
    <w:rsid w:val="00AA6527"/>
    <w:rsid w:val="00AB1F04"/>
    <w:rsid w:val="00AB241D"/>
    <w:rsid w:val="00AB382E"/>
    <w:rsid w:val="00AB3CAB"/>
    <w:rsid w:val="00AC0B37"/>
    <w:rsid w:val="00AC116B"/>
    <w:rsid w:val="00AC127D"/>
    <w:rsid w:val="00AC12E4"/>
    <w:rsid w:val="00AC13BC"/>
    <w:rsid w:val="00AC5FC7"/>
    <w:rsid w:val="00AC6551"/>
    <w:rsid w:val="00AC748D"/>
    <w:rsid w:val="00AC7D81"/>
    <w:rsid w:val="00AD3A3F"/>
    <w:rsid w:val="00AD4EFF"/>
    <w:rsid w:val="00AD560C"/>
    <w:rsid w:val="00AD5F76"/>
    <w:rsid w:val="00AE5009"/>
    <w:rsid w:val="00AE62AC"/>
    <w:rsid w:val="00AF4D1A"/>
    <w:rsid w:val="00AF4DF1"/>
    <w:rsid w:val="00AF5CDE"/>
    <w:rsid w:val="00B003FF"/>
    <w:rsid w:val="00B00663"/>
    <w:rsid w:val="00B04376"/>
    <w:rsid w:val="00B065CB"/>
    <w:rsid w:val="00B07929"/>
    <w:rsid w:val="00B112DA"/>
    <w:rsid w:val="00B164D0"/>
    <w:rsid w:val="00B1676B"/>
    <w:rsid w:val="00B2187E"/>
    <w:rsid w:val="00B242EC"/>
    <w:rsid w:val="00B248F5"/>
    <w:rsid w:val="00B24902"/>
    <w:rsid w:val="00B26284"/>
    <w:rsid w:val="00B2686E"/>
    <w:rsid w:val="00B30DE4"/>
    <w:rsid w:val="00B32EE4"/>
    <w:rsid w:val="00B33BF0"/>
    <w:rsid w:val="00B33C83"/>
    <w:rsid w:val="00B33E79"/>
    <w:rsid w:val="00B33F27"/>
    <w:rsid w:val="00B33F2C"/>
    <w:rsid w:val="00B35D63"/>
    <w:rsid w:val="00B3605F"/>
    <w:rsid w:val="00B44826"/>
    <w:rsid w:val="00B4495D"/>
    <w:rsid w:val="00B475BF"/>
    <w:rsid w:val="00B50019"/>
    <w:rsid w:val="00B569D9"/>
    <w:rsid w:val="00B56A9F"/>
    <w:rsid w:val="00B57D03"/>
    <w:rsid w:val="00B618A4"/>
    <w:rsid w:val="00B62998"/>
    <w:rsid w:val="00B63D04"/>
    <w:rsid w:val="00B67099"/>
    <w:rsid w:val="00B70051"/>
    <w:rsid w:val="00B719E2"/>
    <w:rsid w:val="00B72D91"/>
    <w:rsid w:val="00B736C1"/>
    <w:rsid w:val="00B7487E"/>
    <w:rsid w:val="00B82A8D"/>
    <w:rsid w:val="00B82F16"/>
    <w:rsid w:val="00B836DC"/>
    <w:rsid w:val="00B843BB"/>
    <w:rsid w:val="00B90B1C"/>
    <w:rsid w:val="00B9154D"/>
    <w:rsid w:val="00B91C6D"/>
    <w:rsid w:val="00B93922"/>
    <w:rsid w:val="00B954B1"/>
    <w:rsid w:val="00B960DF"/>
    <w:rsid w:val="00B97494"/>
    <w:rsid w:val="00B9787E"/>
    <w:rsid w:val="00BA0466"/>
    <w:rsid w:val="00BA1C96"/>
    <w:rsid w:val="00BA2D29"/>
    <w:rsid w:val="00BA4E3C"/>
    <w:rsid w:val="00BA504E"/>
    <w:rsid w:val="00BA753D"/>
    <w:rsid w:val="00BA763F"/>
    <w:rsid w:val="00BA7A47"/>
    <w:rsid w:val="00BB0D47"/>
    <w:rsid w:val="00BB2AD5"/>
    <w:rsid w:val="00BB40AE"/>
    <w:rsid w:val="00BB464B"/>
    <w:rsid w:val="00BB50BF"/>
    <w:rsid w:val="00BB63E5"/>
    <w:rsid w:val="00BC0FCE"/>
    <w:rsid w:val="00BC3C1E"/>
    <w:rsid w:val="00BC4685"/>
    <w:rsid w:val="00BC750D"/>
    <w:rsid w:val="00BC7FBD"/>
    <w:rsid w:val="00BD0B22"/>
    <w:rsid w:val="00BD4345"/>
    <w:rsid w:val="00BD4F14"/>
    <w:rsid w:val="00BD57EA"/>
    <w:rsid w:val="00BD6E89"/>
    <w:rsid w:val="00BD73B9"/>
    <w:rsid w:val="00BE0083"/>
    <w:rsid w:val="00BE1790"/>
    <w:rsid w:val="00BE2D16"/>
    <w:rsid w:val="00BE2DD0"/>
    <w:rsid w:val="00BE4865"/>
    <w:rsid w:val="00BE6CCC"/>
    <w:rsid w:val="00BF024A"/>
    <w:rsid w:val="00BF080C"/>
    <w:rsid w:val="00BF2AFC"/>
    <w:rsid w:val="00BF3478"/>
    <w:rsid w:val="00BF34F0"/>
    <w:rsid w:val="00BF352B"/>
    <w:rsid w:val="00BF7881"/>
    <w:rsid w:val="00BF7E93"/>
    <w:rsid w:val="00C04E30"/>
    <w:rsid w:val="00C1110D"/>
    <w:rsid w:val="00C12443"/>
    <w:rsid w:val="00C1330D"/>
    <w:rsid w:val="00C14EB2"/>
    <w:rsid w:val="00C24004"/>
    <w:rsid w:val="00C2400D"/>
    <w:rsid w:val="00C24932"/>
    <w:rsid w:val="00C25796"/>
    <w:rsid w:val="00C2594B"/>
    <w:rsid w:val="00C307D1"/>
    <w:rsid w:val="00C3164E"/>
    <w:rsid w:val="00C321DA"/>
    <w:rsid w:val="00C3444C"/>
    <w:rsid w:val="00C3454A"/>
    <w:rsid w:val="00C3741C"/>
    <w:rsid w:val="00C40EF9"/>
    <w:rsid w:val="00C42FFA"/>
    <w:rsid w:val="00C463C9"/>
    <w:rsid w:val="00C5002F"/>
    <w:rsid w:val="00C50CA2"/>
    <w:rsid w:val="00C51BB2"/>
    <w:rsid w:val="00C51DB6"/>
    <w:rsid w:val="00C54AF5"/>
    <w:rsid w:val="00C54DFA"/>
    <w:rsid w:val="00C5671D"/>
    <w:rsid w:val="00C5704B"/>
    <w:rsid w:val="00C57585"/>
    <w:rsid w:val="00C5762C"/>
    <w:rsid w:val="00C61D24"/>
    <w:rsid w:val="00C62309"/>
    <w:rsid w:val="00C64E74"/>
    <w:rsid w:val="00C67A94"/>
    <w:rsid w:val="00C700A5"/>
    <w:rsid w:val="00C71AA3"/>
    <w:rsid w:val="00C74096"/>
    <w:rsid w:val="00C74DA1"/>
    <w:rsid w:val="00C74EB4"/>
    <w:rsid w:val="00C778F6"/>
    <w:rsid w:val="00C77E81"/>
    <w:rsid w:val="00C82279"/>
    <w:rsid w:val="00C83748"/>
    <w:rsid w:val="00C848A2"/>
    <w:rsid w:val="00C87FE1"/>
    <w:rsid w:val="00C90136"/>
    <w:rsid w:val="00C90BA3"/>
    <w:rsid w:val="00C924C4"/>
    <w:rsid w:val="00C943DE"/>
    <w:rsid w:val="00C9642C"/>
    <w:rsid w:val="00C9655F"/>
    <w:rsid w:val="00C96575"/>
    <w:rsid w:val="00C97965"/>
    <w:rsid w:val="00CA02BC"/>
    <w:rsid w:val="00CA0D01"/>
    <w:rsid w:val="00CA121E"/>
    <w:rsid w:val="00CA2539"/>
    <w:rsid w:val="00CA53B5"/>
    <w:rsid w:val="00CA7D4B"/>
    <w:rsid w:val="00CA7E22"/>
    <w:rsid w:val="00CB198C"/>
    <w:rsid w:val="00CB62FC"/>
    <w:rsid w:val="00CB7316"/>
    <w:rsid w:val="00CB7B2C"/>
    <w:rsid w:val="00CB7CD6"/>
    <w:rsid w:val="00CC00BE"/>
    <w:rsid w:val="00CC04AC"/>
    <w:rsid w:val="00CC11D7"/>
    <w:rsid w:val="00CC1A0F"/>
    <w:rsid w:val="00CC2074"/>
    <w:rsid w:val="00CC2BEE"/>
    <w:rsid w:val="00CC326F"/>
    <w:rsid w:val="00CC5BD2"/>
    <w:rsid w:val="00CC5C86"/>
    <w:rsid w:val="00CC6ED7"/>
    <w:rsid w:val="00CD1F70"/>
    <w:rsid w:val="00CD3545"/>
    <w:rsid w:val="00CE02C2"/>
    <w:rsid w:val="00CE4876"/>
    <w:rsid w:val="00CF101C"/>
    <w:rsid w:val="00CF216D"/>
    <w:rsid w:val="00CF2303"/>
    <w:rsid w:val="00CF321C"/>
    <w:rsid w:val="00CF3280"/>
    <w:rsid w:val="00CF33B6"/>
    <w:rsid w:val="00CF62F6"/>
    <w:rsid w:val="00D000E4"/>
    <w:rsid w:val="00D03F12"/>
    <w:rsid w:val="00D03F60"/>
    <w:rsid w:val="00D04255"/>
    <w:rsid w:val="00D04350"/>
    <w:rsid w:val="00D067CC"/>
    <w:rsid w:val="00D07B0D"/>
    <w:rsid w:val="00D07BE2"/>
    <w:rsid w:val="00D107BE"/>
    <w:rsid w:val="00D12423"/>
    <w:rsid w:val="00D14984"/>
    <w:rsid w:val="00D14A17"/>
    <w:rsid w:val="00D14FE4"/>
    <w:rsid w:val="00D20507"/>
    <w:rsid w:val="00D23667"/>
    <w:rsid w:val="00D23D0C"/>
    <w:rsid w:val="00D27E12"/>
    <w:rsid w:val="00D30D4A"/>
    <w:rsid w:val="00D3144A"/>
    <w:rsid w:val="00D31F58"/>
    <w:rsid w:val="00D32989"/>
    <w:rsid w:val="00D35038"/>
    <w:rsid w:val="00D357AD"/>
    <w:rsid w:val="00D35F37"/>
    <w:rsid w:val="00D405FB"/>
    <w:rsid w:val="00D40D44"/>
    <w:rsid w:val="00D43345"/>
    <w:rsid w:val="00D4489F"/>
    <w:rsid w:val="00D45BA4"/>
    <w:rsid w:val="00D50ED2"/>
    <w:rsid w:val="00D53905"/>
    <w:rsid w:val="00D55CE8"/>
    <w:rsid w:val="00D561F3"/>
    <w:rsid w:val="00D5671A"/>
    <w:rsid w:val="00D56E32"/>
    <w:rsid w:val="00D56E6C"/>
    <w:rsid w:val="00D57600"/>
    <w:rsid w:val="00D6608E"/>
    <w:rsid w:val="00D700A0"/>
    <w:rsid w:val="00D704CD"/>
    <w:rsid w:val="00D70782"/>
    <w:rsid w:val="00D70D43"/>
    <w:rsid w:val="00D71D1A"/>
    <w:rsid w:val="00D75C86"/>
    <w:rsid w:val="00D775A6"/>
    <w:rsid w:val="00D776A7"/>
    <w:rsid w:val="00D82CC5"/>
    <w:rsid w:val="00D86BD3"/>
    <w:rsid w:val="00D870BC"/>
    <w:rsid w:val="00D94609"/>
    <w:rsid w:val="00D9673C"/>
    <w:rsid w:val="00DA1E91"/>
    <w:rsid w:val="00DA22F9"/>
    <w:rsid w:val="00DA263D"/>
    <w:rsid w:val="00DA2EEF"/>
    <w:rsid w:val="00DA350F"/>
    <w:rsid w:val="00DA4A68"/>
    <w:rsid w:val="00DA6C9C"/>
    <w:rsid w:val="00DB07F2"/>
    <w:rsid w:val="00DB3574"/>
    <w:rsid w:val="00DC1B68"/>
    <w:rsid w:val="00DC1E61"/>
    <w:rsid w:val="00DC2355"/>
    <w:rsid w:val="00DC2CE3"/>
    <w:rsid w:val="00DC3AE4"/>
    <w:rsid w:val="00DC579A"/>
    <w:rsid w:val="00DC6F04"/>
    <w:rsid w:val="00DC6F29"/>
    <w:rsid w:val="00DC7C27"/>
    <w:rsid w:val="00DD3F77"/>
    <w:rsid w:val="00DD63D9"/>
    <w:rsid w:val="00DD7041"/>
    <w:rsid w:val="00DE1587"/>
    <w:rsid w:val="00DE236A"/>
    <w:rsid w:val="00DE538E"/>
    <w:rsid w:val="00DE7C80"/>
    <w:rsid w:val="00DF0080"/>
    <w:rsid w:val="00DF1683"/>
    <w:rsid w:val="00DF3F11"/>
    <w:rsid w:val="00DF52E8"/>
    <w:rsid w:val="00DF5B64"/>
    <w:rsid w:val="00E014E6"/>
    <w:rsid w:val="00E0224E"/>
    <w:rsid w:val="00E02D6F"/>
    <w:rsid w:val="00E05831"/>
    <w:rsid w:val="00E109A1"/>
    <w:rsid w:val="00E10A1F"/>
    <w:rsid w:val="00E11E79"/>
    <w:rsid w:val="00E11FF5"/>
    <w:rsid w:val="00E12047"/>
    <w:rsid w:val="00E12717"/>
    <w:rsid w:val="00E13D49"/>
    <w:rsid w:val="00E16B33"/>
    <w:rsid w:val="00E22655"/>
    <w:rsid w:val="00E2439E"/>
    <w:rsid w:val="00E30068"/>
    <w:rsid w:val="00E306E3"/>
    <w:rsid w:val="00E34B56"/>
    <w:rsid w:val="00E35669"/>
    <w:rsid w:val="00E35BDF"/>
    <w:rsid w:val="00E413C5"/>
    <w:rsid w:val="00E43112"/>
    <w:rsid w:val="00E44407"/>
    <w:rsid w:val="00E46146"/>
    <w:rsid w:val="00E46154"/>
    <w:rsid w:val="00E51624"/>
    <w:rsid w:val="00E532D0"/>
    <w:rsid w:val="00E537E9"/>
    <w:rsid w:val="00E5540E"/>
    <w:rsid w:val="00E55454"/>
    <w:rsid w:val="00E612D6"/>
    <w:rsid w:val="00E61341"/>
    <w:rsid w:val="00E639E2"/>
    <w:rsid w:val="00E6571E"/>
    <w:rsid w:val="00E670D9"/>
    <w:rsid w:val="00E70221"/>
    <w:rsid w:val="00E720A4"/>
    <w:rsid w:val="00E73D97"/>
    <w:rsid w:val="00E7474E"/>
    <w:rsid w:val="00E75134"/>
    <w:rsid w:val="00E76B9C"/>
    <w:rsid w:val="00E76E20"/>
    <w:rsid w:val="00E81961"/>
    <w:rsid w:val="00E83FA2"/>
    <w:rsid w:val="00E86BD6"/>
    <w:rsid w:val="00E900D3"/>
    <w:rsid w:val="00E9155D"/>
    <w:rsid w:val="00E924B9"/>
    <w:rsid w:val="00E93FC1"/>
    <w:rsid w:val="00E94708"/>
    <w:rsid w:val="00E9554A"/>
    <w:rsid w:val="00E95D0D"/>
    <w:rsid w:val="00E962AA"/>
    <w:rsid w:val="00E97F62"/>
    <w:rsid w:val="00EA22B8"/>
    <w:rsid w:val="00EA6A48"/>
    <w:rsid w:val="00EA7A97"/>
    <w:rsid w:val="00EB0A06"/>
    <w:rsid w:val="00EB25E7"/>
    <w:rsid w:val="00EB50AD"/>
    <w:rsid w:val="00EC0045"/>
    <w:rsid w:val="00EC1103"/>
    <w:rsid w:val="00EC2627"/>
    <w:rsid w:val="00EC4340"/>
    <w:rsid w:val="00EC7861"/>
    <w:rsid w:val="00ED0149"/>
    <w:rsid w:val="00ED329C"/>
    <w:rsid w:val="00ED3D36"/>
    <w:rsid w:val="00ED500A"/>
    <w:rsid w:val="00ED55A0"/>
    <w:rsid w:val="00EE200E"/>
    <w:rsid w:val="00EE3045"/>
    <w:rsid w:val="00EE4CDB"/>
    <w:rsid w:val="00EE4E54"/>
    <w:rsid w:val="00EE5615"/>
    <w:rsid w:val="00EE5710"/>
    <w:rsid w:val="00EE5D6E"/>
    <w:rsid w:val="00EE6E4D"/>
    <w:rsid w:val="00EF0F2D"/>
    <w:rsid w:val="00EF4DBD"/>
    <w:rsid w:val="00F00A49"/>
    <w:rsid w:val="00F017C3"/>
    <w:rsid w:val="00F03798"/>
    <w:rsid w:val="00F042D5"/>
    <w:rsid w:val="00F1172E"/>
    <w:rsid w:val="00F12E49"/>
    <w:rsid w:val="00F15248"/>
    <w:rsid w:val="00F15554"/>
    <w:rsid w:val="00F17B55"/>
    <w:rsid w:val="00F2050C"/>
    <w:rsid w:val="00F20676"/>
    <w:rsid w:val="00F22A73"/>
    <w:rsid w:val="00F22ADF"/>
    <w:rsid w:val="00F23612"/>
    <w:rsid w:val="00F242BE"/>
    <w:rsid w:val="00F24A1F"/>
    <w:rsid w:val="00F263EA"/>
    <w:rsid w:val="00F2685D"/>
    <w:rsid w:val="00F26A48"/>
    <w:rsid w:val="00F2714E"/>
    <w:rsid w:val="00F275B6"/>
    <w:rsid w:val="00F307A5"/>
    <w:rsid w:val="00F309C6"/>
    <w:rsid w:val="00F32D42"/>
    <w:rsid w:val="00F345F1"/>
    <w:rsid w:val="00F43049"/>
    <w:rsid w:val="00F51267"/>
    <w:rsid w:val="00F512BE"/>
    <w:rsid w:val="00F60B38"/>
    <w:rsid w:val="00F72F87"/>
    <w:rsid w:val="00F7362E"/>
    <w:rsid w:val="00F7392E"/>
    <w:rsid w:val="00F74620"/>
    <w:rsid w:val="00F74B97"/>
    <w:rsid w:val="00F776DC"/>
    <w:rsid w:val="00F77BC8"/>
    <w:rsid w:val="00F8134A"/>
    <w:rsid w:val="00F85E89"/>
    <w:rsid w:val="00F860BF"/>
    <w:rsid w:val="00F91541"/>
    <w:rsid w:val="00F918A1"/>
    <w:rsid w:val="00F92C01"/>
    <w:rsid w:val="00F939AD"/>
    <w:rsid w:val="00F94D58"/>
    <w:rsid w:val="00F95A2B"/>
    <w:rsid w:val="00F96DCB"/>
    <w:rsid w:val="00F97482"/>
    <w:rsid w:val="00FA3A9E"/>
    <w:rsid w:val="00FA5975"/>
    <w:rsid w:val="00FA5F20"/>
    <w:rsid w:val="00FA71BF"/>
    <w:rsid w:val="00FB1440"/>
    <w:rsid w:val="00FB17DB"/>
    <w:rsid w:val="00FB1C86"/>
    <w:rsid w:val="00FB3272"/>
    <w:rsid w:val="00FB34C1"/>
    <w:rsid w:val="00FB3CD8"/>
    <w:rsid w:val="00FB5D99"/>
    <w:rsid w:val="00FB728B"/>
    <w:rsid w:val="00FC0AB5"/>
    <w:rsid w:val="00FC13CF"/>
    <w:rsid w:val="00FC15D4"/>
    <w:rsid w:val="00FC218E"/>
    <w:rsid w:val="00FC3876"/>
    <w:rsid w:val="00FC4435"/>
    <w:rsid w:val="00FC460E"/>
    <w:rsid w:val="00FD2FC0"/>
    <w:rsid w:val="00FD567F"/>
    <w:rsid w:val="00FD67C6"/>
    <w:rsid w:val="00FD7645"/>
    <w:rsid w:val="00FE0866"/>
    <w:rsid w:val="00FE232A"/>
    <w:rsid w:val="00FE6108"/>
    <w:rsid w:val="00FE6637"/>
    <w:rsid w:val="00FE6AA1"/>
    <w:rsid w:val="00FE7273"/>
    <w:rsid w:val="00FE79E1"/>
    <w:rsid w:val="00FE7C87"/>
    <w:rsid w:val="00FE7E2B"/>
    <w:rsid w:val="00FF0DE9"/>
    <w:rsid w:val="00FF0F8C"/>
    <w:rsid w:val="00FF60C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99429"/>
  <w15:docId w15:val="{ECC5ED8A-E4A5-4022-B1D6-51443DBEE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6783"/>
  </w:style>
  <w:style w:type="paragraph" w:styleId="Titre1">
    <w:name w:val="heading 1"/>
    <w:basedOn w:val="Normal"/>
    <w:next w:val="Normal"/>
    <w:link w:val="Titre1Car"/>
    <w:uiPriority w:val="9"/>
    <w:qFormat/>
    <w:rsid w:val="00DA471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customStyle="1" w:styleId="Titre1Car">
    <w:name w:val="Titre 1 Car"/>
    <w:basedOn w:val="Policepardfaut"/>
    <w:link w:val="Titre1"/>
    <w:uiPriority w:val="9"/>
    <w:rsid w:val="00DA4714"/>
    <w:rPr>
      <w:rFonts w:asciiTheme="majorHAnsi" w:eastAsiaTheme="majorEastAsia" w:hAnsiTheme="majorHAnsi" w:cstheme="majorBidi"/>
      <w:color w:val="2E74B5" w:themeColor="accent1" w:themeShade="BF"/>
      <w:sz w:val="32"/>
      <w:szCs w:val="32"/>
    </w:rPr>
  </w:style>
  <w:style w:type="character" w:styleId="Rfrenceintense">
    <w:name w:val="Intense Reference"/>
    <w:basedOn w:val="Policepardfaut"/>
    <w:uiPriority w:val="32"/>
    <w:qFormat/>
    <w:rsid w:val="00DA4714"/>
    <w:rPr>
      <w:b/>
      <w:bCs/>
      <w:smallCaps/>
      <w:color w:val="5B9BD5" w:themeColor="accent1"/>
      <w:spacing w:val="5"/>
    </w:rPr>
  </w:style>
  <w:style w:type="character" w:styleId="Lienhypertexte">
    <w:name w:val="Hyperlink"/>
    <w:basedOn w:val="Policepardfaut"/>
    <w:uiPriority w:val="99"/>
    <w:unhideWhenUsed/>
    <w:rsid w:val="00DA4714"/>
    <w:rPr>
      <w:color w:val="0563C1" w:themeColor="hyperlink"/>
      <w:u w:val="single"/>
    </w:rPr>
  </w:style>
  <w:style w:type="character" w:styleId="Lienhypertextesuivivisit">
    <w:name w:val="FollowedHyperlink"/>
    <w:basedOn w:val="Policepardfaut"/>
    <w:uiPriority w:val="99"/>
    <w:semiHidden/>
    <w:unhideWhenUsed/>
    <w:rsid w:val="00DA4714"/>
    <w:rPr>
      <w:color w:val="954F72" w:themeColor="followedHyperlink"/>
      <w:u w:val="single"/>
    </w:rPr>
  </w:style>
  <w:style w:type="paragraph" w:styleId="Paragraphedeliste">
    <w:name w:val="List Paragraph"/>
    <w:basedOn w:val="Normal"/>
    <w:uiPriority w:val="34"/>
    <w:qFormat/>
    <w:rsid w:val="00DD0560"/>
    <w:pPr>
      <w:ind w:left="720"/>
      <w:contextualSpacing/>
    </w:pPr>
  </w:style>
  <w:style w:type="paragraph" w:styleId="NormalWeb">
    <w:name w:val="Normal (Web)"/>
    <w:basedOn w:val="Normal"/>
    <w:uiPriority w:val="99"/>
    <w:rsid w:val="004234F4"/>
    <w:pPr>
      <w:spacing w:before="100" w:beforeAutospacing="1" w:after="100" w:afterAutospacing="1" w:line="240" w:lineRule="auto"/>
    </w:pPr>
    <w:rPr>
      <w:rFonts w:ascii="Times New Roman" w:eastAsia="Times New Roman" w:hAnsi="Times New Roman" w:cs="Times New Roman"/>
      <w:sz w:val="24"/>
      <w:szCs w:val="24"/>
      <w:lang w:val="fr-FR"/>
    </w:rPr>
  </w:style>
  <w:style w:type="character" w:styleId="Marquedecommentaire">
    <w:name w:val="annotation reference"/>
    <w:basedOn w:val="Policepardfaut"/>
    <w:uiPriority w:val="99"/>
    <w:semiHidden/>
    <w:unhideWhenUsed/>
    <w:rsid w:val="00A12A70"/>
    <w:rPr>
      <w:sz w:val="16"/>
      <w:szCs w:val="16"/>
    </w:rPr>
  </w:style>
  <w:style w:type="paragraph" w:styleId="Commentaire">
    <w:name w:val="annotation text"/>
    <w:basedOn w:val="Normal"/>
    <w:link w:val="CommentaireCar"/>
    <w:uiPriority w:val="99"/>
    <w:unhideWhenUsed/>
    <w:rsid w:val="00A12A70"/>
    <w:pPr>
      <w:spacing w:line="240" w:lineRule="auto"/>
    </w:pPr>
    <w:rPr>
      <w:sz w:val="20"/>
      <w:szCs w:val="20"/>
    </w:rPr>
  </w:style>
  <w:style w:type="character" w:customStyle="1" w:styleId="CommentaireCar">
    <w:name w:val="Commentaire Car"/>
    <w:basedOn w:val="Policepardfaut"/>
    <w:link w:val="Commentaire"/>
    <w:uiPriority w:val="99"/>
    <w:rsid w:val="00A12A70"/>
    <w:rPr>
      <w:sz w:val="20"/>
      <w:szCs w:val="20"/>
    </w:rPr>
  </w:style>
  <w:style w:type="paragraph" w:styleId="Objetducommentaire">
    <w:name w:val="annotation subject"/>
    <w:basedOn w:val="Commentaire"/>
    <w:next w:val="Commentaire"/>
    <w:link w:val="ObjetducommentaireCar"/>
    <w:uiPriority w:val="99"/>
    <w:semiHidden/>
    <w:unhideWhenUsed/>
    <w:rsid w:val="00A12A70"/>
    <w:rPr>
      <w:b/>
      <w:bCs/>
    </w:rPr>
  </w:style>
  <w:style w:type="character" w:customStyle="1" w:styleId="ObjetducommentaireCar">
    <w:name w:val="Objet du commentaire Car"/>
    <w:basedOn w:val="CommentaireCar"/>
    <w:link w:val="Objetducommentaire"/>
    <w:uiPriority w:val="99"/>
    <w:semiHidden/>
    <w:rsid w:val="00A12A70"/>
    <w:rPr>
      <w:b/>
      <w:bCs/>
      <w:sz w:val="20"/>
      <w:szCs w:val="20"/>
    </w:rPr>
  </w:style>
  <w:style w:type="paragraph" w:styleId="Textedebulles">
    <w:name w:val="Balloon Text"/>
    <w:basedOn w:val="Normal"/>
    <w:link w:val="TextedebullesCar"/>
    <w:uiPriority w:val="99"/>
    <w:semiHidden/>
    <w:unhideWhenUsed/>
    <w:rsid w:val="00A12A7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12A70"/>
    <w:rPr>
      <w:rFonts w:ascii="Segoe UI" w:hAnsi="Segoe UI" w:cs="Segoe UI"/>
      <w:sz w:val="18"/>
      <w:szCs w:val="18"/>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character" w:styleId="lev">
    <w:name w:val="Strong"/>
    <w:basedOn w:val="Policepardfaut"/>
    <w:uiPriority w:val="22"/>
    <w:qFormat/>
    <w:rsid w:val="004E6C7F"/>
    <w:rPr>
      <w:b/>
      <w:bCs/>
    </w:rPr>
  </w:style>
  <w:style w:type="paragraph" w:styleId="Bibliographie">
    <w:name w:val="Bibliography"/>
    <w:basedOn w:val="Normal"/>
    <w:next w:val="Normal"/>
    <w:uiPriority w:val="37"/>
    <w:unhideWhenUsed/>
    <w:rsid w:val="00AA1554"/>
    <w:pPr>
      <w:tabs>
        <w:tab w:val="left" w:pos="384"/>
      </w:tabs>
      <w:spacing w:after="0" w:line="480" w:lineRule="auto"/>
      <w:ind w:left="384" w:hanging="384"/>
    </w:pPr>
  </w:style>
  <w:style w:type="character" w:styleId="Accentuation">
    <w:name w:val="Emphasis"/>
    <w:basedOn w:val="Policepardfaut"/>
    <w:uiPriority w:val="20"/>
    <w:qFormat/>
    <w:rsid w:val="007B7537"/>
    <w:rPr>
      <w:i/>
      <w:iCs/>
    </w:rPr>
  </w:style>
  <w:style w:type="character" w:styleId="Textedelespacerserv">
    <w:name w:val="Placeholder Text"/>
    <w:basedOn w:val="Policepardfaut"/>
    <w:uiPriority w:val="99"/>
    <w:semiHidden/>
    <w:rsid w:val="00111B50"/>
    <w:rPr>
      <w:color w:val="808080"/>
    </w:rPr>
  </w:style>
  <w:style w:type="paragraph" w:styleId="En-tte">
    <w:name w:val="header"/>
    <w:basedOn w:val="Normal"/>
    <w:link w:val="En-tteCar"/>
    <w:uiPriority w:val="99"/>
    <w:unhideWhenUsed/>
    <w:rsid w:val="00F97482"/>
    <w:pPr>
      <w:tabs>
        <w:tab w:val="center" w:pos="4703"/>
        <w:tab w:val="right" w:pos="9406"/>
      </w:tabs>
      <w:spacing w:after="0" w:line="240" w:lineRule="auto"/>
    </w:pPr>
  </w:style>
  <w:style w:type="character" w:customStyle="1" w:styleId="En-tteCar">
    <w:name w:val="En-tête Car"/>
    <w:basedOn w:val="Policepardfaut"/>
    <w:link w:val="En-tte"/>
    <w:uiPriority w:val="99"/>
    <w:rsid w:val="00F97482"/>
  </w:style>
  <w:style w:type="paragraph" w:styleId="Pieddepage">
    <w:name w:val="footer"/>
    <w:basedOn w:val="Normal"/>
    <w:link w:val="PieddepageCar"/>
    <w:uiPriority w:val="99"/>
    <w:unhideWhenUsed/>
    <w:rsid w:val="00F97482"/>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F97482"/>
  </w:style>
  <w:style w:type="character" w:customStyle="1" w:styleId="hljs-string">
    <w:name w:val="hljs-string"/>
    <w:basedOn w:val="Policepardfaut"/>
    <w:rsid w:val="00946A77"/>
  </w:style>
  <w:style w:type="character" w:customStyle="1" w:styleId="captions">
    <w:name w:val="captions"/>
    <w:basedOn w:val="Policepardfaut"/>
    <w:rsid w:val="002A565D"/>
  </w:style>
  <w:style w:type="table" w:styleId="Grilledetableauclaire">
    <w:name w:val="Grid Table Light"/>
    <w:basedOn w:val="TableauNormal"/>
    <w:uiPriority w:val="40"/>
    <w:rsid w:val="008E734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umrodepage">
    <w:name w:val="page number"/>
    <w:basedOn w:val="Policepardfaut"/>
    <w:uiPriority w:val="99"/>
    <w:semiHidden/>
    <w:unhideWhenUsed/>
    <w:rsid w:val="005B04BC"/>
  </w:style>
  <w:style w:type="table" w:styleId="Tableausimple2">
    <w:name w:val="Plain Table 2"/>
    <w:basedOn w:val="TableauNormal"/>
    <w:uiPriority w:val="42"/>
    <w:rsid w:val="007B2B63"/>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mjxassistivemathml">
    <w:name w:val="mjx_assistive_mathml"/>
    <w:basedOn w:val="Policepardfaut"/>
    <w:rsid w:val="008178F5"/>
  </w:style>
  <w:style w:type="character" w:customStyle="1" w:styleId="notion-enable-hover">
    <w:name w:val="notion-enable-hover"/>
    <w:basedOn w:val="Policepardfaut"/>
    <w:rsid w:val="00E12047"/>
  </w:style>
  <w:style w:type="character" w:styleId="Numrodeligne">
    <w:name w:val="line number"/>
    <w:basedOn w:val="Policepardfaut"/>
    <w:uiPriority w:val="99"/>
    <w:semiHidden/>
    <w:unhideWhenUsed/>
    <w:rsid w:val="00EC78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359540">
      <w:bodyDiv w:val="1"/>
      <w:marLeft w:val="0"/>
      <w:marRight w:val="0"/>
      <w:marTop w:val="0"/>
      <w:marBottom w:val="0"/>
      <w:divBdr>
        <w:top w:val="none" w:sz="0" w:space="0" w:color="auto"/>
        <w:left w:val="none" w:sz="0" w:space="0" w:color="auto"/>
        <w:bottom w:val="none" w:sz="0" w:space="0" w:color="auto"/>
        <w:right w:val="none" w:sz="0" w:space="0" w:color="auto"/>
      </w:divBdr>
    </w:div>
    <w:div w:id="114325592">
      <w:bodyDiv w:val="1"/>
      <w:marLeft w:val="0"/>
      <w:marRight w:val="0"/>
      <w:marTop w:val="0"/>
      <w:marBottom w:val="0"/>
      <w:divBdr>
        <w:top w:val="none" w:sz="0" w:space="0" w:color="auto"/>
        <w:left w:val="none" w:sz="0" w:space="0" w:color="auto"/>
        <w:bottom w:val="none" w:sz="0" w:space="0" w:color="auto"/>
        <w:right w:val="none" w:sz="0" w:space="0" w:color="auto"/>
      </w:divBdr>
    </w:div>
    <w:div w:id="117575713">
      <w:bodyDiv w:val="1"/>
      <w:marLeft w:val="0"/>
      <w:marRight w:val="0"/>
      <w:marTop w:val="0"/>
      <w:marBottom w:val="0"/>
      <w:divBdr>
        <w:top w:val="none" w:sz="0" w:space="0" w:color="auto"/>
        <w:left w:val="none" w:sz="0" w:space="0" w:color="auto"/>
        <w:bottom w:val="none" w:sz="0" w:space="0" w:color="auto"/>
        <w:right w:val="none" w:sz="0" w:space="0" w:color="auto"/>
      </w:divBdr>
    </w:div>
    <w:div w:id="267585827">
      <w:bodyDiv w:val="1"/>
      <w:marLeft w:val="0"/>
      <w:marRight w:val="0"/>
      <w:marTop w:val="0"/>
      <w:marBottom w:val="0"/>
      <w:divBdr>
        <w:top w:val="none" w:sz="0" w:space="0" w:color="auto"/>
        <w:left w:val="none" w:sz="0" w:space="0" w:color="auto"/>
        <w:bottom w:val="none" w:sz="0" w:space="0" w:color="auto"/>
        <w:right w:val="none" w:sz="0" w:space="0" w:color="auto"/>
      </w:divBdr>
    </w:div>
    <w:div w:id="318267645">
      <w:bodyDiv w:val="1"/>
      <w:marLeft w:val="0"/>
      <w:marRight w:val="0"/>
      <w:marTop w:val="0"/>
      <w:marBottom w:val="0"/>
      <w:divBdr>
        <w:top w:val="none" w:sz="0" w:space="0" w:color="auto"/>
        <w:left w:val="none" w:sz="0" w:space="0" w:color="auto"/>
        <w:bottom w:val="none" w:sz="0" w:space="0" w:color="auto"/>
        <w:right w:val="none" w:sz="0" w:space="0" w:color="auto"/>
      </w:divBdr>
    </w:div>
    <w:div w:id="332875732">
      <w:bodyDiv w:val="1"/>
      <w:marLeft w:val="0"/>
      <w:marRight w:val="0"/>
      <w:marTop w:val="0"/>
      <w:marBottom w:val="0"/>
      <w:divBdr>
        <w:top w:val="none" w:sz="0" w:space="0" w:color="auto"/>
        <w:left w:val="none" w:sz="0" w:space="0" w:color="auto"/>
        <w:bottom w:val="none" w:sz="0" w:space="0" w:color="auto"/>
        <w:right w:val="none" w:sz="0" w:space="0" w:color="auto"/>
      </w:divBdr>
    </w:div>
    <w:div w:id="344477932">
      <w:bodyDiv w:val="1"/>
      <w:marLeft w:val="0"/>
      <w:marRight w:val="0"/>
      <w:marTop w:val="0"/>
      <w:marBottom w:val="0"/>
      <w:divBdr>
        <w:top w:val="none" w:sz="0" w:space="0" w:color="auto"/>
        <w:left w:val="none" w:sz="0" w:space="0" w:color="auto"/>
        <w:bottom w:val="none" w:sz="0" w:space="0" w:color="auto"/>
        <w:right w:val="none" w:sz="0" w:space="0" w:color="auto"/>
      </w:divBdr>
    </w:div>
    <w:div w:id="422452428">
      <w:bodyDiv w:val="1"/>
      <w:marLeft w:val="0"/>
      <w:marRight w:val="0"/>
      <w:marTop w:val="0"/>
      <w:marBottom w:val="0"/>
      <w:divBdr>
        <w:top w:val="none" w:sz="0" w:space="0" w:color="auto"/>
        <w:left w:val="none" w:sz="0" w:space="0" w:color="auto"/>
        <w:bottom w:val="none" w:sz="0" w:space="0" w:color="auto"/>
        <w:right w:val="none" w:sz="0" w:space="0" w:color="auto"/>
      </w:divBdr>
    </w:div>
    <w:div w:id="439758495">
      <w:bodyDiv w:val="1"/>
      <w:marLeft w:val="0"/>
      <w:marRight w:val="0"/>
      <w:marTop w:val="0"/>
      <w:marBottom w:val="0"/>
      <w:divBdr>
        <w:top w:val="none" w:sz="0" w:space="0" w:color="auto"/>
        <w:left w:val="none" w:sz="0" w:space="0" w:color="auto"/>
        <w:bottom w:val="none" w:sz="0" w:space="0" w:color="auto"/>
        <w:right w:val="none" w:sz="0" w:space="0" w:color="auto"/>
      </w:divBdr>
    </w:div>
    <w:div w:id="476343517">
      <w:bodyDiv w:val="1"/>
      <w:marLeft w:val="0"/>
      <w:marRight w:val="0"/>
      <w:marTop w:val="0"/>
      <w:marBottom w:val="0"/>
      <w:divBdr>
        <w:top w:val="none" w:sz="0" w:space="0" w:color="auto"/>
        <w:left w:val="none" w:sz="0" w:space="0" w:color="auto"/>
        <w:bottom w:val="none" w:sz="0" w:space="0" w:color="auto"/>
        <w:right w:val="none" w:sz="0" w:space="0" w:color="auto"/>
      </w:divBdr>
    </w:div>
    <w:div w:id="524832761">
      <w:bodyDiv w:val="1"/>
      <w:marLeft w:val="0"/>
      <w:marRight w:val="0"/>
      <w:marTop w:val="0"/>
      <w:marBottom w:val="0"/>
      <w:divBdr>
        <w:top w:val="none" w:sz="0" w:space="0" w:color="auto"/>
        <w:left w:val="none" w:sz="0" w:space="0" w:color="auto"/>
        <w:bottom w:val="none" w:sz="0" w:space="0" w:color="auto"/>
        <w:right w:val="none" w:sz="0" w:space="0" w:color="auto"/>
      </w:divBdr>
    </w:div>
    <w:div w:id="534468163">
      <w:bodyDiv w:val="1"/>
      <w:marLeft w:val="0"/>
      <w:marRight w:val="0"/>
      <w:marTop w:val="0"/>
      <w:marBottom w:val="0"/>
      <w:divBdr>
        <w:top w:val="none" w:sz="0" w:space="0" w:color="auto"/>
        <w:left w:val="none" w:sz="0" w:space="0" w:color="auto"/>
        <w:bottom w:val="none" w:sz="0" w:space="0" w:color="auto"/>
        <w:right w:val="none" w:sz="0" w:space="0" w:color="auto"/>
      </w:divBdr>
    </w:div>
    <w:div w:id="556277965">
      <w:bodyDiv w:val="1"/>
      <w:marLeft w:val="0"/>
      <w:marRight w:val="0"/>
      <w:marTop w:val="0"/>
      <w:marBottom w:val="0"/>
      <w:divBdr>
        <w:top w:val="none" w:sz="0" w:space="0" w:color="auto"/>
        <w:left w:val="none" w:sz="0" w:space="0" w:color="auto"/>
        <w:bottom w:val="none" w:sz="0" w:space="0" w:color="auto"/>
        <w:right w:val="none" w:sz="0" w:space="0" w:color="auto"/>
      </w:divBdr>
    </w:div>
    <w:div w:id="561987882">
      <w:bodyDiv w:val="1"/>
      <w:marLeft w:val="0"/>
      <w:marRight w:val="0"/>
      <w:marTop w:val="0"/>
      <w:marBottom w:val="0"/>
      <w:divBdr>
        <w:top w:val="none" w:sz="0" w:space="0" w:color="auto"/>
        <w:left w:val="none" w:sz="0" w:space="0" w:color="auto"/>
        <w:bottom w:val="none" w:sz="0" w:space="0" w:color="auto"/>
        <w:right w:val="none" w:sz="0" w:space="0" w:color="auto"/>
      </w:divBdr>
    </w:div>
    <w:div w:id="686446053">
      <w:bodyDiv w:val="1"/>
      <w:marLeft w:val="0"/>
      <w:marRight w:val="0"/>
      <w:marTop w:val="0"/>
      <w:marBottom w:val="0"/>
      <w:divBdr>
        <w:top w:val="none" w:sz="0" w:space="0" w:color="auto"/>
        <w:left w:val="none" w:sz="0" w:space="0" w:color="auto"/>
        <w:bottom w:val="none" w:sz="0" w:space="0" w:color="auto"/>
        <w:right w:val="none" w:sz="0" w:space="0" w:color="auto"/>
      </w:divBdr>
    </w:div>
    <w:div w:id="690959241">
      <w:bodyDiv w:val="1"/>
      <w:marLeft w:val="0"/>
      <w:marRight w:val="0"/>
      <w:marTop w:val="0"/>
      <w:marBottom w:val="0"/>
      <w:divBdr>
        <w:top w:val="none" w:sz="0" w:space="0" w:color="auto"/>
        <w:left w:val="none" w:sz="0" w:space="0" w:color="auto"/>
        <w:bottom w:val="none" w:sz="0" w:space="0" w:color="auto"/>
        <w:right w:val="none" w:sz="0" w:space="0" w:color="auto"/>
      </w:divBdr>
    </w:div>
    <w:div w:id="707071423">
      <w:bodyDiv w:val="1"/>
      <w:marLeft w:val="0"/>
      <w:marRight w:val="0"/>
      <w:marTop w:val="0"/>
      <w:marBottom w:val="0"/>
      <w:divBdr>
        <w:top w:val="none" w:sz="0" w:space="0" w:color="auto"/>
        <w:left w:val="none" w:sz="0" w:space="0" w:color="auto"/>
        <w:bottom w:val="none" w:sz="0" w:space="0" w:color="auto"/>
        <w:right w:val="none" w:sz="0" w:space="0" w:color="auto"/>
      </w:divBdr>
    </w:div>
    <w:div w:id="717170789">
      <w:bodyDiv w:val="1"/>
      <w:marLeft w:val="0"/>
      <w:marRight w:val="0"/>
      <w:marTop w:val="0"/>
      <w:marBottom w:val="0"/>
      <w:divBdr>
        <w:top w:val="none" w:sz="0" w:space="0" w:color="auto"/>
        <w:left w:val="none" w:sz="0" w:space="0" w:color="auto"/>
        <w:bottom w:val="none" w:sz="0" w:space="0" w:color="auto"/>
        <w:right w:val="none" w:sz="0" w:space="0" w:color="auto"/>
      </w:divBdr>
    </w:div>
    <w:div w:id="733620099">
      <w:bodyDiv w:val="1"/>
      <w:marLeft w:val="0"/>
      <w:marRight w:val="0"/>
      <w:marTop w:val="0"/>
      <w:marBottom w:val="0"/>
      <w:divBdr>
        <w:top w:val="none" w:sz="0" w:space="0" w:color="auto"/>
        <w:left w:val="none" w:sz="0" w:space="0" w:color="auto"/>
        <w:bottom w:val="none" w:sz="0" w:space="0" w:color="auto"/>
        <w:right w:val="none" w:sz="0" w:space="0" w:color="auto"/>
      </w:divBdr>
    </w:div>
    <w:div w:id="781075859">
      <w:bodyDiv w:val="1"/>
      <w:marLeft w:val="0"/>
      <w:marRight w:val="0"/>
      <w:marTop w:val="0"/>
      <w:marBottom w:val="0"/>
      <w:divBdr>
        <w:top w:val="none" w:sz="0" w:space="0" w:color="auto"/>
        <w:left w:val="none" w:sz="0" w:space="0" w:color="auto"/>
        <w:bottom w:val="none" w:sz="0" w:space="0" w:color="auto"/>
        <w:right w:val="none" w:sz="0" w:space="0" w:color="auto"/>
      </w:divBdr>
    </w:div>
    <w:div w:id="784691787">
      <w:bodyDiv w:val="1"/>
      <w:marLeft w:val="0"/>
      <w:marRight w:val="0"/>
      <w:marTop w:val="0"/>
      <w:marBottom w:val="0"/>
      <w:divBdr>
        <w:top w:val="none" w:sz="0" w:space="0" w:color="auto"/>
        <w:left w:val="none" w:sz="0" w:space="0" w:color="auto"/>
        <w:bottom w:val="none" w:sz="0" w:space="0" w:color="auto"/>
        <w:right w:val="none" w:sz="0" w:space="0" w:color="auto"/>
      </w:divBdr>
    </w:div>
    <w:div w:id="785076144">
      <w:bodyDiv w:val="1"/>
      <w:marLeft w:val="0"/>
      <w:marRight w:val="0"/>
      <w:marTop w:val="0"/>
      <w:marBottom w:val="0"/>
      <w:divBdr>
        <w:top w:val="none" w:sz="0" w:space="0" w:color="auto"/>
        <w:left w:val="none" w:sz="0" w:space="0" w:color="auto"/>
        <w:bottom w:val="none" w:sz="0" w:space="0" w:color="auto"/>
        <w:right w:val="none" w:sz="0" w:space="0" w:color="auto"/>
      </w:divBdr>
    </w:div>
    <w:div w:id="787242573">
      <w:bodyDiv w:val="1"/>
      <w:marLeft w:val="0"/>
      <w:marRight w:val="0"/>
      <w:marTop w:val="0"/>
      <w:marBottom w:val="0"/>
      <w:divBdr>
        <w:top w:val="none" w:sz="0" w:space="0" w:color="auto"/>
        <w:left w:val="none" w:sz="0" w:space="0" w:color="auto"/>
        <w:bottom w:val="none" w:sz="0" w:space="0" w:color="auto"/>
        <w:right w:val="none" w:sz="0" w:space="0" w:color="auto"/>
      </w:divBdr>
    </w:div>
    <w:div w:id="797987958">
      <w:bodyDiv w:val="1"/>
      <w:marLeft w:val="0"/>
      <w:marRight w:val="0"/>
      <w:marTop w:val="0"/>
      <w:marBottom w:val="0"/>
      <w:divBdr>
        <w:top w:val="none" w:sz="0" w:space="0" w:color="auto"/>
        <w:left w:val="none" w:sz="0" w:space="0" w:color="auto"/>
        <w:bottom w:val="none" w:sz="0" w:space="0" w:color="auto"/>
        <w:right w:val="none" w:sz="0" w:space="0" w:color="auto"/>
      </w:divBdr>
    </w:div>
    <w:div w:id="818620909">
      <w:bodyDiv w:val="1"/>
      <w:marLeft w:val="0"/>
      <w:marRight w:val="0"/>
      <w:marTop w:val="0"/>
      <w:marBottom w:val="0"/>
      <w:divBdr>
        <w:top w:val="none" w:sz="0" w:space="0" w:color="auto"/>
        <w:left w:val="none" w:sz="0" w:space="0" w:color="auto"/>
        <w:bottom w:val="none" w:sz="0" w:space="0" w:color="auto"/>
        <w:right w:val="none" w:sz="0" w:space="0" w:color="auto"/>
      </w:divBdr>
    </w:div>
    <w:div w:id="892077777">
      <w:bodyDiv w:val="1"/>
      <w:marLeft w:val="0"/>
      <w:marRight w:val="0"/>
      <w:marTop w:val="0"/>
      <w:marBottom w:val="0"/>
      <w:divBdr>
        <w:top w:val="none" w:sz="0" w:space="0" w:color="auto"/>
        <w:left w:val="none" w:sz="0" w:space="0" w:color="auto"/>
        <w:bottom w:val="none" w:sz="0" w:space="0" w:color="auto"/>
        <w:right w:val="none" w:sz="0" w:space="0" w:color="auto"/>
      </w:divBdr>
    </w:div>
    <w:div w:id="892545310">
      <w:bodyDiv w:val="1"/>
      <w:marLeft w:val="0"/>
      <w:marRight w:val="0"/>
      <w:marTop w:val="0"/>
      <w:marBottom w:val="0"/>
      <w:divBdr>
        <w:top w:val="none" w:sz="0" w:space="0" w:color="auto"/>
        <w:left w:val="none" w:sz="0" w:space="0" w:color="auto"/>
        <w:bottom w:val="none" w:sz="0" w:space="0" w:color="auto"/>
        <w:right w:val="none" w:sz="0" w:space="0" w:color="auto"/>
      </w:divBdr>
    </w:div>
    <w:div w:id="893929078">
      <w:bodyDiv w:val="1"/>
      <w:marLeft w:val="0"/>
      <w:marRight w:val="0"/>
      <w:marTop w:val="0"/>
      <w:marBottom w:val="0"/>
      <w:divBdr>
        <w:top w:val="none" w:sz="0" w:space="0" w:color="auto"/>
        <w:left w:val="none" w:sz="0" w:space="0" w:color="auto"/>
        <w:bottom w:val="none" w:sz="0" w:space="0" w:color="auto"/>
        <w:right w:val="none" w:sz="0" w:space="0" w:color="auto"/>
      </w:divBdr>
    </w:div>
    <w:div w:id="933198837">
      <w:bodyDiv w:val="1"/>
      <w:marLeft w:val="0"/>
      <w:marRight w:val="0"/>
      <w:marTop w:val="0"/>
      <w:marBottom w:val="0"/>
      <w:divBdr>
        <w:top w:val="none" w:sz="0" w:space="0" w:color="auto"/>
        <w:left w:val="none" w:sz="0" w:space="0" w:color="auto"/>
        <w:bottom w:val="none" w:sz="0" w:space="0" w:color="auto"/>
        <w:right w:val="none" w:sz="0" w:space="0" w:color="auto"/>
      </w:divBdr>
    </w:div>
    <w:div w:id="956912222">
      <w:bodyDiv w:val="1"/>
      <w:marLeft w:val="0"/>
      <w:marRight w:val="0"/>
      <w:marTop w:val="0"/>
      <w:marBottom w:val="0"/>
      <w:divBdr>
        <w:top w:val="none" w:sz="0" w:space="0" w:color="auto"/>
        <w:left w:val="none" w:sz="0" w:space="0" w:color="auto"/>
        <w:bottom w:val="none" w:sz="0" w:space="0" w:color="auto"/>
        <w:right w:val="none" w:sz="0" w:space="0" w:color="auto"/>
      </w:divBdr>
    </w:div>
    <w:div w:id="987591432">
      <w:bodyDiv w:val="1"/>
      <w:marLeft w:val="0"/>
      <w:marRight w:val="0"/>
      <w:marTop w:val="0"/>
      <w:marBottom w:val="0"/>
      <w:divBdr>
        <w:top w:val="none" w:sz="0" w:space="0" w:color="auto"/>
        <w:left w:val="none" w:sz="0" w:space="0" w:color="auto"/>
        <w:bottom w:val="none" w:sz="0" w:space="0" w:color="auto"/>
        <w:right w:val="none" w:sz="0" w:space="0" w:color="auto"/>
      </w:divBdr>
    </w:div>
    <w:div w:id="1028412061">
      <w:bodyDiv w:val="1"/>
      <w:marLeft w:val="0"/>
      <w:marRight w:val="0"/>
      <w:marTop w:val="0"/>
      <w:marBottom w:val="0"/>
      <w:divBdr>
        <w:top w:val="none" w:sz="0" w:space="0" w:color="auto"/>
        <w:left w:val="none" w:sz="0" w:space="0" w:color="auto"/>
        <w:bottom w:val="none" w:sz="0" w:space="0" w:color="auto"/>
        <w:right w:val="none" w:sz="0" w:space="0" w:color="auto"/>
      </w:divBdr>
    </w:div>
    <w:div w:id="1091662514">
      <w:bodyDiv w:val="1"/>
      <w:marLeft w:val="0"/>
      <w:marRight w:val="0"/>
      <w:marTop w:val="0"/>
      <w:marBottom w:val="0"/>
      <w:divBdr>
        <w:top w:val="none" w:sz="0" w:space="0" w:color="auto"/>
        <w:left w:val="none" w:sz="0" w:space="0" w:color="auto"/>
        <w:bottom w:val="none" w:sz="0" w:space="0" w:color="auto"/>
        <w:right w:val="none" w:sz="0" w:space="0" w:color="auto"/>
      </w:divBdr>
    </w:div>
    <w:div w:id="1173493483">
      <w:bodyDiv w:val="1"/>
      <w:marLeft w:val="0"/>
      <w:marRight w:val="0"/>
      <w:marTop w:val="0"/>
      <w:marBottom w:val="0"/>
      <w:divBdr>
        <w:top w:val="none" w:sz="0" w:space="0" w:color="auto"/>
        <w:left w:val="none" w:sz="0" w:space="0" w:color="auto"/>
        <w:bottom w:val="none" w:sz="0" w:space="0" w:color="auto"/>
        <w:right w:val="none" w:sz="0" w:space="0" w:color="auto"/>
      </w:divBdr>
    </w:div>
    <w:div w:id="1218127805">
      <w:bodyDiv w:val="1"/>
      <w:marLeft w:val="0"/>
      <w:marRight w:val="0"/>
      <w:marTop w:val="0"/>
      <w:marBottom w:val="0"/>
      <w:divBdr>
        <w:top w:val="none" w:sz="0" w:space="0" w:color="auto"/>
        <w:left w:val="none" w:sz="0" w:space="0" w:color="auto"/>
        <w:bottom w:val="none" w:sz="0" w:space="0" w:color="auto"/>
        <w:right w:val="none" w:sz="0" w:space="0" w:color="auto"/>
      </w:divBdr>
    </w:div>
    <w:div w:id="1237090202">
      <w:bodyDiv w:val="1"/>
      <w:marLeft w:val="0"/>
      <w:marRight w:val="0"/>
      <w:marTop w:val="0"/>
      <w:marBottom w:val="0"/>
      <w:divBdr>
        <w:top w:val="none" w:sz="0" w:space="0" w:color="auto"/>
        <w:left w:val="none" w:sz="0" w:space="0" w:color="auto"/>
        <w:bottom w:val="none" w:sz="0" w:space="0" w:color="auto"/>
        <w:right w:val="none" w:sz="0" w:space="0" w:color="auto"/>
      </w:divBdr>
    </w:div>
    <w:div w:id="1245722015">
      <w:bodyDiv w:val="1"/>
      <w:marLeft w:val="0"/>
      <w:marRight w:val="0"/>
      <w:marTop w:val="0"/>
      <w:marBottom w:val="0"/>
      <w:divBdr>
        <w:top w:val="none" w:sz="0" w:space="0" w:color="auto"/>
        <w:left w:val="none" w:sz="0" w:space="0" w:color="auto"/>
        <w:bottom w:val="none" w:sz="0" w:space="0" w:color="auto"/>
        <w:right w:val="none" w:sz="0" w:space="0" w:color="auto"/>
      </w:divBdr>
    </w:div>
    <w:div w:id="1255823737">
      <w:bodyDiv w:val="1"/>
      <w:marLeft w:val="0"/>
      <w:marRight w:val="0"/>
      <w:marTop w:val="0"/>
      <w:marBottom w:val="0"/>
      <w:divBdr>
        <w:top w:val="none" w:sz="0" w:space="0" w:color="auto"/>
        <w:left w:val="none" w:sz="0" w:space="0" w:color="auto"/>
        <w:bottom w:val="none" w:sz="0" w:space="0" w:color="auto"/>
        <w:right w:val="none" w:sz="0" w:space="0" w:color="auto"/>
      </w:divBdr>
    </w:div>
    <w:div w:id="1256668592">
      <w:bodyDiv w:val="1"/>
      <w:marLeft w:val="0"/>
      <w:marRight w:val="0"/>
      <w:marTop w:val="0"/>
      <w:marBottom w:val="0"/>
      <w:divBdr>
        <w:top w:val="none" w:sz="0" w:space="0" w:color="auto"/>
        <w:left w:val="none" w:sz="0" w:space="0" w:color="auto"/>
        <w:bottom w:val="none" w:sz="0" w:space="0" w:color="auto"/>
        <w:right w:val="none" w:sz="0" w:space="0" w:color="auto"/>
      </w:divBdr>
    </w:div>
    <w:div w:id="1290672529">
      <w:bodyDiv w:val="1"/>
      <w:marLeft w:val="0"/>
      <w:marRight w:val="0"/>
      <w:marTop w:val="0"/>
      <w:marBottom w:val="0"/>
      <w:divBdr>
        <w:top w:val="none" w:sz="0" w:space="0" w:color="auto"/>
        <w:left w:val="none" w:sz="0" w:space="0" w:color="auto"/>
        <w:bottom w:val="none" w:sz="0" w:space="0" w:color="auto"/>
        <w:right w:val="none" w:sz="0" w:space="0" w:color="auto"/>
      </w:divBdr>
    </w:div>
    <w:div w:id="1320571189">
      <w:bodyDiv w:val="1"/>
      <w:marLeft w:val="0"/>
      <w:marRight w:val="0"/>
      <w:marTop w:val="0"/>
      <w:marBottom w:val="0"/>
      <w:divBdr>
        <w:top w:val="none" w:sz="0" w:space="0" w:color="auto"/>
        <w:left w:val="none" w:sz="0" w:space="0" w:color="auto"/>
        <w:bottom w:val="none" w:sz="0" w:space="0" w:color="auto"/>
        <w:right w:val="none" w:sz="0" w:space="0" w:color="auto"/>
      </w:divBdr>
    </w:div>
    <w:div w:id="1331836287">
      <w:bodyDiv w:val="1"/>
      <w:marLeft w:val="0"/>
      <w:marRight w:val="0"/>
      <w:marTop w:val="0"/>
      <w:marBottom w:val="0"/>
      <w:divBdr>
        <w:top w:val="none" w:sz="0" w:space="0" w:color="auto"/>
        <w:left w:val="none" w:sz="0" w:space="0" w:color="auto"/>
        <w:bottom w:val="none" w:sz="0" w:space="0" w:color="auto"/>
        <w:right w:val="none" w:sz="0" w:space="0" w:color="auto"/>
      </w:divBdr>
    </w:div>
    <w:div w:id="1334458646">
      <w:bodyDiv w:val="1"/>
      <w:marLeft w:val="0"/>
      <w:marRight w:val="0"/>
      <w:marTop w:val="0"/>
      <w:marBottom w:val="0"/>
      <w:divBdr>
        <w:top w:val="none" w:sz="0" w:space="0" w:color="auto"/>
        <w:left w:val="none" w:sz="0" w:space="0" w:color="auto"/>
        <w:bottom w:val="none" w:sz="0" w:space="0" w:color="auto"/>
        <w:right w:val="none" w:sz="0" w:space="0" w:color="auto"/>
      </w:divBdr>
    </w:div>
    <w:div w:id="1337029080">
      <w:bodyDiv w:val="1"/>
      <w:marLeft w:val="0"/>
      <w:marRight w:val="0"/>
      <w:marTop w:val="0"/>
      <w:marBottom w:val="0"/>
      <w:divBdr>
        <w:top w:val="none" w:sz="0" w:space="0" w:color="auto"/>
        <w:left w:val="none" w:sz="0" w:space="0" w:color="auto"/>
        <w:bottom w:val="none" w:sz="0" w:space="0" w:color="auto"/>
        <w:right w:val="none" w:sz="0" w:space="0" w:color="auto"/>
      </w:divBdr>
    </w:div>
    <w:div w:id="1377392127">
      <w:bodyDiv w:val="1"/>
      <w:marLeft w:val="0"/>
      <w:marRight w:val="0"/>
      <w:marTop w:val="0"/>
      <w:marBottom w:val="0"/>
      <w:divBdr>
        <w:top w:val="none" w:sz="0" w:space="0" w:color="auto"/>
        <w:left w:val="none" w:sz="0" w:space="0" w:color="auto"/>
        <w:bottom w:val="none" w:sz="0" w:space="0" w:color="auto"/>
        <w:right w:val="none" w:sz="0" w:space="0" w:color="auto"/>
      </w:divBdr>
    </w:div>
    <w:div w:id="1460687282">
      <w:bodyDiv w:val="1"/>
      <w:marLeft w:val="0"/>
      <w:marRight w:val="0"/>
      <w:marTop w:val="0"/>
      <w:marBottom w:val="0"/>
      <w:divBdr>
        <w:top w:val="none" w:sz="0" w:space="0" w:color="auto"/>
        <w:left w:val="none" w:sz="0" w:space="0" w:color="auto"/>
        <w:bottom w:val="none" w:sz="0" w:space="0" w:color="auto"/>
        <w:right w:val="none" w:sz="0" w:space="0" w:color="auto"/>
      </w:divBdr>
    </w:div>
    <w:div w:id="1472483716">
      <w:bodyDiv w:val="1"/>
      <w:marLeft w:val="0"/>
      <w:marRight w:val="0"/>
      <w:marTop w:val="0"/>
      <w:marBottom w:val="0"/>
      <w:divBdr>
        <w:top w:val="none" w:sz="0" w:space="0" w:color="auto"/>
        <w:left w:val="none" w:sz="0" w:space="0" w:color="auto"/>
        <w:bottom w:val="none" w:sz="0" w:space="0" w:color="auto"/>
        <w:right w:val="none" w:sz="0" w:space="0" w:color="auto"/>
      </w:divBdr>
    </w:div>
    <w:div w:id="1524324307">
      <w:bodyDiv w:val="1"/>
      <w:marLeft w:val="0"/>
      <w:marRight w:val="0"/>
      <w:marTop w:val="0"/>
      <w:marBottom w:val="0"/>
      <w:divBdr>
        <w:top w:val="none" w:sz="0" w:space="0" w:color="auto"/>
        <w:left w:val="none" w:sz="0" w:space="0" w:color="auto"/>
        <w:bottom w:val="none" w:sz="0" w:space="0" w:color="auto"/>
        <w:right w:val="none" w:sz="0" w:space="0" w:color="auto"/>
      </w:divBdr>
    </w:div>
    <w:div w:id="1558324862">
      <w:bodyDiv w:val="1"/>
      <w:marLeft w:val="0"/>
      <w:marRight w:val="0"/>
      <w:marTop w:val="0"/>
      <w:marBottom w:val="0"/>
      <w:divBdr>
        <w:top w:val="none" w:sz="0" w:space="0" w:color="auto"/>
        <w:left w:val="none" w:sz="0" w:space="0" w:color="auto"/>
        <w:bottom w:val="none" w:sz="0" w:space="0" w:color="auto"/>
        <w:right w:val="none" w:sz="0" w:space="0" w:color="auto"/>
      </w:divBdr>
    </w:div>
    <w:div w:id="1616671934">
      <w:bodyDiv w:val="1"/>
      <w:marLeft w:val="0"/>
      <w:marRight w:val="0"/>
      <w:marTop w:val="0"/>
      <w:marBottom w:val="0"/>
      <w:divBdr>
        <w:top w:val="none" w:sz="0" w:space="0" w:color="auto"/>
        <w:left w:val="none" w:sz="0" w:space="0" w:color="auto"/>
        <w:bottom w:val="none" w:sz="0" w:space="0" w:color="auto"/>
        <w:right w:val="none" w:sz="0" w:space="0" w:color="auto"/>
      </w:divBdr>
    </w:div>
    <w:div w:id="1626548217">
      <w:bodyDiv w:val="1"/>
      <w:marLeft w:val="0"/>
      <w:marRight w:val="0"/>
      <w:marTop w:val="0"/>
      <w:marBottom w:val="0"/>
      <w:divBdr>
        <w:top w:val="none" w:sz="0" w:space="0" w:color="auto"/>
        <w:left w:val="none" w:sz="0" w:space="0" w:color="auto"/>
        <w:bottom w:val="none" w:sz="0" w:space="0" w:color="auto"/>
        <w:right w:val="none" w:sz="0" w:space="0" w:color="auto"/>
      </w:divBdr>
    </w:div>
    <w:div w:id="1665816238">
      <w:bodyDiv w:val="1"/>
      <w:marLeft w:val="0"/>
      <w:marRight w:val="0"/>
      <w:marTop w:val="0"/>
      <w:marBottom w:val="0"/>
      <w:divBdr>
        <w:top w:val="none" w:sz="0" w:space="0" w:color="auto"/>
        <w:left w:val="none" w:sz="0" w:space="0" w:color="auto"/>
        <w:bottom w:val="none" w:sz="0" w:space="0" w:color="auto"/>
        <w:right w:val="none" w:sz="0" w:space="0" w:color="auto"/>
      </w:divBdr>
      <w:divsChild>
        <w:div w:id="964501629">
          <w:marLeft w:val="0"/>
          <w:marRight w:val="0"/>
          <w:marTop w:val="0"/>
          <w:marBottom w:val="0"/>
          <w:divBdr>
            <w:top w:val="none" w:sz="0" w:space="0" w:color="auto"/>
            <w:left w:val="none" w:sz="0" w:space="0" w:color="auto"/>
            <w:bottom w:val="none" w:sz="0" w:space="0" w:color="auto"/>
            <w:right w:val="none" w:sz="0" w:space="0" w:color="auto"/>
          </w:divBdr>
        </w:div>
      </w:divsChild>
    </w:div>
    <w:div w:id="1680888311">
      <w:bodyDiv w:val="1"/>
      <w:marLeft w:val="0"/>
      <w:marRight w:val="0"/>
      <w:marTop w:val="0"/>
      <w:marBottom w:val="0"/>
      <w:divBdr>
        <w:top w:val="none" w:sz="0" w:space="0" w:color="auto"/>
        <w:left w:val="none" w:sz="0" w:space="0" w:color="auto"/>
        <w:bottom w:val="none" w:sz="0" w:space="0" w:color="auto"/>
        <w:right w:val="none" w:sz="0" w:space="0" w:color="auto"/>
      </w:divBdr>
      <w:divsChild>
        <w:div w:id="1995058719">
          <w:marLeft w:val="0"/>
          <w:marRight w:val="0"/>
          <w:marTop w:val="0"/>
          <w:marBottom w:val="0"/>
          <w:divBdr>
            <w:top w:val="none" w:sz="0" w:space="0" w:color="auto"/>
            <w:left w:val="none" w:sz="0" w:space="0" w:color="auto"/>
            <w:bottom w:val="none" w:sz="0" w:space="0" w:color="auto"/>
            <w:right w:val="none" w:sz="0" w:space="0" w:color="auto"/>
          </w:divBdr>
          <w:divsChild>
            <w:div w:id="634990705">
              <w:marLeft w:val="0"/>
              <w:marRight w:val="0"/>
              <w:marTop w:val="0"/>
              <w:marBottom w:val="0"/>
              <w:divBdr>
                <w:top w:val="none" w:sz="0" w:space="0" w:color="auto"/>
                <w:left w:val="none" w:sz="0" w:space="0" w:color="auto"/>
                <w:bottom w:val="none" w:sz="0" w:space="0" w:color="auto"/>
                <w:right w:val="none" w:sz="0" w:space="0" w:color="auto"/>
              </w:divBdr>
              <w:divsChild>
                <w:div w:id="77459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108272">
      <w:bodyDiv w:val="1"/>
      <w:marLeft w:val="0"/>
      <w:marRight w:val="0"/>
      <w:marTop w:val="0"/>
      <w:marBottom w:val="0"/>
      <w:divBdr>
        <w:top w:val="none" w:sz="0" w:space="0" w:color="auto"/>
        <w:left w:val="none" w:sz="0" w:space="0" w:color="auto"/>
        <w:bottom w:val="none" w:sz="0" w:space="0" w:color="auto"/>
        <w:right w:val="none" w:sz="0" w:space="0" w:color="auto"/>
      </w:divBdr>
    </w:div>
    <w:div w:id="1747804786">
      <w:bodyDiv w:val="1"/>
      <w:marLeft w:val="0"/>
      <w:marRight w:val="0"/>
      <w:marTop w:val="0"/>
      <w:marBottom w:val="0"/>
      <w:divBdr>
        <w:top w:val="none" w:sz="0" w:space="0" w:color="auto"/>
        <w:left w:val="none" w:sz="0" w:space="0" w:color="auto"/>
        <w:bottom w:val="none" w:sz="0" w:space="0" w:color="auto"/>
        <w:right w:val="none" w:sz="0" w:space="0" w:color="auto"/>
      </w:divBdr>
    </w:div>
    <w:div w:id="1828939699">
      <w:bodyDiv w:val="1"/>
      <w:marLeft w:val="0"/>
      <w:marRight w:val="0"/>
      <w:marTop w:val="0"/>
      <w:marBottom w:val="0"/>
      <w:divBdr>
        <w:top w:val="none" w:sz="0" w:space="0" w:color="auto"/>
        <w:left w:val="none" w:sz="0" w:space="0" w:color="auto"/>
        <w:bottom w:val="none" w:sz="0" w:space="0" w:color="auto"/>
        <w:right w:val="none" w:sz="0" w:space="0" w:color="auto"/>
      </w:divBdr>
    </w:div>
    <w:div w:id="1862431736">
      <w:bodyDiv w:val="1"/>
      <w:marLeft w:val="0"/>
      <w:marRight w:val="0"/>
      <w:marTop w:val="0"/>
      <w:marBottom w:val="0"/>
      <w:divBdr>
        <w:top w:val="none" w:sz="0" w:space="0" w:color="auto"/>
        <w:left w:val="none" w:sz="0" w:space="0" w:color="auto"/>
        <w:bottom w:val="none" w:sz="0" w:space="0" w:color="auto"/>
        <w:right w:val="none" w:sz="0" w:space="0" w:color="auto"/>
      </w:divBdr>
      <w:divsChild>
        <w:div w:id="1778745296">
          <w:marLeft w:val="0"/>
          <w:marRight w:val="0"/>
          <w:marTop w:val="0"/>
          <w:marBottom w:val="0"/>
          <w:divBdr>
            <w:top w:val="none" w:sz="0" w:space="0" w:color="auto"/>
            <w:left w:val="none" w:sz="0" w:space="0" w:color="auto"/>
            <w:bottom w:val="none" w:sz="0" w:space="0" w:color="auto"/>
            <w:right w:val="none" w:sz="0" w:space="0" w:color="auto"/>
          </w:divBdr>
          <w:divsChild>
            <w:div w:id="296034255">
              <w:marLeft w:val="0"/>
              <w:marRight w:val="0"/>
              <w:marTop w:val="0"/>
              <w:marBottom w:val="0"/>
              <w:divBdr>
                <w:top w:val="none" w:sz="0" w:space="0" w:color="auto"/>
                <w:left w:val="none" w:sz="0" w:space="0" w:color="auto"/>
                <w:bottom w:val="none" w:sz="0" w:space="0" w:color="auto"/>
                <w:right w:val="none" w:sz="0" w:space="0" w:color="auto"/>
              </w:divBdr>
              <w:divsChild>
                <w:div w:id="143879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290333">
      <w:bodyDiv w:val="1"/>
      <w:marLeft w:val="0"/>
      <w:marRight w:val="0"/>
      <w:marTop w:val="0"/>
      <w:marBottom w:val="0"/>
      <w:divBdr>
        <w:top w:val="none" w:sz="0" w:space="0" w:color="auto"/>
        <w:left w:val="none" w:sz="0" w:space="0" w:color="auto"/>
        <w:bottom w:val="none" w:sz="0" w:space="0" w:color="auto"/>
        <w:right w:val="none" w:sz="0" w:space="0" w:color="auto"/>
      </w:divBdr>
    </w:div>
    <w:div w:id="1924334464">
      <w:bodyDiv w:val="1"/>
      <w:marLeft w:val="0"/>
      <w:marRight w:val="0"/>
      <w:marTop w:val="0"/>
      <w:marBottom w:val="0"/>
      <w:divBdr>
        <w:top w:val="none" w:sz="0" w:space="0" w:color="auto"/>
        <w:left w:val="none" w:sz="0" w:space="0" w:color="auto"/>
        <w:bottom w:val="none" w:sz="0" w:space="0" w:color="auto"/>
        <w:right w:val="none" w:sz="0" w:space="0" w:color="auto"/>
      </w:divBdr>
    </w:div>
    <w:div w:id="2020158413">
      <w:bodyDiv w:val="1"/>
      <w:marLeft w:val="0"/>
      <w:marRight w:val="0"/>
      <w:marTop w:val="0"/>
      <w:marBottom w:val="0"/>
      <w:divBdr>
        <w:top w:val="none" w:sz="0" w:space="0" w:color="auto"/>
        <w:left w:val="none" w:sz="0" w:space="0" w:color="auto"/>
        <w:bottom w:val="none" w:sz="0" w:space="0" w:color="auto"/>
        <w:right w:val="none" w:sz="0" w:space="0" w:color="auto"/>
      </w:divBdr>
    </w:div>
    <w:div w:id="2039625184">
      <w:bodyDiv w:val="1"/>
      <w:marLeft w:val="0"/>
      <w:marRight w:val="0"/>
      <w:marTop w:val="0"/>
      <w:marBottom w:val="0"/>
      <w:divBdr>
        <w:top w:val="none" w:sz="0" w:space="0" w:color="auto"/>
        <w:left w:val="none" w:sz="0" w:space="0" w:color="auto"/>
        <w:bottom w:val="none" w:sz="0" w:space="0" w:color="auto"/>
        <w:right w:val="none" w:sz="0" w:space="0" w:color="auto"/>
      </w:divBdr>
    </w:div>
    <w:div w:id="2068794527">
      <w:bodyDiv w:val="1"/>
      <w:marLeft w:val="0"/>
      <w:marRight w:val="0"/>
      <w:marTop w:val="0"/>
      <w:marBottom w:val="0"/>
      <w:divBdr>
        <w:top w:val="none" w:sz="0" w:space="0" w:color="auto"/>
        <w:left w:val="none" w:sz="0" w:space="0" w:color="auto"/>
        <w:bottom w:val="none" w:sz="0" w:space="0" w:color="auto"/>
        <w:right w:val="none" w:sz="0" w:space="0" w:color="auto"/>
      </w:divBdr>
    </w:div>
    <w:div w:id="2076320747">
      <w:bodyDiv w:val="1"/>
      <w:marLeft w:val="0"/>
      <w:marRight w:val="0"/>
      <w:marTop w:val="0"/>
      <w:marBottom w:val="0"/>
      <w:divBdr>
        <w:top w:val="none" w:sz="0" w:space="0" w:color="auto"/>
        <w:left w:val="none" w:sz="0" w:space="0" w:color="auto"/>
        <w:bottom w:val="none" w:sz="0" w:space="0" w:color="auto"/>
        <w:right w:val="none" w:sz="0" w:space="0" w:color="auto"/>
      </w:divBdr>
    </w:div>
    <w:div w:id="2095928485">
      <w:bodyDiv w:val="1"/>
      <w:marLeft w:val="0"/>
      <w:marRight w:val="0"/>
      <w:marTop w:val="0"/>
      <w:marBottom w:val="0"/>
      <w:divBdr>
        <w:top w:val="none" w:sz="0" w:space="0" w:color="auto"/>
        <w:left w:val="none" w:sz="0" w:space="0" w:color="auto"/>
        <w:bottom w:val="none" w:sz="0" w:space="0" w:color="auto"/>
        <w:right w:val="none" w:sz="0" w:space="0" w:color="auto"/>
      </w:divBdr>
    </w:div>
    <w:div w:id="21138211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www.sciencedirect.com/topics/agricultural-and-biological-sciences/terrestrial-ecosystems" TargetMode="External"/><Relationship Id="rId26" Type="http://schemas.openxmlformats.org/officeDocument/2006/relationships/image" Target="media/image11.png"/><Relationship Id="rId39" Type="http://schemas.openxmlformats.org/officeDocument/2006/relationships/image" Target="media/image24.png"/><Relationship Id="rId21" Type="http://schemas.openxmlformats.org/officeDocument/2006/relationships/footer" Target="footer2.xml"/><Relationship Id="rId34" Type="http://schemas.openxmlformats.org/officeDocument/2006/relationships/image" Target="media/image19.jpeg"/><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sciencedirect.com/topics/agricultural-and-biological-sciences/glutamic-acid" TargetMode="External"/><Relationship Id="rId20" Type="http://schemas.openxmlformats.org/officeDocument/2006/relationships/footer" Target="footer1.xml"/><Relationship Id="rId29" Type="http://schemas.openxmlformats.org/officeDocument/2006/relationships/image" Target="media/image14.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9.png"/><Relationship Id="rId32" Type="http://schemas.openxmlformats.org/officeDocument/2006/relationships/image" Target="media/image17.jpeg"/><Relationship Id="rId37" Type="http://schemas.openxmlformats.org/officeDocument/2006/relationships/image" Target="media/image22.png"/><Relationship Id="rId40" Type="http://schemas.openxmlformats.org/officeDocument/2006/relationships/image" Target="media/image25.png"/><Relationship Id="rId5" Type="http://schemas.openxmlformats.org/officeDocument/2006/relationships/settings" Target="settings.xml"/><Relationship Id="rId15" Type="http://schemas.openxmlformats.org/officeDocument/2006/relationships/hyperlink" Target="https://www.sciencedirect.com/topics/earth-and-planetary-sciences/trophic-level" TargetMode="External"/><Relationship Id="rId23" Type="http://schemas.openxmlformats.org/officeDocument/2006/relationships/image" Target="media/image8.jpg"/><Relationship Id="rId28" Type="http://schemas.openxmlformats.org/officeDocument/2006/relationships/image" Target="media/image13.jpeg"/><Relationship Id="rId36" Type="http://schemas.openxmlformats.org/officeDocument/2006/relationships/image" Target="media/image21.png"/><Relationship Id="rId10" Type="http://schemas.openxmlformats.org/officeDocument/2006/relationships/image" Target="media/image2.png"/><Relationship Id="rId19" Type="http://schemas.openxmlformats.org/officeDocument/2006/relationships/hyperlink" Target="https://www.sciencedirect.com/topics/agricultural-and-biological-sciences/terrestrial-ecosystems" TargetMode="External"/><Relationship Id="rId31" Type="http://schemas.openxmlformats.org/officeDocument/2006/relationships/image" Target="media/image16.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hyperlink" Target="https://www.sciencedirect.com/topics/agricultural-and-biological-sciences/phenylalanine" TargetMode="External"/><Relationship Id="rId25" Type="http://schemas.openxmlformats.org/officeDocument/2006/relationships/image" Target="media/image10.png"/><Relationship Id="rId33" Type="http://schemas.openxmlformats.org/officeDocument/2006/relationships/image" Target="media/image18.jpeg"/><Relationship Id="rId38"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NzZzs40nZxyHNQYdE/sjagy+eg==">AMUW2mUkzhGsdmryuInuBFkCGbpljgcftVk4WzAe6YOpcsHjy1KFLg+uTFa+ewy41Bjd+aohLPV1bP5Jx3j8jfXuX7+qAUpZI70Ig+FU8mK2aF4feiXnxZXNUDvkdT8u35K9Irk8O+qLAZ9ylSAlsExENFHLrVVeGYiZLltJZXpiGkScuMMc24P4FA/naCsbZYlIDtSniCmGb+b1Sp2pr9C3H1w47NKKyeCpuZE/wvwULHHxl33NN3xvGPfsbd6K4Sn3K/+J5a3HA9TJfOF0XMNaaHKPTy1eUq7S9ANZKd9P45vmpAxuxGs8+DjRA1pOk7IokUGwG/3/BKrxr6ckIL6dvM4H8M7wUl18aIq82bM3QcpLK3+USjq3f0SX334+6+WefDV0x1Mw1o9mj5jV39LlIMkxTUZqXp1c5PWaODzXhdtnT1eBne3zyayzLw8GBCJ4FA+g/0H+I5BOwRodV7hV5d1t7EJwQMfGmgcVqymsySsph29TfFOwdXD1qAkpAiPpip96h7gOkAg1j+L7D9o8A03oulrFxp+C3fQUqiMGctgQAbpQX6AVZN0afobFDVmASzcxbglPxKmp25bOTSMAOOYjp0xcf+Nz7mlCW/PkIhPF4B3AwD0bdeslFY+ej43JJZeLuuWX+OoG/+W/d6WKMi7XcZx0dQK83c45rw9v6IIzft9sH9pN042P5H01O+Fek5rtw3udvYZENIZgfxWJc2NGxMXaTEZn2+JzP9Q903FEqa1Uz4NZ9O2tuIRXAPWdiOPEUsZqImJOtxlSP7Skd0WygIm5CMbXnoBrXFspov90i3RqvF5ba+LJql6X4rw6KC5h3qUBPCZUWhPzu1GfPsAUfBuTqIXkuS8j8LXdzQ+aDmCxCLrPym14G8nSKU9dymOO1F8+RClDnbYj+tzo+aVpwRSQX3L/J5pC+FVZdGpBggXNgrkU594XC+FQKQ6VzzQc9i66vjvdv/GwHYaIt9HzfCdgMrkwVFxvmKxMS/pUeg9uNZzpDnB0bLG9Im+CEelNkuGHhDxbg5MSWRHpsUUiVqNrIsJcE1jGQqJ/2YZktsbBEavtURW2jyBWNDBLu70Yr95Mmv626uHyv72VO89lBwVQitM0XHkiATqtfMieaaYK7NFo5MN89+FKHVed7ex4Dw8SRw4OmoLJ/r4IsUe7sOuOkXJVNLh/b1BjZae+i3CzNYdKG+8m7HvxS8ouTF3ivrbiOw0/wVRKc+WhuB/civKE86eYmuDEayn7Vq5EoLyD9Tql22mjqdw4qvdLzhCSL9X9Uy4FtFF1eNrvGAKIjDTzu6UfxxV++uHpzZDvMUwLlMxNpt7de6C39NoqJnDUgzYdIXQXPEmP1xm0kyLV71D8ZKRPPxB89/eZgaoxBUvg+FIcTt+tFGh40Huh5Ug7sfhlvY1ZOmHGK7o0FLOcFpcyVvOf1NP882LzFfkDeNPk/T/zxZNgLshh2mx9WN6E3KRhHaAk9h8GN59lZ31PknLjjK7/1OgqjS0XqVTTzleZ5xgdX+Q8XuFvhRGCYRv3ddEEPAyEKRvpQkm818Ur2zN3ITRmLL5K2NZXOvIsHmaI0RiSqFUgKQgBwD0BE5Q6Oy+fg40BGZwuoMHINgoTHgteIyNDLmlbkGvxvIrr5cpV9y7dhDEgtZkAz0QV8he1CuInPyHM7qYyDzGQ6sjt+9OFL7lli4C0tnoGXJQYR1V11N1EMUDAsD6zFCUSC8LrN1q/0jYd9FfVMz8+RGrWY7YetMXayZJw35u1m/n2ftJEhZZL/Ouc5bCdR//RZLsAl5LZjSeFLRe2HLN6v7P67maQMY92I5+3wE3j+lD+QX59Dw+aEZPcarFUMwVbkv7RpZdrSZR/fZ1paBrV4a7QYrmL34wpRIcW3gqYE8qCBo2RDU3rG1HhyV9Y60YpynAFQ/WHU2SKsKPWoJyg1E3vzPUsjWwRmECntdKfquT3/o+Lls5Da8ESzC33avv9c2GNGhxOsqL0lzZ378rjma0lSShkzAeFnK/tkthrygs9I3YF5Du+O7zKXQJ24gonyuI/JMgz6Bfqy7SpuOXAz1XtkkZ8oDuo9UIGDzOoDATx98uE0C/+Bjq7I5PmnDVr11SXK9GUN3YQOvb2Xq1ICAV+bp/tm4tA7Gj+52MRRQump/9tKI+scMrNRTD/jWuFf+74kF7U3X7YAsncDzS/iUpnM7BOxSIj6EE+/dxy5HJT9Gcuk+Fh6tAUXaBykvekgpOxBdusQPFPCpBFS0H0CbmbWUdSGJgaT5AtuP9lwleUOepKZalm9cMUIgz3BFq4YswwuJ8vXONHnQpvj0dEl3Z8kNoLxD9qQ6HFZhATRpQzTIREcVMvEqzz186U3dZdE9Yzvqw5EjjdvTXbNpIUIMfNo0HWn7PVzKqB2rsnZ+RdzBKlGI/jAUwYCkAS5gRDsD+e7DPINkdKg08Pk7bvwh3cabK6FI6upPsk38e70zmI4qHZsTLFWbSGP7HNPOuWZHwCpTH0f5WkaHwpO5CgexKUeaDjP8Vo4W2/1C76ESlLKUP8MvMjMf8LQxb8Y3Zj+i4GNAj7K/kLS/chClAdh09d13uE0O59H1yP3mOFRK0t6DjrPFSzdpL+jFArbgEf13hryc8AWMFoXMFpNCLIlNyaSKRTCTir8BBVb+IHWCAUwWb6sTqVrLGM+IdtBr3b8vphrjyslz32Flu19qAc3X456CIP7R3Ngyuh4tC3Rzs6xLEDQnyWljvxdb1ExSr/79LFjv827VGlS+azUBf1rE+5BFW2rP5VJWIj4iTdM0/nR8rZzN0F0O7Fw1M25oHGB68WiovR6Ibdc7cHfW0iC7quucBeiT+CGhzoqYSTDRZh5M0h9BTdQgzGllJlYqaA5BiITH4gi7MsRedLFTUAf2F7p9x2ldCuZpaXqJXWJTZiicMrJ1gGe2h+VYzI7zCoW5ZPFqf4Bjeu+aRJ/Muf0g9Js5kT3o1htpoPYEFjEcIgq4+fdULrj19fY5reaJegmE78ZmLOQWHe/pr+YRvfBeo2xB+eAvGq/uNoprGKQ6nmuaNvGvPQprwoSMAZkcCzQIqtWHajfs4qgS25kTWy0wOJdM73aAeE1wLDAgXgGIj6HvQkog0Y5IiaUABlZTykgJ1C0Ob6pSCED6p+qY2oOYzGkNihQc+AGQhEzwUwtsj2WeSsOH8kzp1xtiuU7qdl5wHjv7Fsthaar4bz1X2vRX7kE2TPYQh3eJ6oagc3XIiA53EFOH+08c2Lpfuh0ylw5HLm8kbrHnQIB8SwDrzYp3vBgF/s+qHKaEEZOFr2I8BR7lUCe4Dcwa+m5T1Ra5ZO/AllK6G79w/R0BoBkwo2oV+M2zSX5U8gYyS9UOG3QFSEHTAWWzthV/x5PG2i0wr70Sh59lzfRjYgWe7jc5EIy0rrLwMurOURqw/FdfDHlV2XlKrMjdlMHc6/6SH0uzFcmNeSiWfV5k/AywbyGMqduNbreEPXShzFAzk4W6pnIPo+vT1X7xLGQZT7Uw1/jdYVGAihV8ruiwetAyx16Pbf/x65Pi1tlz8lG2I3Xq+dn6DLb5dcpbK5bJ6IeaE/umBw4VJgku54eruoiDWCCD2qpB+NxbgVXKRkP5pQ8uIYI+uupZTlyLt9oVtYK/f3/xjeeipMDy6xEiBt8UrluWZWNsdZrRFM3HFxkTdaGUUQ2bBNA28cE5JaIDc/qTYuPzt3r/rwI8aZemqcUOmclO1wfCW5xYcq7J2rWk8LfifmzHLzrW8nz1PMJ80dx/20D3DCT6WCcBMF2pXxpTMlm3cZ6bKxRoyKcy15LF4FnbZ8ZJny/rRrMvh4mIhBrGdFn1krxzkYoLKHd656CwGE2NKL2yeuM6USNt3M0jqpExl5uyXnHjz/Ugmob/P/MtRRnu3CuzlPWqdrN/KOB867oCaRm1bc8979HsIZqamElvKHPqdB7kuHvL+TaWsI+eRULcILRUVWC+fkMx3K92z+2KYR4i51yZyQO/dlvp8b/4WkIo2dX1XV/iWZE4M834oRGt+qtWhpB+eoXNZnzHpRHkQWgkrYi3iEfeqrIKw3b/z+/2hM9bbmBF3mjvdlzhdttyo+0z0juiH3tRZP57/1bhJdAckCuJoVUnOh6SXqiGzxHwCFqEOarXH7qA/7oFaUQeSUNJNGGe45BUnZQBdWZIsI/VNhxfaOFvVLEX212LJIWCBIKns/NJFNpcAfeCc7I/t/XKVm/FaxO3dVjEv3EjYZrkm2cqY3hXiMC6hY1Eo9X7pWOQwAg06YopotdyeCYZjiln8A2RB69l5sfds1LBl53RSQ3GX/ILrRAdH63CXttiqvuTForHTTpVeRc1SrFF2KvMr/PCHNL6KWeFZkz3K2z9lUhyJdEZs5f8Yo0wIQc4VEvPqVMbW7qySyIhmxNou0F8cwEiMYiL0IpGfn3VvG4be0hB0sjXJ5wMzDGIJUvDUiwl2+A/T57OHBoG8qiQucVWCj4Kyv5LaJaGj1fbXlRnIg8GJqZ3ocg6cRqkHgIxMGzFE/fYjKo6dBmKXMe1qQ7oMHKC47AznXrk0aMHoWCp6MyE3OzXnHTR4hG/1ZgtlssvPO3T2/Zo7cUNdWjrkRoPb5OMCWColgiyZZFuiPlUHoTLYQd6Q2Ot98KOESTGUQszPm9LmWI9OD3+SSb7xxklrpuhMyI9EvvXuT1BAZuc+O151XiK4HMX8EbvOJAeaebJ7XgJJajoKJiNG5X8Pz4jscznwIi//y22widp+jRsCrJyk9QfNC2zbbiq2mcHQyTyvSmNFhz3Z97H2MVe6M5321pc6wKlY9p78yB231BiBgg8teic3jp53XJOcHjN6yT71ZO667cFSaouGI1n1y4PMwmtF9HP4xrOB5etUwvs2C0yG9QW/N6Qz6OaC33+hKSmstXxMhuOLsL2OfKmHeYA1gDxAMqpq/1JqIrB2LKFarzSkSetijaKV1VCd5wK186WK584vHEM0+YfwALdEsbrAVY95HeBl4tRcg+ko5zIGvyAZY/RqY3Qhm0i1V67+JZoTEsHrNGnDk3dRP3lCSAj2LuUcLspefxCCDxhWbqhIhZzZNjRABfRrwL3GG6GqKrf4+DuWhk0Yi2AXeYtfv6Vt5Oi+De5Yv8U6j7NuzZuf74g820ctt6lZipSxmuSAhcHyxNxMnDq41mvmcJMK0gWptbVD0xTGUAqiZPt9Ja9XqlDz00bR+k/jDq9ET7uNt5euZt1UFC0xUTny50oKwdC4LPOOQ3IxlR6yZU7akgkHjZqFn1NuvdG7vG9j/fou4QAXFpeMrR0mk9D5pFOWMuczJEBUli79fW8P7NtxEEadk5R6IWU7eAKkwgL4wKTZe8FNnUm4849MAlhWxM4iFgFnuQc35tqKUtIK9Cf/3uFjXmeWCFI8Rrgan+CTEjTBYG5l6PEzQa2lFirIk+eGrSwOUVjXH98nQmv79sFk9HCyIx9CVphKze9GFy8taJbGBzLB4vlZy8OLX30yx9BV9m0tBaI5g0P5aZEqDORc+L645czODndyKQt6MylugrWf439vJnJqNmA02VY29CNKIHIUlI2y38wCBNeFNoDX+yv+cIQ0gvkalVBtAgtYrlhqEZp2eRHVrXyjop8EzEmrNRlCXWfq7Cul/6gd9rXr9IDigCPiq5YQJ/C/dVIl8DWpbu/Fcn4OkOtEmU2JOomHGwXSrFbyytzWo/+21A2zO5uRjLZRcGsEtKrLhHYvmpfWzljzn+LZHDS/1mFOJir4zpmOQdKOw2FcCUbJE1XkboiwBmnvi6aDnfGAsApmtgL9BDXT21wgsTINQmNy7YERehRGhFzZ3wMDyvQGUxx6lU/+zuOZAO6H4sJb0gre3WicnsCub4+a4LdNxCIEneLnh7GcfkEi6nrPZ+NuWvgOc0h349QM4rYEO9JgwkAMqLCM/yaiIl93rBJL8d12Air4ib/FZwuiBNFFppraCoCewaeXWw3QADDh/oTyGJV5xHeCyCFUdWSJHkLnt3DsYr18UPA2bdXLdc6qDd/OlFSpvELPB3MO7yt2BSz7/rzxGbDr1ovLNzucUY4HVvofdv6TbHeBJyYy/vuGj5v0tWfjMK+DqhIvX2CLhj2Y64FVxUp0DD2bvqI+Ls9X9XBvonqeJRlPDp3zgHOfj6zFPU/semBcHQBQiSVXQc/t8bzJobTjGzHfWaLsZYYf1kcKp6Aikl0nxOl9r8g9H5KOj+w52ZQPA0dKGKUI3FhCzykSsEfu0sqvBwtJcGjwSIPZB9ogT4miOFEyjsu3a5Mxp9/LPQYUWfVETmc4ndp/dDDQkFCkU+leJWvh2a71sC8tAUzUhbY0LOFZzerWRH0ddywAbvxV0sTM8GdVq24x/b7XJM1rBv5QHE+44FbL8nBrrUoYU7gyT3ShAJhnNxXQLPeB33q/s3NvOPTetyMvEPK6+4YIqF6KtSNKfzoxPHcp7b41rPqg7sdwn6CxayzwwyNGv97Ytm6jXu59zqSdXPzc9woSmJYGxYXyjk9jNDi5FWppNTNN74JFWec4cpzTh3IhzKC58nujuvT/13m6PPtWXVge24B43zJfq6PnIyX0CheJpa9MA/0lt415qBRnh+N1+khPNK31STLSqO7qc2O/cpcTWaQ1wwvb6RFjOfqb+5McDAqUaHDqDXS1H2m23F23gBPpDuKmyLMY303k6KNXUl1p1DqKiXCGQnoF6l2a701wubJdShkE6B+29v9xqpZMaGEkfKfDPE2t8JPsWvnQAD9dxavM6WaZZqSnQ3iE7p3c5zbrZEOwmefYR4FlUG0z0cGxyaIO3NXAVmhvbBPNZfG/7HxYsxvV3V/jsN31BNHr8QiuERYVVX96rfqMW1XhtyzF73QUrbBPSoCbYgizI+1TSOkB1i8t5Am3CWKp6ybNHTnSLjl+v8+NBM349B1shxNFsTzIY/fhXTFFPIcYnS+aXdj7TC1lW6rsuLQX+4bE7O8BusPykMZisMHwheNLd0QNCG627i8gdgEKq4HwtMhN687VB4IpE9LLCZaMLBLCweU0GEF/vBVL2ZGyMhGUcg3jNTGl0wsQQwiH3Vl5+FzBVGdRY6M9YK5X/XO8mS8EpuFSwDQpfPs2cqWD0//lGpBfWS1FOibZ2/3I36p0gEJtfp5LOziQQVtTmmMPDALwWA8u1AbXzivMPZOx851yDuEu23/vZ46TL1ioSD2rqyFM6VTu+fJCL/WdjzHWJQjSmAKpsTkQIH9bosrNsH3fI9VpXR/VeOj/5EzDjJDyLlzz7pAVtwH35qZdi+1pFGGb2TwvkkhI6DQY7l801MbiqpoolrMCFBz1cOaX/f1Wa3ihh+99Rs+QPnXNdJO+d+MgUtYdk09n2ImwqyU2/rWqltiAoh9pgHbYUamJx2Y2X/iHPl7PzRuvDxujVHuHIfAKrIYxNIinyPPe6T/UniTpXpfL34aviCArToXohvZ8pgcijIG+9+b2ETppf9aoa64Y1yq3no2pqdUYARz7Iw4o4yxzJn1GqPrrd4tcLZO+B5DMnpvuK9rX/s3hMPimQeJce9tqRHil4WN40FZjGDxgdfHttsEgjutFIXWwq6dIprXfY6AEgZAUhPSC97WsLc+SKBxtS/apFGXmmci5iSb1YrqGZaJEUpOfnDOHOhU9XnQqFnhid9OvHyBl2eEOsCcncY68kb1vpj7+loUVjpeY9U96mzLxMuDcPrt78XOs/6nQyskPfinL/uE409apnbi4j3b3+YCpcJHC6t5NnEEZJM+94G4BXLmoyL3vjc5cvTDp0Xeof/b+rR7PIrmaR84KHJKTJ1jDs20qJxDT8rjNSQ9o+RPea2VzMRTTHpE0PY3vS/PqzBtPIdnOmHdX9z2n5F9YZjJFGTI1ikDMMOJGsIVm4zXB8yGqA5eEO4BXMXEFyqmYQ2aHbxW6RzkbZIAdAhrefl4VTNniDSrNT6H4pnW326Sk883WikH7j6GfvbeCoTc5b9lQE7EJeKQnPkHvHfZkwFMP7l975l7CMLVIqaLL9lUW+yXOXGiaAXhzH9lga15yr4vDs+JhcWGIIvq+idMwVnlxePBTZ+zLV2yFagXk4OnGdzhd8ts0CCULF1tcSpQ0XBKF16DejVH520AeNzO6ezCUp1LxlBCuzfypvCWk5u0rVjOUZgpV2OxT46g/3gvwSBVVPgP3rfzAdWd5uSXziKE6++IWKxZkrB8zShRF61SaTFpwMFTK46onbMpWvS+7WJB/q9LYpLVbwa4fzIp2BLiJsH3ftHKwjU6A7zKCQVIkOHFERSNxOh3KzaRsX/ncxOSZByeRselfHm/8MZu7U3CxfPFaQonN/9HxdERBhG7V+PXDkauR7nzp6A3s1ed7/fOUkENdo+TZjn4ly6DIy5AZvuLDLBSJmmOwQ25jWy3Zba+ZouW+fNRmXY7SVxo9Btopusy7ZjvAfoZ0XNUffPr0JDb6Eis1c2PLQAoY0SNQRddj4+A6vEj7yWQFtFw5haenc07Plv0uyyFsBTHjGc4DDm7f8fzZ6WNDobilfjlx0GsBF1JUTHNP+amgLBbgq5SWwekCEP+kaqC8cW01OPRLDeSdFndYvg0Kh4L3e+5JsfVE3k5u7qir1qvaKyCqfXT559q5cRpKF+XmcI9t7zeW+RsUrcT7ENONym3So5222ubN8vZboQPchJKLYWfsEJvLp4fRLpak1KzfhELpzxTb7BcoBGHGLfKhyUa3ernstl0gkdjm1D85WJLG2B8RXLYnzg+QUwp2C1P+Jf8+hfmhwbFUS0saWEExZ7RUqvakacoYJh5aH0PG4Y9KWIUQ/dO7ghVCuuNvrEOIyYK6GVSRiB2ZdzShBSeEarH26D5ERwX+a6tZFKfeaJMUQKnwmkIP/kKJOMnLFJWTwoG0Wza9WHMhENsKs9alwXr8eRh4G3MsPZNE1/ESAuBNYVKS9lXJEP3UYAMOuqLBMOAGTVy9PK3Ge8nwRown4l/FpTuGdp9DE2rCQZLAqwkLJPho+fepXdLnMmD4nqwmxauUo2QIfX6tQQIUbS3KvQV6buvHjHkOtbjs8LuXqNlTE3ZOj+N32gEpqqNMs+ByiTMyHnLqokJ2NTnql4/sKG8ovsG6vyfRsQHPDeK08EwlszF4oNvUkgd53ESvp1/Ijh9K6bQ00Bpw5C64uyQiKSV4cbHUyZV0kRLPEt/K/1kAGZTycDe5VY/SlBSvgJGdtEe3fxcS8z1Yc4qaVTIoUWdaOM7Ro5VhtjL4X7kMlQZyy7J8b4y+qpf3dkv0Yv3iKABoh/ZkS6gnMFC4gHaz3oljOqKNH82GrmhHFf2m95a8ZMcwb2wyACHkd+UZKjmP6phagKjdLfmRh9mlDCXU3sDCV4o6COBAyicmKFx/xG2iZInEq/2fMwoFT4O7RPEYfcx3JHs8DKINpzXAkv8e0kZL6WkRnjskwcj5Jg4hUf8n+nmuQ14eIiyJ278z7eFehnhmx5lh1V0igoOv/sVH3jpQPseko+0R1uALI9Pqk8UtvOFBJHdnQctLr+TMAKdJVRRD/fI64eaixZzKwfhdtmi9B/hIGaIAetOAF/fgsvwHYJl5/YOWRpwQRNDTRTwXT9EhSNVRc/egeynT91inJz7tfuEHRJE4LDdum0yECX8ovSRWvLKQ16LMLZYAM30xEqotQpLD2wvkc9iUwkqm7KaMOoW9o7Z1Hpa2F+4qcuy2D4nBIjF2KIE3FrEz/ztLWPOYNfV6SxsPF0mtwYP34Ql/XpG8DbeNWGMYH3UVmrH3UqvT13IA4m354OQDVKYldBdhxZN5F3o3eY3ei3F0D9mjxSRMOtWU4ixufj54AHutQfcdsMYhinfAMovBnP8w59AYObWVPLBYDaaXHwBRgyG5qssqzIZD8t8z+Lxf/F1gW5rqZrkCy7uzXbrpZcHg5e+6x7sY53cOzomq+KwivUzD1RxcWGktyQvuZWv18y49mMvUnEioYbmSEZzdYvojr36TXAwrq3ELyh2xBlbI23uF5lux4lZ4NUH2QOtGko7B0SM6cc0RZEHFNwrU3VztrBehr24tZgC2Fc5V2x7ptBRtQhqETCYy6JJ/FwQ8zS2wWendtLJFCNJ0ApE2fOj1fQmwb1SYytjLsNZvzGz+tWJ0zhOannanMsbueEUWUn1qRFPY0Z+LVNHg1QyTzdbTW7JGu55LmU5La3B9lChH4iS9BnLgMGTDAd1+uqYPsV9XXzVPbmHpX8BU4H17ogkbrYtuF9t9i00EaohnxOvZpugFHuTp8PbseL/uGSpMbzXdOncBhYpH0/wkAyixXxnga+IRvBLPVt1pt6it9Q99ISL8esPW4/AWfBcUVnt9ZH/R0XpyL4VR14x1MUFa/iLMpdshJz+MynjRE/fRxaV/4jqa+EPqSHcOMaD6ePQ4yoqSBL68mkJDvjO2XXy+fpv1MlNmOivgcLOR6xZIrLYERZutiZuXk04mxMP/VW+hMKD8XVxsqAGwcgBI/rq5vyig3bCEKFgSisCUX89Z8xnVj2k3sU1VIb3qileCymA25IS6E3TFusydz4YebUvcwnDfbILZqFp6rdlNmWX5drmrAuoJyMOYIFWLpKtL60r1XQ2bo1SjXH/5LrMBE0f/O74MGsS2WfJW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349EAEE-A5C7-4D1D-B623-89FA156DD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81421</Words>
  <Characters>464104</Characters>
  <Application>Microsoft Office Word</Application>
  <DocSecurity>0</DocSecurity>
  <Lines>3867</Lines>
  <Paragraphs>1088</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544437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Zineb Moubtahij</dc:creator>
  <cp:lastModifiedBy>pret</cp:lastModifiedBy>
  <cp:revision>19</cp:revision>
  <cp:lastPrinted>2023-05-10T09:40:00Z</cp:lastPrinted>
  <dcterms:created xsi:type="dcterms:W3CDTF">2023-06-07T13:19:00Z</dcterms:created>
  <dcterms:modified xsi:type="dcterms:W3CDTF">2023-06-09T13:50:00Z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id="DG7NGJWh"/&gt;&lt;style id="http://www.zotero.org/styles/nature" hasBibliography="1" bibliographyStyleHasBeenSet="1"/&gt;&lt;prefs&gt;&lt;pref name="fieldType" value="Field"/&gt;&lt;pref name="delayCitationUpdates" valu</vt:lpwstr>
  </property>
  <property fmtid="{D5CDD505-2E9C-101B-9397-08002B2CF9AE}" pid="3" name="GrammarlyDocumentId">
    <vt:lpwstr>72776c9f0ff420f3d1ba29999f82378d1f231e437dc2e08482a439a550dfe701</vt:lpwstr>
  </property>
  <property fmtid="{D5CDD505-2E9C-101B-9397-08002B2CF9AE}" pid="4" name="ZOTERO_PREF_2">
    <vt:lpwstr>e="true"/&gt;&lt;pref name="dontAskDelayCitationUpdates" value="true"/&gt;&lt;/prefs&gt;&lt;/data&gt;</vt:lpwstr>
  </property>
</Properties>
</file>