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Supplementary figure</w:t>
      </w:r>
    </w:p>
    <w:p>
      <w:pPr>
        <w:rPr>
          <w:rFonts w:ascii="Times New Roman" w:hAnsi="Times New Roman" w:cs="Times New Roman"/>
          <w:sz w:val="24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5271135" cy="4091940"/>
            <wp:effectExtent l="0" t="0" r="1905" b="7620"/>
            <wp:docPr id="1" name="图片 1" descr="附图1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附图1_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091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default" w:ascii="Times New Roman" w:hAnsi="Times New Roman" w:cs="Times New Roman" w:eastAsiaTheme="minorEastAsia"/>
          <w:b w:val="0"/>
          <w:bCs w:val="0"/>
          <w:sz w:val="24"/>
          <w:lang w:val="en-US" w:eastAsia="zh-CN"/>
        </w:rPr>
      </w:pPr>
      <w:r>
        <w:rPr>
          <w:rFonts w:ascii="Times New Roman" w:hAnsi="Times New Roman" w:cs="Times New Roman"/>
          <w:b/>
          <w:bCs/>
          <w:sz w:val="24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1</w:t>
      </w:r>
      <w:r>
        <w:rPr>
          <w:rFonts w:ascii="Times New Roman" w:hAnsi="Times New Roman" w:cs="Times New Roman"/>
          <w:b/>
          <w:bCs/>
          <w:sz w:val="24"/>
        </w:rPr>
        <w:t xml:space="preserve">. Construction of interaction-perturbation </w:t>
      </w:r>
      <w:r>
        <w:rPr>
          <w:rFonts w:hint="eastAsia" w:ascii="Times New Roman" w:hAnsi="Times New Roman" w:cs="Times New Roman"/>
          <w:b/>
          <w:bCs/>
          <w:sz w:val="24"/>
        </w:rPr>
        <w:t>interaction-perturbation in the cell death interplay network</w:t>
      </w:r>
      <w:r>
        <w:rPr>
          <w:rFonts w:ascii="Times New Roman" w:hAnsi="Times New Roman" w:cs="Times New Roman"/>
          <w:b/>
          <w:bCs/>
          <w:sz w:val="24"/>
        </w:rPr>
        <w:t>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A. </w:t>
      </w:r>
      <w:r>
        <w:rPr>
          <w:rFonts w:ascii="Times New Roman" w:hAnsi="Times New Roman" w:cs="Times New Roman"/>
          <w:sz w:val="24"/>
        </w:rPr>
        <w:t xml:space="preserve">As the number of interactions increased, the density decreased significantly, presenting a power distribution </w:t>
      </w:r>
      <w:r>
        <w:rPr>
          <w:rFonts w:hint="eastAsia" w:ascii="Times New Roman" w:hAnsi="Times New Roman" w:cs="Times New Roman"/>
          <w:sz w:val="24"/>
        </w:rPr>
        <w:t xml:space="preserve">in </w:t>
      </w:r>
      <w:r>
        <w:rPr>
          <w:rFonts w:ascii="Times New Roman" w:hAnsi="Times New Roman" w:cs="Times New Roman"/>
          <w:sz w:val="24"/>
        </w:rPr>
        <w:t xml:space="preserve">the background networks. </w:t>
      </w:r>
      <w:r>
        <w:rPr>
          <w:rFonts w:ascii="Times New Roman" w:hAnsi="Times New Roman" w:cs="Times New Roman"/>
          <w:i/>
          <w:iCs/>
          <w:sz w:val="24"/>
        </w:rPr>
        <w:t>R</w:t>
      </w:r>
      <w:r>
        <w:rPr>
          <w:rFonts w:ascii="Times New Roman" w:hAnsi="Times New Roman" w:cs="Times New Roman"/>
          <w:sz w:val="24"/>
        </w:rPr>
        <w:t xml:space="preserve"> was computed as the Pearson correlation between log</w:t>
      </w:r>
      <w:r>
        <w:rPr>
          <w:rFonts w:ascii="Times New Roman" w:hAnsi="Times New Roman" w:cs="Times New Roman"/>
          <w:sz w:val="24"/>
          <w:vertAlign w:val="subscript"/>
        </w:rPr>
        <w:t>10</w:t>
      </w:r>
      <w:r>
        <w:rPr>
          <w:rFonts w:ascii="Times New Roman" w:hAnsi="Times New Roman" w:cs="Times New Roman"/>
          <w:sz w:val="24"/>
        </w:rPr>
        <w:t xml:space="preserve"> (interaction number) and log</w:t>
      </w:r>
      <w:r>
        <w:rPr>
          <w:rFonts w:ascii="Times New Roman" w:hAnsi="Times New Roman" w:cs="Times New Roman"/>
          <w:sz w:val="24"/>
          <w:vertAlign w:val="subscript"/>
        </w:rPr>
        <w:t>10</w:t>
      </w:r>
      <w:r>
        <w:rPr>
          <w:rFonts w:ascii="Times New Roman" w:hAnsi="Times New Roman" w:cs="Times New Roman"/>
          <w:sz w:val="24"/>
        </w:rPr>
        <w:t xml:space="preserve"> (corresponding frequency), which was used to measure the fitting level of the power law curve. The better the curve fitting level is, the closer </w:t>
      </w:r>
      <w:r>
        <w:rPr>
          <w:rFonts w:ascii="Times New Roman" w:hAnsi="Times New Roman" w:cs="Times New Roman"/>
          <w:i/>
          <w:iCs/>
          <w:sz w:val="24"/>
        </w:rPr>
        <w:t>R</w:t>
      </w:r>
      <w:r>
        <w:rPr>
          <w:rFonts w:ascii="Times New Roman" w:hAnsi="Times New Roman" w:cs="Times New Roman"/>
          <w:sz w:val="24"/>
        </w:rPr>
        <w:t xml:space="preserve"> is to 1.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B.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The distribution of gene interaction perturbations between normal and tumor samples.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C.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The scatterplot for the log2-transformed mean of the i</w:t>
      </w:r>
      <w:bookmarkStart w:id="2" w:name="_GoBack"/>
      <w:bookmarkEnd w:id="2"/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nteraction perturbations in the 1000 randomly selected edges in both normal (blue points) and CRC (red points) tissues.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D. </w:t>
      </w:r>
      <w:r>
        <w:rPr>
          <w:rFonts w:ascii="Times New Roman" w:hAnsi="Times New Roman" w:cs="Times New Roman"/>
          <w:sz w:val="24"/>
        </w:rPr>
        <w:t>This new network with 1,390 genes and 2,225 interactions also met the scale-free distribution</w:t>
      </w:r>
      <w:r>
        <w:rPr>
          <w:rFonts w:hint="eastAsia" w:ascii="Times New Roman" w:hAnsi="Times New Roman" w:cs="Times New Roman"/>
          <w:sz w:val="24"/>
          <w:lang w:val="en-US" w:eastAsia="zh-CN"/>
        </w:rPr>
        <w:t>.</w:t>
      </w:r>
    </w:p>
    <w:p>
      <w:pPr>
        <w:spacing w:line="360" w:lineRule="auto"/>
        <w:rPr>
          <w:rFonts w:ascii="Times New Roman" w:hAnsi="Times New Roman" w:cs="Times New Roman"/>
          <w:b/>
          <w:bCs/>
          <w:sz w:val="24"/>
        </w:rPr>
      </w:pPr>
    </w:p>
    <w:p>
      <w:pPr>
        <w:spacing w:line="360" w:lineRule="auto"/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drawing>
          <wp:inline distT="0" distB="0" distL="114300" distR="114300">
            <wp:extent cx="5271135" cy="6300470"/>
            <wp:effectExtent l="0" t="0" r="1905" b="8890"/>
            <wp:docPr id="4" name="图片 4" descr="附图2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图2_画板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300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2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 xml:space="preserve">. Subtype validation of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three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 xml:space="preserve"> datasets from the same platform (GPL570).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bCs/>
          <w:sz w:val="24"/>
        </w:rPr>
        <w:t>A-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</w:t>
      </w:r>
      <w:r>
        <w:rPr>
          <w:rFonts w:ascii="Times New Roman" w:hAnsi="Times New Roman" w:cs="Times New Roman"/>
          <w:b/>
          <w:bCs/>
          <w:sz w:val="24"/>
        </w:rPr>
        <w:t>.</w:t>
      </w:r>
      <w:bookmarkStart w:id="0" w:name="OLE_LINK1607"/>
      <w:bookmarkStart w:id="1" w:name="OLE_LINK1608"/>
      <w:r>
        <w:rPr>
          <w:rFonts w:hint="eastAsia" w:ascii="Times New Roman" w:hAnsi="Times New Roman" w:cs="Times New Roman"/>
          <w:b/>
          <w:bCs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>Three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>datasets</w:t>
      </w:r>
      <w:bookmarkEnd w:id="0"/>
      <w:bookmarkEnd w:id="1"/>
      <w:r>
        <w:rPr>
          <w:rFonts w:ascii="Times New Roman" w:hAnsi="Times New Roman" w:cs="Times New Roman"/>
          <w:sz w:val="24"/>
        </w:rPr>
        <w:t>, including GSE</w:t>
      </w:r>
      <w:r>
        <w:rPr>
          <w:rFonts w:hint="eastAsia" w:ascii="Times New Roman" w:hAnsi="Times New Roman" w:cs="Times New Roman"/>
          <w:sz w:val="24"/>
          <w:lang w:val="en-US" w:eastAsia="zh-CN"/>
        </w:rPr>
        <w:t>17536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A</w:t>
      </w:r>
      <w:r>
        <w:rPr>
          <w:rFonts w:ascii="Times New Roman" w:hAnsi="Times New Roman" w:cs="Times New Roman"/>
          <w:sz w:val="24"/>
        </w:rPr>
        <w:t>), GSE</w:t>
      </w:r>
      <w:r>
        <w:rPr>
          <w:rFonts w:hint="eastAsia" w:ascii="Times New Roman" w:hAnsi="Times New Roman" w:cs="Times New Roman"/>
          <w:sz w:val="24"/>
          <w:lang w:val="en-US" w:eastAsia="zh-CN"/>
        </w:rPr>
        <w:t>39582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B</w:t>
      </w:r>
      <w:r>
        <w:rPr>
          <w:rFonts w:ascii="Times New Roman" w:hAnsi="Times New Roman" w:cs="Times New Roman"/>
          <w:sz w:val="24"/>
        </w:rPr>
        <w:t>), GSE</w:t>
      </w:r>
      <w:r>
        <w:rPr>
          <w:rFonts w:hint="eastAsia" w:ascii="Times New Roman" w:hAnsi="Times New Roman" w:cs="Times New Roman"/>
          <w:sz w:val="24"/>
          <w:lang w:val="en-US" w:eastAsia="zh-CN"/>
        </w:rPr>
        <w:t>39084</w:t>
      </w:r>
      <w:r>
        <w:rPr>
          <w:rFonts w:ascii="Times New Roman" w:hAnsi="Times New Roman" w:cs="Times New Roman"/>
          <w:sz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</w:rPr>
        <w:t>C</w:t>
      </w:r>
      <w:r>
        <w:rPr>
          <w:rFonts w:ascii="Times New Roman" w:hAnsi="Times New Roman" w:cs="Times New Roman"/>
          <w:sz w:val="24"/>
        </w:rPr>
        <w:t>),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were assigned in </w:t>
      </w:r>
      <w:r>
        <w:rPr>
          <w:rFonts w:hint="eastAsia" w:ascii="Times New Roman" w:hAnsi="Times New Roman" w:cs="Times New Roman"/>
          <w:sz w:val="24"/>
          <w:lang w:val="en-US" w:eastAsia="zh-CN"/>
        </w:rPr>
        <w:t>four</w:t>
      </w:r>
      <w:r>
        <w:rPr>
          <w:rFonts w:ascii="Times New Roman" w:hAnsi="Times New Roman" w:cs="Times New Roman"/>
          <w:sz w:val="24"/>
        </w:rPr>
        <w:t xml:space="preserve"> subtypes according to the </w:t>
      </w:r>
      <w:r>
        <w:rPr>
          <w:rFonts w:hint="eastAsia" w:ascii="Times New Roman" w:hAnsi="Times New Roman" w:cs="Times New Roman"/>
          <w:sz w:val="24"/>
          <w:lang w:val="en-US" w:eastAsia="zh-CN"/>
        </w:rPr>
        <w:t>s</w:t>
      </w:r>
      <w:r>
        <w:rPr>
          <w:rFonts w:hint="eastAsia" w:ascii="Times New Roman" w:hAnsi="Times New Roman" w:cs="Times New Roman"/>
          <w:sz w:val="24"/>
        </w:rPr>
        <w:t>ignature genes</w:t>
      </w:r>
      <w:r>
        <w:rPr>
          <w:rFonts w:ascii="Times New Roman" w:hAnsi="Times New Roman" w:cs="Times New Roman"/>
          <w:sz w:val="24"/>
        </w:rPr>
        <w:t>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Heatmaps and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SubMap plots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assessed expressive similarity between corresponding subtypes from two different cohorts.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D.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Four subtypes also demonstrated analogical proportion in TCGA-CRC and three validation datasets.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E.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The proportion of overlap of our signature genes and the signature genes of previous CRC classifications.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F-H.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 The proportion of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lang w:val="en-US" w:eastAsia="zh-CN"/>
        </w:rPr>
        <w:t>KRAS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 mutation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), </w:t>
      </w:r>
      <w:r>
        <w:rPr>
          <w:rFonts w:hint="eastAsia" w:ascii="Times New Roman" w:hAnsi="Times New Roman" w:cs="Times New Roman"/>
          <w:b w:val="0"/>
          <w:bCs w:val="0"/>
          <w:i/>
          <w:iCs/>
          <w:sz w:val="24"/>
          <w:lang w:val="en-US" w:eastAsia="zh-CN"/>
        </w:rPr>
        <w:t>BRAF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 xml:space="preserve"> mutation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G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), and microsatellite instability (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H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) among different CDN subtypes.</w:t>
      </w:r>
    </w:p>
    <w:p>
      <w:pPr>
        <w:spacing w:line="360" w:lineRule="auto"/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</w:pPr>
      <w:r>
        <w:rPr>
          <w:rFonts w:hint="default" w:ascii="Times New Roman" w:hAnsi="Times New Roman" w:cs="Times New Roman"/>
          <w:b w:val="0"/>
          <w:bCs w:val="0"/>
          <w:sz w:val="24"/>
          <w:lang w:val="en-US" w:eastAsia="zh-CN"/>
        </w:rPr>
        <w:drawing>
          <wp:inline distT="0" distB="0" distL="114300" distR="114300">
            <wp:extent cx="5271135" cy="2261235"/>
            <wp:effectExtent l="0" t="0" r="1905" b="9525"/>
            <wp:docPr id="5" name="图片 5" descr="附图3_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图3_画板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261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>Figure 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3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 xml:space="preserve">. The degree of infiltration among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CDN</w:t>
      </w:r>
      <w:r>
        <w:rPr>
          <w:rFonts w:hint="eastAsia" w:ascii="Times New Roman" w:hAnsi="Times New Roman" w:cs="Times New Roman" w:eastAsiaTheme="minorEastAsia"/>
          <w:b/>
          <w:bCs/>
          <w:sz w:val="24"/>
          <w:lang w:eastAsia="zh-CN"/>
        </w:rPr>
        <w:t xml:space="preserve"> subtypes of 28 immune infiltrating cells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.</w:t>
      </w:r>
    </w:p>
    <w:p/>
    <w:p>
      <w:pPr>
        <w:rPr>
          <w:rFonts w:hint="eastAsia" w:ascii="Times New Roman" w:hAnsi="Times New Roman" w:cs="Times New Roman"/>
          <w:b/>
          <w:bCs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TJlMjU0NjEyZTIyMzgxOTQ2YWY4MWUwYmQxNmJlYTUifQ=="/>
  </w:docVars>
  <w:rsids>
    <w:rsidRoot w:val="004354CA"/>
    <w:rsid w:val="002054F4"/>
    <w:rsid w:val="004354CA"/>
    <w:rsid w:val="009C6840"/>
    <w:rsid w:val="00B2357B"/>
    <w:rsid w:val="059900DE"/>
    <w:rsid w:val="08272076"/>
    <w:rsid w:val="19C32223"/>
    <w:rsid w:val="1E8168AF"/>
    <w:rsid w:val="20116B48"/>
    <w:rsid w:val="288B73CF"/>
    <w:rsid w:val="2B702EEB"/>
    <w:rsid w:val="2C0B083E"/>
    <w:rsid w:val="37D92E37"/>
    <w:rsid w:val="38CF0C97"/>
    <w:rsid w:val="43050C05"/>
    <w:rsid w:val="49006937"/>
    <w:rsid w:val="4BAA6AAB"/>
    <w:rsid w:val="51B6394A"/>
    <w:rsid w:val="526565AE"/>
    <w:rsid w:val="649D6C41"/>
    <w:rsid w:val="6CC47EAA"/>
    <w:rsid w:val="6D164C4C"/>
    <w:rsid w:val="70E203EB"/>
    <w:rsid w:val="76FB3781"/>
    <w:rsid w:val="7CCD2F68"/>
    <w:rsid w:val="7FB05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249</Words>
  <Characters>1465</Characters>
  <Lines>12</Lines>
  <Paragraphs>3</Paragraphs>
  <TotalTime>8</TotalTime>
  <ScaleCrop>false</ScaleCrop>
  <LinksUpToDate>false</LinksUpToDate>
  <CharactersWithSpaces>1710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2021-08-01T01:23:00Z</dcterms:created>
  <dc:creator>郭 春光</dc:creator>
  <cp:lastModifiedBy>～(￣▽￣～)~</cp:lastModifiedBy>
  <dcterms:modified xsi:type="dcterms:W3CDTF">2023-01-01T01:57:16Z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8520B893E494493D93EFF03EF2C1AD30</vt:lpwstr>
  </property>
</Properties>
</file>