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63253" w14:textId="77777777" w:rsidR="009173AA" w:rsidRDefault="009173AA" w:rsidP="009173AA">
      <w:pPr>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8"/>
          <w:szCs w:val="28"/>
        </w:rPr>
        <w:t xml:space="preserve">Supplementary </w:t>
      </w:r>
      <w:r>
        <w:rPr>
          <w:rFonts w:ascii="Times New Roman" w:hAnsi="Times New Roman" w:cs="Times New Roman" w:hint="eastAsia"/>
          <w:b/>
          <w:bCs/>
          <w:color w:val="000000" w:themeColor="text1"/>
          <w:sz w:val="28"/>
          <w:szCs w:val="28"/>
        </w:rPr>
        <w:t>Method</w:t>
      </w:r>
    </w:p>
    <w:p w14:paraId="61E09B8D" w14:textId="77777777" w:rsidR="009173AA" w:rsidRDefault="009173AA" w:rsidP="009173AA">
      <w:pP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Removal of biased samples</w:t>
      </w:r>
    </w:p>
    <w:p w14:paraId="00BC54EE" w14:textId="77777777" w:rsidR="009173AA" w:rsidRDefault="009173AA" w:rsidP="009173AA">
      <w:pP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114300" distR="114300" wp14:anchorId="3A084702" wp14:editId="6A98EE57">
            <wp:extent cx="5271135" cy="2200910"/>
            <wp:effectExtent l="0" t="0" r="1905" b="8890"/>
            <wp:docPr id="6" name="图片 6" descr="PCA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PCA_画板 1"/>
                    <pic:cNvPicPr>
                      <a:picLocks noChangeAspect="1"/>
                    </pic:cNvPicPr>
                  </pic:nvPicPr>
                  <pic:blipFill>
                    <a:blip r:embed="rId6"/>
                    <a:stretch>
                      <a:fillRect/>
                    </a:stretch>
                  </pic:blipFill>
                  <pic:spPr>
                    <a:xfrm>
                      <a:off x="0" y="0"/>
                      <a:ext cx="5271135" cy="2200910"/>
                    </a:xfrm>
                    <a:prstGeom prst="rect">
                      <a:avLst/>
                    </a:prstGeom>
                  </pic:spPr>
                </pic:pic>
              </a:graphicData>
            </a:graphic>
          </wp:inline>
        </w:drawing>
      </w:r>
    </w:p>
    <w:p w14:paraId="5412E6BB" w14:textId="77777777" w:rsidR="009173AA" w:rsidRDefault="009173AA" w:rsidP="009173A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principal component analysis method was used to downscale the GTEx (n =308) and TCGA-CRC (n =567) data to observe the clustering trends of normal and tumor samples. The results showed that four of the normal samples had large deviation values, which may cause errors in the subsequent analysis. Therefore, we deleted these four samples. The results of the principal component analysis of the remaining normal (n =304) and tumor samples (n =567) showed stable and highly discriminatory clustering results.</w:t>
      </w:r>
    </w:p>
    <w:p w14:paraId="742A7D95" w14:textId="77777777" w:rsidR="009173AA" w:rsidRDefault="009173AA" w:rsidP="009173AA">
      <w:pPr>
        <w:rPr>
          <w:rFonts w:ascii="Times New Roman" w:hAnsi="Times New Roman" w:cs="Times New Roman"/>
          <w:color w:val="000000" w:themeColor="text1"/>
          <w:sz w:val="24"/>
          <w:szCs w:val="24"/>
        </w:rPr>
      </w:pPr>
    </w:p>
    <w:p w14:paraId="1D20A6C8" w14:textId="77777777" w:rsidR="009173AA" w:rsidRDefault="009173AA" w:rsidP="009173AA">
      <w:pPr>
        <w:rPr>
          <w:rFonts w:ascii="Times New Roman" w:hAnsi="Times New Roman" w:cs="Times New Roman"/>
          <w:color w:val="000000" w:themeColor="text1"/>
          <w:sz w:val="24"/>
          <w:szCs w:val="24"/>
        </w:rPr>
      </w:pPr>
      <w:bookmarkStart w:id="0" w:name="OLE_LINK64"/>
      <w:r>
        <w:rPr>
          <w:rFonts w:ascii="Times New Roman" w:hAnsi="Times New Roman" w:cs="Times New Roman"/>
          <w:color w:val="000000" w:themeColor="text1"/>
          <w:sz w:val="24"/>
          <w:szCs w:val="24"/>
        </w:rPr>
        <w:t xml:space="preserve">Calculation of </w:t>
      </w:r>
      <w:bookmarkStart w:id="1" w:name="OLE_LINK53"/>
      <w:bookmarkStart w:id="2" w:name="OLE_LINK52"/>
      <w:r>
        <w:rPr>
          <w:rFonts w:ascii="Times New Roman" w:hAnsi="Times New Roman" w:cs="Times New Roman"/>
          <w:color w:val="000000" w:themeColor="text1"/>
          <w:sz w:val="24"/>
          <w:szCs w:val="24"/>
        </w:rPr>
        <w:t>i</w:t>
      </w:r>
      <w:r>
        <w:rPr>
          <w:rFonts w:ascii="Times New Roman" w:hAnsi="Times New Roman" w:cs="Times New Roman"/>
          <w:iCs/>
          <w:color w:val="000000" w:themeColor="text1"/>
          <w:sz w:val="24"/>
          <w:szCs w:val="24"/>
        </w:rPr>
        <w:t>nteraction-perturbation</w:t>
      </w:r>
      <w:bookmarkEnd w:id="1"/>
      <w:bookmarkEnd w:id="2"/>
      <w:r>
        <w:rPr>
          <w:rFonts w:ascii="Times New Roman" w:hAnsi="Times New Roman" w:cs="Times New Roman"/>
          <w:iCs/>
          <w:color w:val="000000" w:themeColor="text1"/>
          <w:sz w:val="24"/>
          <w:szCs w:val="24"/>
        </w:rPr>
        <w:t xml:space="preserve"> in the cell death interplay network</w:t>
      </w:r>
      <w:bookmarkEnd w:id="0"/>
    </w:p>
    <w:p w14:paraId="08AAFEA2" w14:textId="77777777" w:rsidR="009173AA" w:rsidRDefault="009173AA" w:rsidP="009173A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First, the gene expression matrix was sorted according to the level of gene expression values (the smallest and largest expression values correspond to the smallest and largest ranks, respectively), thereby converting it into a rank matrix. Subsequently, the delta rank matrix with rows and columns representing the interactions in the background network and samples was generated from the rank matrix. The </w:t>
      </w:r>
      <w:r>
        <w:rPr>
          <w:rFonts w:ascii="Times New Roman" w:hAnsi="Times New Roman" w:cs="Times New Roman"/>
          <w:i/>
          <w:iCs/>
          <w:color w:val="000000" w:themeColor="text1"/>
          <w:sz w:val="24"/>
          <w:szCs w:val="24"/>
        </w:rPr>
        <w:t>R</w:t>
      </w:r>
      <w:r>
        <w:rPr>
          <w:rFonts w:ascii="Times New Roman" w:hAnsi="Times New Roman" w:cs="Times New Roman"/>
          <w:i/>
          <w:iCs/>
          <w:color w:val="000000" w:themeColor="text1"/>
          <w:sz w:val="24"/>
          <w:szCs w:val="24"/>
          <w:vertAlign w:val="subscript"/>
        </w:rPr>
        <w:t>x,s</w:t>
      </w:r>
      <w:r>
        <w:rPr>
          <w:rFonts w:ascii="Times New Roman" w:hAnsi="Times New Roman" w:cs="Times New Roman"/>
          <w:color w:val="000000" w:themeColor="text1"/>
          <w:sz w:val="24"/>
          <w:szCs w:val="24"/>
        </w:rPr>
        <w:t xml:space="preserve"> represents the rank of gene </w:t>
      </w:r>
      <w:r>
        <w:rPr>
          <w:rFonts w:ascii="Times New Roman" w:hAnsi="Times New Roman" w:cs="Times New Roman"/>
          <w:i/>
          <w:iCs/>
          <w:color w:val="000000" w:themeColor="text1"/>
          <w:sz w:val="24"/>
          <w:szCs w:val="24"/>
        </w:rPr>
        <w:t>G</w:t>
      </w:r>
      <w:r>
        <w:rPr>
          <w:rFonts w:ascii="Times New Roman" w:hAnsi="Times New Roman" w:cs="Times New Roman"/>
          <w:color w:val="000000" w:themeColor="text1"/>
          <w:sz w:val="24"/>
          <w:szCs w:val="24"/>
          <w:vertAlign w:val="subscript"/>
        </w:rPr>
        <w:t>x</w:t>
      </w:r>
      <w:r>
        <w:rPr>
          <w:rFonts w:ascii="Times New Roman" w:hAnsi="Times New Roman" w:cs="Times New Roman"/>
          <w:color w:val="000000" w:themeColor="text1"/>
          <w:sz w:val="24"/>
          <w:szCs w:val="24"/>
        </w:rPr>
        <w:t xml:space="preserve"> in sample </w:t>
      </w:r>
      <w:r>
        <w:rPr>
          <w:rFonts w:ascii="Times New Roman" w:hAnsi="Times New Roman" w:cs="Times New Roman"/>
          <w:i/>
          <w:iCs/>
          <w:color w:val="000000" w:themeColor="text1"/>
          <w:sz w:val="24"/>
          <w:szCs w:val="24"/>
        </w:rPr>
        <w:t>s</w:t>
      </w:r>
      <w:r>
        <w:rPr>
          <w:rFonts w:ascii="Times New Roman" w:hAnsi="Times New Roman" w:cs="Times New Roman"/>
          <w:color w:val="000000" w:themeColor="text1"/>
          <w:sz w:val="24"/>
          <w:szCs w:val="24"/>
        </w:rPr>
        <w:t xml:space="preserve">. Calculate the delta rank (represented by </w:t>
      </w:r>
      <w:r>
        <w:rPr>
          <w:rFonts w:ascii="Times New Roman" w:hAnsi="Times New Roman" w:cs="Times New Roman"/>
          <w:i/>
          <w:iCs/>
          <w:color w:val="000000" w:themeColor="text1"/>
          <w:sz w:val="24"/>
          <w:szCs w:val="24"/>
        </w:rPr>
        <w:t>δ</w:t>
      </w:r>
      <w:r>
        <w:rPr>
          <w:rFonts w:ascii="Times New Roman" w:hAnsi="Times New Roman" w:cs="Times New Roman"/>
          <w:i/>
          <w:iCs/>
          <w:color w:val="000000" w:themeColor="text1"/>
          <w:sz w:val="24"/>
          <w:szCs w:val="24"/>
          <w:vertAlign w:val="subscript"/>
        </w:rPr>
        <w:t>e,s</w:t>
      </w:r>
      <w:r>
        <w:rPr>
          <w:rFonts w:ascii="Times New Roman" w:hAnsi="Times New Roman" w:cs="Times New Roman"/>
          <w:color w:val="000000" w:themeColor="text1"/>
          <w:sz w:val="24"/>
          <w:szCs w:val="24"/>
        </w:rPr>
        <w:t>) by subtracting the rank of each interconnected gene pair in the background network.</w:t>
      </w:r>
    </w:p>
    <w:p w14:paraId="22F73444" w14:textId="77777777" w:rsidR="009173AA" w:rsidRDefault="009173AA" w:rsidP="009173AA">
      <w:pPr>
        <w:rPr>
          <w:rFonts w:ascii="Times New Roman" w:hAnsi="Times New Roman" w:cs="Times New Roman"/>
          <w:iCs/>
          <w:color w:val="000000" w:themeColor="text1"/>
          <w:sz w:val="24"/>
          <w:szCs w:val="24"/>
        </w:rPr>
      </w:pPr>
      <m:oMathPara>
        <m:oMath>
          <m:sSub>
            <m:sSubPr>
              <m:ctrlPr>
                <w:rPr>
                  <w:rFonts w:ascii="Cambria Math" w:hAnsi="Cambria Math" w:cs="Times New Roman"/>
                  <w:i/>
                  <w:iCs/>
                  <w:color w:val="000000" w:themeColor="text1"/>
                  <w:sz w:val="24"/>
                  <w:szCs w:val="24"/>
                </w:rPr>
              </m:ctrlPr>
            </m:sSubPr>
            <m:e>
              <m:r>
                <m:rPr>
                  <m:sty m:val="bi"/>
                </m:rPr>
                <w:rPr>
                  <w:rFonts w:ascii="Cambria Math" w:hAnsi="Cambria Math" w:cs="Times New Roman"/>
                  <w:color w:val="000000" w:themeColor="text1"/>
                  <w:sz w:val="24"/>
                  <w:szCs w:val="24"/>
                </w:rPr>
                <m:t>δ</m:t>
              </m:r>
            </m:e>
            <m:sub>
              <m:r>
                <m:rPr>
                  <m:sty m:val="bi"/>
                </m:rPr>
                <w:rPr>
                  <w:rFonts w:ascii="Cambria Math" w:hAnsi="Cambria Math" w:cs="Times New Roman"/>
                  <w:color w:val="000000" w:themeColor="text1"/>
                  <w:sz w:val="24"/>
                  <w:szCs w:val="24"/>
                </w:rPr>
                <m:t>e,s</m:t>
              </m:r>
            </m:sub>
          </m:sSub>
          <m:r>
            <m:rPr>
              <m:sty m:val="b"/>
            </m:rP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m:rPr>
                  <m:sty m:val="bi"/>
                </m:rPr>
                <w:rPr>
                  <w:rFonts w:ascii="Cambria Math" w:hAnsi="Cambria Math" w:cs="Times New Roman"/>
                  <w:color w:val="000000" w:themeColor="text1"/>
                  <w:sz w:val="24"/>
                  <w:szCs w:val="24"/>
                </w:rPr>
                <m:t>R</m:t>
              </m:r>
            </m:e>
            <m:sub>
              <m:r>
                <m:rPr>
                  <m:sty m:val="bi"/>
                </m:rPr>
                <w:rPr>
                  <w:rFonts w:ascii="Cambria Math" w:hAnsi="Cambria Math" w:cs="Times New Roman"/>
                  <w:color w:val="000000" w:themeColor="text1"/>
                  <w:sz w:val="24"/>
                  <w:szCs w:val="24"/>
                </w:rPr>
                <m:t>x,s</m:t>
              </m:r>
            </m:sub>
          </m:sSub>
          <m:r>
            <m:rPr>
              <m:sty m:val="bi"/>
            </m:rPr>
            <w:rPr>
              <w:rFonts w:ascii="Cambria Math" w:hAnsi="Cambria Math" w:cs="Times New Roman"/>
              <w:color w:val="000000" w:themeColor="text1"/>
              <w:sz w:val="24"/>
              <w:szCs w:val="24"/>
            </w:rPr>
            <m:t>-</m:t>
          </m:r>
          <m:sSub>
            <m:sSubPr>
              <m:ctrlPr>
                <w:rPr>
                  <w:rFonts w:ascii="Cambria Math" w:hAnsi="Cambria Math" w:cs="Times New Roman"/>
                  <w:i/>
                  <w:iCs/>
                  <w:color w:val="000000" w:themeColor="text1"/>
                  <w:sz w:val="24"/>
                  <w:szCs w:val="24"/>
                </w:rPr>
              </m:ctrlPr>
            </m:sSubPr>
            <m:e>
              <m:r>
                <m:rPr>
                  <m:sty m:val="bi"/>
                </m:rPr>
                <w:rPr>
                  <w:rFonts w:ascii="Cambria Math" w:hAnsi="Cambria Math" w:cs="Times New Roman"/>
                  <w:color w:val="000000" w:themeColor="text1"/>
                  <w:sz w:val="24"/>
                  <w:szCs w:val="24"/>
                </w:rPr>
                <m:t>R</m:t>
              </m:r>
            </m:e>
            <m:sub>
              <m:r>
                <m:rPr>
                  <m:sty m:val="bi"/>
                </m:rPr>
                <w:rPr>
                  <w:rFonts w:ascii="Cambria Math" w:hAnsi="Cambria Math" w:cs="Times New Roman"/>
                  <w:color w:val="000000" w:themeColor="text1"/>
                  <w:sz w:val="24"/>
                  <w:szCs w:val="24"/>
                </w:rPr>
                <m:t>y,s</m:t>
              </m:r>
            </m:sub>
          </m:sSub>
        </m:oMath>
      </m:oMathPara>
    </w:p>
    <w:p w14:paraId="009CDD03" w14:textId="77777777" w:rsidR="009173AA" w:rsidRDefault="009173AA" w:rsidP="009173AA">
      <w:pPr>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Where genes </w:t>
      </w:r>
      <w:r>
        <w:rPr>
          <w:rFonts w:ascii="Times New Roman" w:hAnsi="Times New Roman" w:cs="Times New Roman"/>
          <w:i/>
          <w:color w:val="000000" w:themeColor="text1"/>
          <w:sz w:val="24"/>
          <w:szCs w:val="24"/>
        </w:rPr>
        <w:t>G</w:t>
      </w:r>
      <w:r>
        <w:rPr>
          <w:rFonts w:ascii="Times New Roman" w:hAnsi="Times New Roman" w:cs="Times New Roman"/>
          <w:i/>
          <w:color w:val="000000" w:themeColor="text1"/>
          <w:sz w:val="24"/>
          <w:szCs w:val="24"/>
          <w:vertAlign w:val="subscript"/>
        </w:rPr>
        <w:t>x</w:t>
      </w:r>
      <w:r>
        <w:rPr>
          <w:rFonts w:ascii="Times New Roman" w:hAnsi="Times New Roman" w:cs="Times New Roman"/>
          <w:iCs/>
          <w:color w:val="000000" w:themeColor="text1"/>
          <w:sz w:val="24"/>
          <w:szCs w:val="24"/>
        </w:rPr>
        <w:t xml:space="preserve"> and </w:t>
      </w:r>
      <w:r>
        <w:rPr>
          <w:rFonts w:ascii="Times New Roman" w:hAnsi="Times New Roman" w:cs="Times New Roman"/>
          <w:i/>
          <w:color w:val="000000" w:themeColor="text1"/>
          <w:sz w:val="24"/>
          <w:szCs w:val="24"/>
        </w:rPr>
        <w:t>G</w:t>
      </w:r>
      <w:r>
        <w:rPr>
          <w:rFonts w:ascii="Times New Roman" w:hAnsi="Times New Roman" w:cs="Times New Roman"/>
          <w:i/>
          <w:color w:val="000000" w:themeColor="text1"/>
          <w:sz w:val="24"/>
          <w:szCs w:val="24"/>
          <w:vertAlign w:val="subscript"/>
        </w:rPr>
        <w:t>y</w:t>
      </w:r>
      <w:r>
        <w:rPr>
          <w:rFonts w:ascii="Times New Roman" w:hAnsi="Times New Roman" w:cs="Times New Roman"/>
          <w:i/>
          <w:color w:val="000000" w:themeColor="text1"/>
          <w:sz w:val="24"/>
          <w:szCs w:val="24"/>
        </w:rPr>
        <w:t xml:space="preserve"> </w:t>
      </w:r>
      <w:r>
        <w:rPr>
          <w:rFonts w:ascii="Times New Roman" w:hAnsi="Times New Roman" w:cs="Times New Roman"/>
          <w:iCs/>
          <w:color w:val="000000" w:themeColor="text1"/>
          <w:sz w:val="24"/>
          <w:szCs w:val="24"/>
        </w:rPr>
        <w:t xml:space="preserve">are connected by interaction </w:t>
      </w:r>
      <w:r>
        <w:rPr>
          <w:rFonts w:ascii="Times New Roman" w:hAnsi="Times New Roman" w:cs="Times New Roman"/>
          <w:i/>
          <w:color w:val="000000" w:themeColor="text1"/>
          <w:sz w:val="24"/>
          <w:szCs w:val="24"/>
        </w:rPr>
        <w:t>e</w:t>
      </w:r>
      <w:r>
        <w:rPr>
          <w:rFonts w:ascii="Times New Roman" w:hAnsi="Times New Roman" w:cs="Times New Roman"/>
          <w:iCs/>
          <w:color w:val="000000" w:themeColor="text1"/>
          <w:sz w:val="24"/>
          <w:szCs w:val="24"/>
        </w:rPr>
        <w:t xml:space="preserve"> in the background network.</w:t>
      </w:r>
    </w:p>
    <w:p w14:paraId="1CD77A6F" w14:textId="77777777" w:rsidR="009173AA" w:rsidRDefault="009173AA" w:rsidP="009173AA">
      <w:pPr>
        <w:ind w:firstLine="420"/>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Gene interactions in normal samples are highly stable with little interaction perturbation. Hence, we assumed that the background network is very stable across all normal samples, and then use the interactions within the normal samples as the baseline network. We ranked the genes in the normal samples according to the mean gene expression and used the delta rank as the benchmark delta rank vector with the element represented by</w:t>
      </w:r>
      <w:r>
        <w:rPr>
          <w:rFonts w:ascii="Times New Roman" w:hAnsi="Times New Roman" w:cs="Times New Roman"/>
          <w:iCs/>
          <w:color w:val="000000" w:themeColor="text1"/>
          <w:sz w:val="24"/>
          <w:szCs w:val="24"/>
        </w:rPr>
        <w:t>：</w:t>
      </w:r>
    </w:p>
    <w:p w14:paraId="1180AC9A" w14:textId="77777777" w:rsidR="009173AA" w:rsidRDefault="009173AA" w:rsidP="009173AA">
      <w:pPr>
        <w:ind w:firstLine="420"/>
        <w:rPr>
          <w:rFonts w:ascii="Times New Roman" w:hAnsi="Times New Roman" w:cs="Times New Roman"/>
          <w:color w:val="000000" w:themeColor="text1"/>
          <w:sz w:val="24"/>
          <w:szCs w:val="24"/>
        </w:rPr>
      </w:pPr>
      <m:oMathPara>
        <m:oMath>
          <m:sSub>
            <m:sSubPr>
              <m:ctrlPr>
                <w:rPr>
                  <w:rFonts w:ascii="Cambria Math" w:hAnsi="Cambria Math" w:cs="Times New Roman"/>
                  <w:color w:val="000000" w:themeColor="text1"/>
                  <w:sz w:val="24"/>
                  <w:szCs w:val="24"/>
                </w:rPr>
              </m:ctrlPr>
            </m:sSubPr>
            <m:e>
              <m:r>
                <m:rPr>
                  <m:sty m:val="bi"/>
                </m:rPr>
                <w:rPr>
                  <w:rFonts w:ascii="Cambria Math" w:hAnsi="Cambria Math" w:cs="Times New Roman"/>
                  <w:color w:val="000000" w:themeColor="text1"/>
                  <w:sz w:val="24"/>
                  <w:szCs w:val="24"/>
                </w:rPr>
                <m:t>δ</m:t>
              </m:r>
            </m:e>
            <m:sub>
              <m:r>
                <m:rPr>
                  <m:sty m:val="bi"/>
                </m:rPr>
                <w:rPr>
                  <w:rFonts w:ascii="Cambria Math" w:hAnsi="Cambria Math" w:cs="Times New Roman"/>
                  <w:color w:val="000000" w:themeColor="text1"/>
                  <w:sz w:val="24"/>
                  <w:szCs w:val="24"/>
                </w:rPr>
                <m:t>e</m:t>
              </m:r>
            </m:sub>
          </m:sSub>
        </m:oMath>
      </m:oMathPara>
    </w:p>
    <w:p w14:paraId="106A385F" w14:textId="77777777" w:rsidR="009173AA" w:rsidRDefault="009173AA" w:rsidP="009173A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where </w:t>
      </w:r>
      <w:r>
        <w:rPr>
          <w:rFonts w:ascii="Times New Roman" w:hAnsi="Times New Roman" w:cs="Times New Roman"/>
          <w:i/>
          <w:iCs/>
          <w:color w:val="000000" w:themeColor="text1"/>
          <w:sz w:val="24"/>
          <w:szCs w:val="24"/>
        </w:rPr>
        <w:t>e</w:t>
      </w:r>
      <w:r>
        <w:rPr>
          <w:rFonts w:ascii="Times New Roman" w:hAnsi="Times New Roman" w:cs="Times New Roman"/>
          <w:color w:val="000000" w:themeColor="text1"/>
          <w:sz w:val="24"/>
          <w:szCs w:val="24"/>
        </w:rPr>
        <w:t xml:space="preserve"> is an interaction in the background network. This vector measures the average relative rank of gene pairs across all normal samples.</w:t>
      </w:r>
    </w:p>
    <w:p w14:paraId="56015AFB" w14:textId="77777777" w:rsidR="009173AA" w:rsidRDefault="009173AA" w:rsidP="009173AA">
      <w:pPr>
        <w:ind w:firstLine="4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Each sample should be compared with the benchmark delta rank vector and the corresponding difference represents the gene interaction perturbation on the sample. The benchmark rank vector was subtracted from the rank of each sample to obtain the interaction-perturbation matrix with element </w:t>
      </w:r>
      <m:oMath>
        <m:sSub>
          <m:sSubPr>
            <m:ctrlPr>
              <w:rPr>
                <w:rFonts w:ascii="Cambria Math" w:hAnsi="Cambria Math" w:cs="Times New Roman"/>
                <w:i/>
                <w:color w:val="000000" w:themeColor="text1"/>
                <w:sz w:val="24"/>
                <w:szCs w:val="24"/>
              </w:rPr>
            </m:ctrlPr>
          </m:sSubPr>
          <m:e>
            <m:r>
              <m:rPr>
                <m:sty m:val="bi"/>
              </m:rPr>
              <w:rPr>
                <w:rFonts w:ascii="Cambria Math" w:hAnsi="Cambria Math" w:cs="Times New Roman"/>
                <w:color w:val="000000" w:themeColor="text1"/>
                <w:sz w:val="24"/>
                <w:szCs w:val="24"/>
              </w:rPr>
              <m:t>∆</m:t>
            </m:r>
          </m:e>
          <m:sub>
            <m:r>
              <m:rPr>
                <m:sty m:val="bi"/>
              </m:rPr>
              <w:rPr>
                <w:rFonts w:ascii="Cambria Math" w:hAnsi="Cambria Math" w:cs="Times New Roman"/>
                <w:color w:val="000000" w:themeColor="text1"/>
                <w:sz w:val="24"/>
                <w:szCs w:val="24"/>
              </w:rPr>
              <m:t>e,s</m:t>
            </m:r>
          </m:sub>
        </m:sSub>
      </m:oMath>
      <w:r>
        <w:rPr>
          <w:rFonts w:ascii="Times New Roman" w:hAnsi="Times New Roman" w:cs="Times New Roman"/>
          <w:color w:val="000000" w:themeColor="text1"/>
          <w:sz w:val="24"/>
          <w:szCs w:val="24"/>
        </w:rPr>
        <w:t>.</w:t>
      </w:r>
    </w:p>
    <w:p w14:paraId="0D0C35CD" w14:textId="77777777" w:rsidR="009173AA" w:rsidRDefault="009173AA" w:rsidP="009173AA">
      <w:pPr>
        <w:rPr>
          <w:rFonts w:ascii="Times New Roman" w:hAnsi="Times New Roman" w:cs="Times New Roman"/>
          <w:iCs/>
          <w:color w:val="000000" w:themeColor="text1"/>
          <w:sz w:val="24"/>
          <w:szCs w:val="24"/>
        </w:rPr>
      </w:pPr>
      <m:oMathPara>
        <m:oMath>
          <m:sSub>
            <m:sSubPr>
              <m:ctrlPr>
                <w:rPr>
                  <w:rFonts w:ascii="Cambria Math" w:hAnsi="Cambria Math" w:cs="Times New Roman"/>
                  <w:i/>
                  <w:color w:val="000000" w:themeColor="text1"/>
                  <w:sz w:val="24"/>
                  <w:szCs w:val="24"/>
                </w:rPr>
              </m:ctrlPr>
            </m:sSubPr>
            <m:e>
              <m:r>
                <m:rPr>
                  <m:sty m:val="bi"/>
                </m:rPr>
                <w:rPr>
                  <w:rFonts w:ascii="Cambria Math" w:hAnsi="Cambria Math" w:cs="Times New Roman"/>
                  <w:color w:val="000000" w:themeColor="text1"/>
                  <w:sz w:val="24"/>
                  <w:szCs w:val="24"/>
                </w:rPr>
                <m:t>∆</m:t>
              </m:r>
            </m:e>
            <m:sub>
              <m:r>
                <m:rPr>
                  <m:sty m:val="bi"/>
                </m:rPr>
                <w:rPr>
                  <w:rFonts w:ascii="Cambria Math" w:hAnsi="Cambria Math" w:cs="Times New Roman"/>
                  <w:color w:val="000000" w:themeColor="text1"/>
                  <w:sz w:val="24"/>
                  <w:szCs w:val="24"/>
                </w:rPr>
                <m:t>e,s</m:t>
              </m:r>
            </m:sub>
          </m:sSub>
          <m:r>
            <m:rPr>
              <m:sty m:val="b"/>
            </m:rP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m:rPr>
                  <m:sty m:val="bi"/>
                </m:rPr>
                <w:rPr>
                  <w:rFonts w:ascii="Cambria Math" w:hAnsi="Cambria Math" w:cs="Times New Roman"/>
                  <w:color w:val="000000" w:themeColor="text1"/>
                  <w:sz w:val="24"/>
                  <w:szCs w:val="24"/>
                </w:rPr>
                <m:t>δ</m:t>
              </m:r>
            </m:e>
            <m:sub>
              <m:r>
                <m:rPr>
                  <m:sty m:val="bi"/>
                </m:rPr>
                <w:rPr>
                  <w:rFonts w:ascii="Cambria Math" w:hAnsi="Cambria Math" w:cs="Times New Roman"/>
                  <w:color w:val="000000" w:themeColor="text1"/>
                  <w:sz w:val="24"/>
                  <w:szCs w:val="24"/>
                </w:rPr>
                <m:t>e,s</m:t>
              </m:r>
            </m:sub>
          </m:sSub>
          <m:r>
            <m:rPr>
              <m:sty m:val="bi"/>
            </m:rPr>
            <w:rPr>
              <w:rFonts w:ascii="Cambria Math" w:hAnsi="Cambria Math" w:cs="Times New Roman"/>
              <w:color w:val="000000" w:themeColor="text1"/>
              <w:sz w:val="24"/>
              <w:szCs w:val="24"/>
            </w:rPr>
            <m:t>-</m:t>
          </m:r>
          <m:sSub>
            <m:sSubPr>
              <m:ctrlPr>
                <w:rPr>
                  <w:rFonts w:ascii="Cambria Math" w:hAnsi="Cambria Math" w:cs="Times New Roman"/>
                  <w:i/>
                  <w:iCs/>
                  <w:color w:val="000000" w:themeColor="text1"/>
                  <w:sz w:val="24"/>
                  <w:szCs w:val="24"/>
                </w:rPr>
              </m:ctrlPr>
            </m:sSubPr>
            <m:e>
              <m:r>
                <m:rPr>
                  <m:sty m:val="bi"/>
                </m:rPr>
                <w:rPr>
                  <w:rFonts w:ascii="Cambria Math" w:hAnsi="Cambria Math" w:cs="Times New Roman"/>
                  <w:color w:val="000000" w:themeColor="text1"/>
                  <w:sz w:val="24"/>
                  <w:szCs w:val="24"/>
                </w:rPr>
                <m:t>δ</m:t>
              </m:r>
            </m:e>
            <m:sub>
              <m:r>
                <m:rPr>
                  <m:sty m:val="bi"/>
                </m:rPr>
                <w:rPr>
                  <w:rFonts w:ascii="Cambria Math" w:hAnsi="Cambria Math" w:cs="Times New Roman"/>
                  <w:color w:val="000000" w:themeColor="text1"/>
                  <w:sz w:val="24"/>
                  <w:szCs w:val="24"/>
                </w:rPr>
                <m:t>e</m:t>
              </m:r>
            </m:sub>
          </m:sSub>
        </m:oMath>
      </m:oMathPara>
    </w:p>
    <w:p w14:paraId="2878B6C4" w14:textId="77777777" w:rsidR="009173AA" w:rsidRDefault="009173AA" w:rsidP="009173AA">
      <w:pPr>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The interaction-perturbation matrix will be converted into a cancer sample matrix for subsequent clustering analysis.</w:t>
      </w:r>
    </w:p>
    <w:p w14:paraId="164B4A64" w14:textId="77777777" w:rsidR="003E0E1D" w:rsidRPr="009173AA" w:rsidRDefault="003E0E1D" w:rsidP="009173AA">
      <w:pPr>
        <w:pStyle w:val="a3"/>
      </w:pPr>
    </w:p>
    <w:sectPr w:rsidR="003E0E1D" w:rsidRPr="009173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206F30" w14:textId="77777777" w:rsidR="00E550D8" w:rsidRDefault="00E550D8" w:rsidP="009173AA">
      <w:r>
        <w:separator/>
      </w:r>
    </w:p>
  </w:endnote>
  <w:endnote w:type="continuationSeparator" w:id="0">
    <w:p w14:paraId="62B4D44F" w14:textId="77777777" w:rsidR="00E550D8" w:rsidRDefault="00E550D8" w:rsidP="009173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obe 宋体 Std L">
    <w:panose1 w:val="02020300000000000000"/>
    <w:charset w:val="86"/>
    <w:family w:val="roman"/>
    <w:notTrueType/>
    <w:pitch w:val="variable"/>
    <w:sig w:usb0="00000207" w:usb1="0A0F1810" w:usb2="00000016" w:usb3="00000000" w:csb0="00060007"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28452" w14:textId="77777777" w:rsidR="00E550D8" w:rsidRDefault="00E550D8" w:rsidP="009173AA">
      <w:r>
        <w:separator/>
      </w:r>
    </w:p>
  </w:footnote>
  <w:footnote w:type="continuationSeparator" w:id="0">
    <w:p w14:paraId="22BDBE1B" w14:textId="77777777" w:rsidR="00E550D8" w:rsidRDefault="00E550D8" w:rsidP="009173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3MDY3N7a0MDM1NbdU0lEKTi0uzszPAykwrAUAjl1lVSwAAAA="/>
  </w:docVars>
  <w:rsids>
    <w:rsidRoot w:val="00705F73"/>
    <w:rsid w:val="003E0E1D"/>
    <w:rsid w:val="00705F73"/>
    <w:rsid w:val="009173AA"/>
    <w:rsid w:val="00C22B38"/>
    <w:rsid w:val="00D231E9"/>
    <w:rsid w:val="00E55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18E9912-64D1-4B7E-AD9C-090608C3D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73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常用"/>
    <w:basedOn w:val="a"/>
    <w:link w:val="a4"/>
    <w:qFormat/>
    <w:rsid w:val="00C22B38"/>
    <w:pPr>
      <w:spacing w:line="360" w:lineRule="auto"/>
    </w:pPr>
    <w:rPr>
      <w:rFonts w:ascii="Times New Roman" w:eastAsia="Adobe 宋体 Std L" w:hAnsi="Times New Roman"/>
      <w:sz w:val="24"/>
    </w:rPr>
  </w:style>
  <w:style w:type="character" w:customStyle="1" w:styleId="a4">
    <w:name w:val="常用 字符"/>
    <w:basedOn w:val="a0"/>
    <w:link w:val="a3"/>
    <w:rsid w:val="00C22B38"/>
    <w:rPr>
      <w:rFonts w:ascii="Times New Roman" w:eastAsia="Adobe 宋体 Std L" w:hAnsi="Times New Roman"/>
      <w:sz w:val="24"/>
    </w:rPr>
  </w:style>
  <w:style w:type="paragraph" w:styleId="a5">
    <w:name w:val="header"/>
    <w:basedOn w:val="a"/>
    <w:link w:val="a6"/>
    <w:uiPriority w:val="99"/>
    <w:unhideWhenUsed/>
    <w:rsid w:val="009173A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173AA"/>
    <w:rPr>
      <w:sz w:val="18"/>
      <w:szCs w:val="18"/>
    </w:rPr>
  </w:style>
  <w:style w:type="paragraph" w:styleId="a7">
    <w:name w:val="footer"/>
    <w:basedOn w:val="a"/>
    <w:link w:val="a8"/>
    <w:uiPriority w:val="99"/>
    <w:unhideWhenUsed/>
    <w:rsid w:val="009173AA"/>
    <w:pPr>
      <w:tabs>
        <w:tab w:val="center" w:pos="4153"/>
        <w:tab w:val="right" w:pos="8306"/>
      </w:tabs>
      <w:snapToGrid w:val="0"/>
      <w:jc w:val="left"/>
    </w:pPr>
    <w:rPr>
      <w:sz w:val="18"/>
      <w:szCs w:val="18"/>
    </w:rPr>
  </w:style>
  <w:style w:type="character" w:customStyle="1" w:styleId="a8">
    <w:name w:val="页脚 字符"/>
    <w:basedOn w:val="a0"/>
    <w:link w:val="a7"/>
    <w:uiPriority w:val="99"/>
    <w:rsid w:val="009173A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353</Words>
  <Characters>2013</Characters>
  <Application>Microsoft Office Word</Application>
  <DocSecurity>0</DocSecurity>
  <Lines>16</Lines>
  <Paragraphs>4</Paragraphs>
  <ScaleCrop>false</ScaleCrop>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翁 思远</dc:creator>
  <cp:keywords/>
  <dc:description/>
  <cp:lastModifiedBy>翁 思远</cp:lastModifiedBy>
  <cp:revision>2</cp:revision>
  <dcterms:created xsi:type="dcterms:W3CDTF">2023-02-24T09:16:00Z</dcterms:created>
  <dcterms:modified xsi:type="dcterms:W3CDTF">2023-02-24T09:16:00Z</dcterms:modified>
</cp:coreProperties>
</file>