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F6C49" w14:textId="77777777" w:rsidR="007B00C8" w:rsidRPr="007B00C8" w:rsidRDefault="007B00C8" w:rsidP="007B00C8">
      <w:pPr>
        <w:pStyle w:val="MDPI13authornames"/>
        <w:spacing w:after="0" w:line="240" w:lineRule="auto"/>
        <w:jc w:val="both"/>
        <w:rPr>
          <w:rFonts w:ascii="Arial" w:hAnsi="Arial" w:cs="Arial"/>
          <w:bCs/>
          <w:color w:val="000000" w:themeColor="text1"/>
          <w:szCs w:val="20"/>
        </w:rPr>
      </w:pPr>
      <w:r w:rsidRPr="007B00C8">
        <w:rPr>
          <w:rFonts w:ascii="Arial" w:hAnsi="Arial" w:cs="Arial"/>
          <w:bCs/>
          <w:color w:val="000000" w:themeColor="text1"/>
          <w:szCs w:val="20"/>
        </w:rPr>
        <w:t>Disabled-2: a protein up-regulated by high molecular weight hyaluronan has both tumor promoting and tumor suppressor roles in ovarian cancer</w:t>
      </w:r>
    </w:p>
    <w:p w14:paraId="0E4A1CC4" w14:textId="77777777" w:rsidR="007B00C8" w:rsidRPr="007B00C8" w:rsidRDefault="007B00C8" w:rsidP="007B00C8">
      <w:pPr>
        <w:pStyle w:val="MDPI13authornames"/>
        <w:spacing w:after="0" w:line="240" w:lineRule="auto"/>
        <w:jc w:val="both"/>
        <w:rPr>
          <w:rFonts w:ascii="Arial" w:hAnsi="Arial" w:cs="Arial"/>
          <w:b w:val="0"/>
          <w:color w:val="000000" w:themeColor="text1"/>
          <w:szCs w:val="20"/>
        </w:rPr>
      </w:pPr>
    </w:p>
    <w:p w14:paraId="34ECC7AF" w14:textId="58C6D22B" w:rsidR="007B00C8" w:rsidRPr="007B00C8" w:rsidRDefault="007B00C8" w:rsidP="007B00C8">
      <w:pPr>
        <w:rPr>
          <w:rFonts w:ascii="Arial" w:hAnsi="Arial" w:cs="Arial"/>
          <w:sz w:val="20"/>
          <w:szCs w:val="20"/>
          <w:lang w:val="en-US" w:eastAsia="de-DE" w:bidi="en-US"/>
        </w:rPr>
      </w:pPr>
      <w:r w:rsidRPr="007B00C8">
        <w:rPr>
          <w:rFonts w:ascii="Arial" w:hAnsi="Arial" w:cs="Arial"/>
          <w:sz w:val="20"/>
          <w:szCs w:val="20"/>
          <w:lang w:val="en-US" w:eastAsia="de-DE" w:bidi="en-US"/>
        </w:rPr>
        <w:t>Cellular and molecular Life Science</w:t>
      </w:r>
    </w:p>
    <w:p w14:paraId="4C3E426D" w14:textId="77777777" w:rsidR="007B00C8" w:rsidRPr="007B00C8" w:rsidRDefault="007B00C8" w:rsidP="007B00C8">
      <w:pPr>
        <w:pStyle w:val="MDPI13authornames"/>
        <w:spacing w:after="0" w:line="240" w:lineRule="auto"/>
        <w:jc w:val="both"/>
        <w:rPr>
          <w:rFonts w:ascii="Arial" w:hAnsi="Arial" w:cs="Arial"/>
          <w:b w:val="0"/>
          <w:color w:val="000000" w:themeColor="text1"/>
          <w:szCs w:val="20"/>
        </w:rPr>
      </w:pPr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Zoe K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Price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a,b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, Noor A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Lokman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a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, Mai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Sugiyama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c,d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, Yoshihiro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Koya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c,d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, Masato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Yoshihara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b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, Martin K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Oehler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a,e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, Hiroaki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Kajiyama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b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 xml:space="preserve"> and Carmela </w:t>
      </w:r>
      <w:proofErr w:type="spellStart"/>
      <w:r w:rsidRPr="007B00C8">
        <w:rPr>
          <w:rFonts w:ascii="Arial" w:hAnsi="Arial" w:cs="Arial"/>
          <w:b w:val="0"/>
          <w:color w:val="000000" w:themeColor="text1"/>
          <w:szCs w:val="20"/>
        </w:rPr>
        <w:t>Ricciardelli</w:t>
      </w:r>
      <w:r w:rsidRPr="007B00C8">
        <w:rPr>
          <w:rFonts w:ascii="Arial" w:hAnsi="Arial" w:cs="Arial"/>
          <w:b w:val="0"/>
          <w:color w:val="000000" w:themeColor="text1"/>
          <w:szCs w:val="20"/>
          <w:vertAlign w:val="superscript"/>
        </w:rPr>
        <w:t>a</w:t>
      </w:r>
      <w:proofErr w:type="spellEnd"/>
      <w:r w:rsidRPr="007B00C8">
        <w:rPr>
          <w:rFonts w:ascii="Arial" w:hAnsi="Arial" w:cs="Arial"/>
          <w:b w:val="0"/>
          <w:color w:val="000000" w:themeColor="text1"/>
          <w:szCs w:val="20"/>
        </w:rPr>
        <w:t>*</w:t>
      </w:r>
    </w:p>
    <w:p w14:paraId="0B87246C" w14:textId="77777777" w:rsidR="007B00C8" w:rsidRPr="007B00C8" w:rsidRDefault="007B00C8" w:rsidP="007B00C8">
      <w:pPr>
        <w:jc w:val="both"/>
        <w:rPr>
          <w:rFonts w:ascii="Arial" w:hAnsi="Arial" w:cs="Arial"/>
          <w:color w:val="000000" w:themeColor="text1"/>
          <w:sz w:val="20"/>
          <w:szCs w:val="20"/>
          <w:lang w:val="en-US" w:eastAsia="de-DE" w:bidi="en-US"/>
        </w:rPr>
      </w:pPr>
    </w:p>
    <w:p w14:paraId="5A8CE806" w14:textId="77777777" w:rsidR="007B00C8" w:rsidRPr="007B00C8" w:rsidRDefault="007B00C8" w:rsidP="007B00C8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Pr="007B00C8">
        <w:rPr>
          <w:rFonts w:ascii="Arial" w:hAnsi="Arial" w:cs="Arial"/>
          <w:color w:val="000000" w:themeColor="text1"/>
          <w:sz w:val="20"/>
          <w:szCs w:val="20"/>
        </w:rPr>
        <w:t>Discipline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 of Obstetrics and Gynaecology, Adelaide Medical School, Robinson Research Institute, University of Adelaide, South Australia 5000, Australia</w:t>
      </w:r>
    </w:p>
    <w:p w14:paraId="6AAE0F22" w14:textId="77777777" w:rsidR="007B00C8" w:rsidRPr="007B00C8" w:rsidRDefault="007B00C8" w:rsidP="007B00C8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Pr="007B00C8">
        <w:rPr>
          <w:rFonts w:ascii="Arial" w:hAnsi="Arial" w:cs="Arial"/>
          <w:color w:val="000000" w:themeColor="text1"/>
          <w:sz w:val="20"/>
          <w:szCs w:val="20"/>
        </w:rPr>
        <w:t>Department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 of Obstetrics and </w:t>
      </w: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</w:rPr>
        <w:t>Gynecology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>, Nagoya University Graduate School of Medicine, Nagoya, Japan</w:t>
      </w:r>
    </w:p>
    <w:p w14:paraId="32878D34" w14:textId="77777777" w:rsidR="007B00C8" w:rsidRPr="007B00C8" w:rsidRDefault="007B00C8" w:rsidP="007B00C8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  <w:vertAlign w:val="superscript"/>
        </w:rPr>
        <w:t>c</w:t>
      </w:r>
      <w:r w:rsidRPr="007B00C8">
        <w:rPr>
          <w:rFonts w:ascii="Arial" w:hAnsi="Arial" w:cs="Arial"/>
          <w:color w:val="000000" w:themeColor="text1"/>
          <w:sz w:val="20"/>
          <w:szCs w:val="20"/>
        </w:rPr>
        <w:t>Bell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 Research </w:t>
      </w: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</w:rPr>
        <w:t>Center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, Department of Obstetrics and </w:t>
      </w: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</w:rPr>
        <w:t>Gynecology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 Collaborative Research, Nagoya University Graduate School of Medicine, Nagoya, Japan</w:t>
      </w:r>
    </w:p>
    <w:p w14:paraId="1540D56A" w14:textId="77777777" w:rsidR="007B00C8" w:rsidRPr="007B00C8" w:rsidRDefault="007B00C8" w:rsidP="007B00C8">
      <w:pPr>
        <w:adjustRightInd w:val="0"/>
        <w:snapToGri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  <w:vertAlign w:val="superscript"/>
        </w:rPr>
        <w:t>d</w:t>
      </w:r>
      <w:r w:rsidRPr="007B00C8">
        <w:rPr>
          <w:rFonts w:ascii="Arial" w:hAnsi="Arial" w:cs="Arial"/>
          <w:color w:val="000000" w:themeColor="text1"/>
          <w:sz w:val="20"/>
          <w:szCs w:val="20"/>
        </w:rPr>
        <w:t>Bell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 Research </w:t>
      </w: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</w:rPr>
        <w:t>Center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 for Reproductive Health and Cancer, Nagoya, Japan</w:t>
      </w:r>
    </w:p>
    <w:p w14:paraId="73480EF5" w14:textId="77777777" w:rsidR="007B00C8" w:rsidRPr="007B00C8" w:rsidRDefault="007B00C8" w:rsidP="007B00C8">
      <w:pPr>
        <w:pStyle w:val="MDPI16affiliation"/>
        <w:spacing w:line="240" w:lineRule="auto"/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B00C8">
        <w:rPr>
          <w:rFonts w:ascii="Arial" w:hAnsi="Arial" w:cs="Arial"/>
          <w:color w:val="000000" w:themeColor="text1"/>
          <w:sz w:val="20"/>
          <w:szCs w:val="20"/>
          <w:vertAlign w:val="superscript"/>
        </w:rPr>
        <w:t>e</w:t>
      </w:r>
      <w:r w:rsidRPr="007B00C8">
        <w:rPr>
          <w:rFonts w:ascii="Arial" w:hAnsi="Arial" w:cs="Arial"/>
          <w:color w:val="000000" w:themeColor="text1"/>
          <w:sz w:val="20"/>
          <w:szCs w:val="20"/>
          <w:lang w:val="en-AU" w:eastAsia="ja-JP"/>
        </w:rPr>
        <w:t xml:space="preserve">Department of Gynaecological Oncology, Royal Adelaide Hospital, Adelaide 5000, Australia; </w:t>
      </w:r>
    </w:p>
    <w:p w14:paraId="2E72C9D6" w14:textId="77777777" w:rsidR="007B00C8" w:rsidRPr="007B00C8" w:rsidRDefault="007B00C8" w:rsidP="007B00C8">
      <w:pPr>
        <w:jc w:val="both"/>
        <w:rPr>
          <w:rFonts w:ascii="Arial" w:hAnsi="Arial" w:cs="Arial"/>
          <w:color w:val="000000" w:themeColor="text1"/>
          <w:sz w:val="20"/>
          <w:szCs w:val="20"/>
          <w:lang w:val="en-US" w:eastAsia="de-DE" w:bidi="en-US"/>
        </w:rPr>
      </w:pPr>
    </w:p>
    <w:p w14:paraId="04B5E1E6" w14:textId="77777777" w:rsidR="007B00C8" w:rsidRPr="007B00C8" w:rsidRDefault="007B00C8" w:rsidP="007B00C8">
      <w:pPr>
        <w:pStyle w:val="MDPI16affiliation"/>
        <w:spacing w:line="240" w:lineRule="auto"/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*Correspondence: Carmela </w:t>
      </w:r>
      <w:proofErr w:type="spellStart"/>
      <w:r w:rsidRPr="007B00C8">
        <w:rPr>
          <w:rFonts w:ascii="Arial" w:hAnsi="Arial" w:cs="Arial"/>
          <w:color w:val="000000" w:themeColor="text1"/>
          <w:sz w:val="20"/>
          <w:szCs w:val="20"/>
        </w:rPr>
        <w:t>Ricciardelli</w:t>
      </w:r>
      <w:proofErr w:type="spellEnd"/>
      <w:r w:rsidRPr="007B00C8">
        <w:rPr>
          <w:rFonts w:ascii="Arial" w:hAnsi="Arial" w:cs="Arial"/>
          <w:color w:val="000000" w:themeColor="text1"/>
          <w:sz w:val="20"/>
          <w:szCs w:val="20"/>
        </w:rPr>
        <w:t xml:space="preserve">, Reproductive Cancer Group, AHMS Building, The University of Adelaide, Adelaide, Australia, </w:t>
      </w:r>
      <w:r w:rsidRPr="007B00C8">
        <w:rPr>
          <w:rFonts w:ascii="Arial" w:hAnsi="Arial" w:cs="Arial"/>
          <w:color w:val="000000" w:themeColor="text1"/>
          <w:sz w:val="20"/>
          <w:szCs w:val="20"/>
          <w:lang w:val="en-AU" w:eastAsia="ja-JP"/>
        </w:rPr>
        <w:t>carmela.ricciardelli@adelaide.edu.au; Tel.:+61-08-8313-8255</w:t>
      </w:r>
    </w:p>
    <w:p w14:paraId="5E25BC43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EA4C704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729678AB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4BAEADB0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4096C444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EAB90B2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2F3F518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2331A2C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387A4AB4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38434D15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C5CA917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E550DC8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DD3B704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E6B7B8D" w14:textId="77777777" w:rsid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3F4BE4D3" w14:textId="77777777" w:rsid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39E1AAC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9FC8DFA" w14:textId="77777777" w:rsidR="007B00C8" w:rsidRPr="007B00C8" w:rsidRDefault="007B00C8" w:rsidP="00C82B2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A06FF08" w14:textId="064F4451" w:rsidR="00C82B2A" w:rsidRPr="007B00C8" w:rsidRDefault="00C82B2A" w:rsidP="00C82B2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 xml:space="preserve">Supplementary </w:t>
      </w:r>
      <w:r w:rsidR="005C66A6"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Table </w:t>
      </w:r>
      <w:r w:rsidR="009923DA"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1</w:t>
      </w:r>
      <w:r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r w:rsidRPr="007B00C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TaqMan Primer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B2A" w:rsidRPr="007B00C8" w14:paraId="6891734C" w14:textId="77777777" w:rsidTr="00D66991">
        <w:tc>
          <w:tcPr>
            <w:tcW w:w="4508" w:type="dxa"/>
          </w:tcPr>
          <w:p w14:paraId="69729D9C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sz w:val="20"/>
                <w:szCs w:val="20"/>
              </w:rPr>
              <w:t>Gene</w:t>
            </w:r>
          </w:p>
        </w:tc>
        <w:tc>
          <w:tcPr>
            <w:tcW w:w="4508" w:type="dxa"/>
          </w:tcPr>
          <w:p w14:paraId="6D15635A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sz w:val="20"/>
                <w:szCs w:val="20"/>
              </w:rPr>
              <w:t>Primer ID</w:t>
            </w:r>
          </w:p>
        </w:tc>
      </w:tr>
      <w:tr w:rsidR="00C82B2A" w:rsidRPr="007B00C8" w14:paraId="2606175D" w14:textId="77777777" w:rsidTr="00D66991">
        <w:tc>
          <w:tcPr>
            <w:tcW w:w="4508" w:type="dxa"/>
          </w:tcPr>
          <w:p w14:paraId="2F011156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TWIST1</w:t>
            </w:r>
          </w:p>
        </w:tc>
        <w:tc>
          <w:tcPr>
            <w:tcW w:w="4508" w:type="dxa"/>
          </w:tcPr>
          <w:p w14:paraId="5702EB34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color w:val="000000" w:themeColor="text1"/>
                <w:sz w:val="20"/>
                <w:szCs w:val="20"/>
              </w:rPr>
              <w:t>Hs00361186_m1</w:t>
            </w:r>
          </w:p>
        </w:tc>
      </w:tr>
      <w:tr w:rsidR="00C82B2A" w:rsidRPr="007B00C8" w14:paraId="7E707B60" w14:textId="77777777" w:rsidTr="00D66991">
        <w:tc>
          <w:tcPr>
            <w:tcW w:w="4508" w:type="dxa"/>
          </w:tcPr>
          <w:p w14:paraId="52BB0CB9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NOTCH1</w:t>
            </w:r>
          </w:p>
        </w:tc>
        <w:tc>
          <w:tcPr>
            <w:tcW w:w="4508" w:type="dxa"/>
          </w:tcPr>
          <w:p w14:paraId="6CE3E90D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color w:val="000000" w:themeColor="text1"/>
                <w:sz w:val="20"/>
                <w:szCs w:val="20"/>
              </w:rPr>
              <w:t>Hs01062014_m1</w:t>
            </w:r>
          </w:p>
        </w:tc>
      </w:tr>
      <w:tr w:rsidR="00C82B2A" w:rsidRPr="007B00C8" w14:paraId="0D64B1A1" w14:textId="77777777" w:rsidTr="00D66991">
        <w:tc>
          <w:tcPr>
            <w:tcW w:w="4508" w:type="dxa"/>
          </w:tcPr>
          <w:p w14:paraId="3C3A0231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NOTCH3</w:t>
            </w:r>
          </w:p>
        </w:tc>
        <w:tc>
          <w:tcPr>
            <w:tcW w:w="4508" w:type="dxa"/>
          </w:tcPr>
          <w:p w14:paraId="1872F66F" w14:textId="77777777" w:rsidR="00C82B2A" w:rsidRPr="007B00C8" w:rsidRDefault="00C82B2A" w:rsidP="00D66991">
            <w:pPr>
              <w:rPr>
                <w:rFonts w:ascii="Arial" w:hAnsi="Arial" w:cs="Arial"/>
                <w:sz w:val="20"/>
                <w:szCs w:val="20"/>
              </w:rPr>
            </w:pPr>
            <w:r w:rsidRPr="007B00C8">
              <w:rPr>
                <w:rFonts w:ascii="Arial" w:hAnsi="Arial" w:cs="Arial"/>
                <w:color w:val="000000" w:themeColor="text1"/>
                <w:sz w:val="20"/>
                <w:szCs w:val="20"/>
              </w:rPr>
              <w:t>Hs01128537_m1</w:t>
            </w:r>
          </w:p>
        </w:tc>
      </w:tr>
      <w:tr w:rsidR="00C82B2A" w:rsidRPr="007B00C8" w14:paraId="7E8284F6" w14:textId="77777777" w:rsidTr="00D66991">
        <w:tc>
          <w:tcPr>
            <w:tcW w:w="4508" w:type="dxa"/>
          </w:tcPr>
          <w:p w14:paraId="20964CF1" w14:textId="77777777" w:rsidR="00C82B2A" w:rsidRPr="007B00C8" w:rsidRDefault="00C82B2A" w:rsidP="00D66991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7B00C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GAPDH</w:t>
            </w:r>
            <w:r w:rsidRPr="007B00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</w:tcPr>
          <w:p w14:paraId="411284EE" w14:textId="77777777" w:rsidR="00C82B2A" w:rsidRPr="007B00C8" w:rsidRDefault="00C82B2A" w:rsidP="00D6699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00C8">
              <w:rPr>
                <w:rFonts w:ascii="Arial" w:hAnsi="Arial" w:cs="Arial"/>
                <w:color w:val="000000" w:themeColor="text1"/>
                <w:sz w:val="20"/>
                <w:szCs w:val="20"/>
                <w:lang w:eastAsia="en-AU"/>
              </w:rPr>
              <w:t>Hs02758991</w:t>
            </w:r>
          </w:p>
        </w:tc>
      </w:tr>
    </w:tbl>
    <w:p w14:paraId="7033BDC9" w14:textId="77777777" w:rsidR="00C82B2A" w:rsidRPr="007B00C8" w:rsidRDefault="00C82B2A" w:rsidP="00C82B2A">
      <w:pPr>
        <w:rPr>
          <w:rFonts w:ascii="Arial" w:hAnsi="Arial" w:cs="Arial"/>
          <w:sz w:val="20"/>
          <w:szCs w:val="20"/>
        </w:rPr>
        <w:sectPr w:rsidR="00C82B2A" w:rsidRPr="007B00C8" w:rsidSect="002B67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9ECE5FA" w14:textId="08C4342D" w:rsidR="002B6722" w:rsidRPr="007B00C8" w:rsidRDefault="00E43E0E" w:rsidP="000E466F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 xml:space="preserve">Supplementary Table </w:t>
      </w:r>
      <w:r w:rsidR="009923DA"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2</w:t>
      </w:r>
      <w:r w:rsidR="002B6722" w:rsidRPr="007B00C8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:</w:t>
      </w:r>
      <w:r w:rsidR="002B6722" w:rsidRPr="007B00C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Clinicopathological characteristics of HGSOC TMA cohort and matching HGSOC patient tissues. </w:t>
      </w:r>
    </w:p>
    <w:tbl>
      <w:tblPr>
        <w:tblStyle w:val="TableGridLight"/>
        <w:tblW w:w="9123" w:type="dxa"/>
        <w:tblLook w:val="04A0" w:firstRow="1" w:lastRow="0" w:firstColumn="1" w:lastColumn="0" w:noHBand="0" w:noVBand="1"/>
      </w:tblPr>
      <w:tblGrid>
        <w:gridCol w:w="4106"/>
        <w:gridCol w:w="2693"/>
        <w:gridCol w:w="2324"/>
      </w:tblGrid>
      <w:tr w:rsidR="002B6722" w:rsidRPr="007B00C8" w14:paraId="7BA96CBE" w14:textId="77777777" w:rsidTr="008457E4">
        <w:trPr>
          <w:trHeight w:val="403"/>
        </w:trPr>
        <w:tc>
          <w:tcPr>
            <w:tcW w:w="9123" w:type="dxa"/>
            <w:gridSpan w:val="3"/>
            <w:noWrap/>
            <w:hideMark/>
          </w:tcPr>
          <w:p w14:paraId="603F68EE" w14:textId="77777777" w:rsidR="002B6722" w:rsidRPr="007B00C8" w:rsidRDefault="002B6722" w:rsidP="008457E4">
            <w:pPr>
              <w:rPr>
                <w:rFonts w:ascii="Arial" w:hAnsi="Arial" w:cs="Arial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Primary serous carcinomas (n=87)</w:t>
            </w:r>
          </w:p>
        </w:tc>
      </w:tr>
      <w:tr w:rsidR="002B6722" w:rsidRPr="007B00C8" w14:paraId="3FB1453A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2DBD9FA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Age at Diagnosis (years)</w:t>
            </w:r>
          </w:p>
        </w:tc>
        <w:tc>
          <w:tcPr>
            <w:tcW w:w="2693" w:type="dxa"/>
            <w:noWrap/>
            <w:hideMark/>
          </w:tcPr>
          <w:p w14:paraId="5EA26910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Median (range)</w:t>
            </w:r>
          </w:p>
        </w:tc>
        <w:tc>
          <w:tcPr>
            <w:tcW w:w="2324" w:type="dxa"/>
            <w:noWrap/>
            <w:hideMark/>
          </w:tcPr>
          <w:p w14:paraId="17A568C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 60 (24-86)</w:t>
            </w:r>
          </w:p>
        </w:tc>
      </w:tr>
      <w:tr w:rsidR="002B6722" w:rsidRPr="007B00C8" w14:paraId="15DF2778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EB99EFC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Histological Grade</w:t>
            </w:r>
          </w:p>
        </w:tc>
        <w:tc>
          <w:tcPr>
            <w:tcW w:w="2693" w:type="dxa"/>
            <w:noWrap/>
            <w:hideMark/>
          </w:tcPr>
          <w:p w14:paraId="0214E60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Grade 2</w:t>
            </w:r>
          </w:p>
        </w:tc>
        <w:tc>
          <w:tcPr>
            <w:tcW w:w="2324" w:type="dxa"/>
            <w:noWrap/>
            <w:hideMark/>
          </w:tcPr>
          <w:p w14:paraId="76C8F15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18</w:t>
            </w:r>
          </w:p>
        </w:tc>
      </w:tr>
      <w:tr w:rsidR="002B6722" w:rsidRPr="007B00C8" w14:paraId="15CDBE9E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2CF9EC0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0AE1972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 Grade 3</w:t>
            </w:r>
          </w:p>
        </w:tc>
        <w:tc>
          <w:tcPr>
            <w:tcW w:w="2324" w:type="dxa"/>
            <w:noWrap/>
            <w:hideMark/>
          </w:tcPr>
          <w:p w14:paraId="0B7154C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69</w:t>
            </w:r>
          </w:p>
        </w:tc>
      </w:tr>
      <w:tr w:rsidR="002B6722" w:rsidRPr="007B00C8" w14:paraId="6E6CBC6D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11167DF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FIGO stage</w:t>
            </w:r>
          </w:p>
        </w:tc>
        <w:tc>
          <w:tcPr>
            <w:tcW w:w="2693" w:type="dxa"/>
            <w:noWrap/>
            <w:hideMark/>
          </w:tcPr>
          <w:p w14:paraId="26EAC93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II</w:t>
            </w:r>
          </w:p>
        </w:tc>
        <w:tc>
          <w:tcPr>
            <w:tcW w:w="2324" w:type="dxa"/>
            <w:noWrap/>
            <w:hideMark/>
          </w:tcPr>
          <w:p w14:paraId="1836191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</w:t>
            </w:r>
          </w:p>
        </w:tc>
      </w:tr>
      <w:tr w:rsidR="002B6722" w:rsidRPr="007B00C8" w14:paraId="37A833FD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C85893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09EE31A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III</w:t>
            </w:r>
          </w:p>
        </w:tc>
        <w:tc>
          <w:tcPr>
            <w:tcW w:w="2324" w:type="dxa"/>
            <w:noWrap/>
            <w:hideMark/>
          </w:tcPr>
          <w:p w14:paraId="11F3239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85</w:t>
            </w:r>
          </w:p>
        </w:tc>
      </w:tr>
      <w:tr w:rsidR="002B6722" w:rsidRPr="007B00C8" w14:paraId="3853E7C0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4ADF413C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71D669D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IV</w:t>
            </w:r>
          </w:p>
        </w:tc>
        <w:tc>
          <w:tcPr>
            <w:tcW w:w="2324" w:type="dxa"/>
            <w:noWrap/>
            <w:hideMark/>
          </w:tcPr>
          <w:p w14:paraId="49A7758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</w:t>
            </w:r>
          </w:p>
        </w:tc>
      </w:tr>
      <w:tr w:rsidR="002B6722" w:rsidRPr="007B00C8" w14:paraId="56CD74A9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5EE7D5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DAB2ep (n=87), H-score max percentiles</w:t>
            </w:r>
          </w:p>
        </w:tc>
        <w:tc>
          <w:tcPr>
            <w:tcW w:w="2693" w:type="dxa"/>
            <w:noWrap/>
            <w:hideMark/>
          </w:tcPr>
          <w:p w14:paraId="294ACB6B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25</w:t>
            </w:r>
          </w:p>
        </w:tc>
        <w:tc>
          <w:tcPr>
            <w:tcW w:w="2324" w:type="dxa"/>
            <w:noWrap/>
            <w:hideMark/>
          </w:tcPr>
          <w:p w14:paraId="356AA1C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20.1</w:t>
            </w:r>
          </w:p>
        </w:tc>
      </w:tr>
      <w:tr w:rsidR="002B6722" w:rsidRPr="007B00C8" w14:paraId="07EF9568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23014CA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03E6E45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50</w:t>
            </w:r>
          </w:p>
        </w:tc>
        <w:tc>
          <w:tcPr>
            <w:tcW w:w="2324" w:type="dxa"/>
            <w:noWrap/>
            <w:hideMark/>
          </w:tcPr>
          <w:p w14:paraId="4BD365A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34.3</w:t>
            </w:r>
          </w:p>
        </w:tc>
      </w:tr>
      <w:tr w:rsidR="002B6722" w:rsidRPr="007B00C8" w14:paraId="78612704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D43732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6FA6484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75</w:t>
            </w:r>
          </w:p>
        </w:tc>
        <w:tc>
          <w:tcPr>
            <w:tcW w:w="2324" w:type="dxa"/>
            <w:noWrap/>
            <w:hideMark/>
          </w:tcPr>
          <w:p w14:paraId="592EEDA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70.4</w:t>
            </w:r>
          </w:p>
        </w:tc>
      </w:tr>
      <w:tr w:rsidR="002B6722" w:rsidRPr="007B00C8" w14:paraId="32187874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4222B97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DAB2st (n=86), H-score max percentiles</w:t>
            </w:r>
          </w:p>
        </w:tc>
        <w:tc>
          <w:tcPr>
            <w:tcW w:w="2693" w:type="dxa"/>
            <w:noWrap/>
            <w:hideMark/>
          </w:tcPr>
          <w:p w14:paraId="4932E61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25</w:t>
            </w:r>
          </w:p>
        </w:tc>
        <w:tc>
          <w:tcPr>
            <w:tcW w:w="2324" w:type="dxa"/>
            <w:noWrap/>
            <w:hideMark/>
          </w:tcPr>
          <w:p w14:paraId="40B31AD0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52.6</w:t>
            </w:r>
          </w:p>
        </w:tc>
      </w:tr>
      <w:tr w:rsidR="002B6722" w:rsidRPr="007B00C8" w14:paraId="0386E1D4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6FD1BA4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5BE4223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50</w:t>
            </w:r>
          </w:p>
        </w:tc>
        <w:tc>
          <w:tcPr>
            <w:tcW w:w="2324" w:type="dxa"/>
            <w:noWrap/>
            <w:hideMark/>
          </w:tcPr>
          <w:p w14:paraId="5A016B8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83.6</w:t>
            </w:r>
          </w:p>
        </w:tc>
      </w:tr>
      <w:tr w:rsidR="002B6722" w:rsidRPr="007B00C8" w14:paraId="2D769847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689235F0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4C2C33AB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75</w:t>
            </w:r>
          </w:p>
        </w:tc>
        <w:tc>
          <w:tcPr>
            <w:tcW w:w="2324" w:type="dxa"/>
            <w:noWrap/>
            <w:hideMark/>
          </w:tcPr>
          <w:p w14:paraId="56C70E2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125.6</w:t>
            </w:r>
          </w:p>
        </w:tc>
      </w:tr>
      <w:tr w:rsidR="002B6722" w:rsidRPr="007B00C8" w14:paraId="3BCE8048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39BCB8C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Recurrence </w:t>
            </w:r>
          </w:p>
        </w:tc>
        <w:tc>
          <w:tcPr>
            <w:tcW w:w="2693" w:type="dxa"/>
            <w:noWrap/>
            <w:hideMark/>
          </w:tcPr>
          <w:p w14:paraId="1809941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No</w:t>
            </w:r>
          </w:p>
        </w:tc>
        <w:tc>
          <w:tcPr>
            <w:tcW w:w="2324" w:type="dxa"/>
            <w:noWrap/>
            <w:hideMark/>
          </w:tcPr>
          <w:p w14:paraId="4283227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19</w:t>
            </w:r>
          </w:p>
        </w:tc>
      </w:tr>
      <w:tr w:rsidR="002B6722" w:rsidRPr="007B00C8" w14:paraId="660A7077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7C1C1B7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5D560E0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Yes</w:t>
            </w:r>
          </w:p>
        </w:tc>
        <w:tc>
          <w:tcPr>
            <w:tcW w:w="2324" w:type="dxa"/>
            <w:noWrap/>
            <w:hideMark/>
          </w:tcPr>
          <w:p w14:paraId="4965EB8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62</w:t>
            </w:r>
          </w:p>
        </w:tc>
      </w:tr>
      <w:tr w:rsidR="002B6722" w:rsidRPr="007B00C8" w14:paraId="20DFD118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398962D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66A0C0B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Unknown</w:t>
            </w:r>
          </w:p>
        </w:tc>
        <w:tc>
          <w:tcPr>
            <w:tcW w:w="2324" w:type="dxa"/>
            <w:noWrap/>
            <w:hideMark/>
          </w:tcPr>
          <w:p w14:paraId="400F2A8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6</w:t>
            </w:r>
          </w:p>
        </w:tc>
      </w:tr>
      <w:tr w:rsidR="002B6722" w:rsidRPr="007B00C8" w14:paraId="0A9B4E0B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45653AD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Cause of Death</w:t>
            </w:r>
          </w:p>
        </w:tc>
        <w:tc>
          <w:tcPr>
            <w:tcW w:w="2693" w:type="dxa"/>
            <w:noWrap/>
            <w:hideMark/>
          </w:tcPr>
          <w:p w14:paraId="578F41F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Ovarian cancer</w:t>
            </w:r>
          </w:p>
        </w:tc>
        <w:tc>
          <w:tcPr>
            <w:tcW w:w="2324" w:type="dxa"/>
            <w:noWrap/>
            <w:hideMark/>
          </w:tcPr>
          <w:p w14:paraId="2DE378B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59</w:t>
            </w:r>
          </w:p>
        </w:tc>
      </w:tr>
      <w:tr w:rsidR="002B6722" w:rsidRPr="007B00C8" w14:paraId="563D3FD1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30DA0A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3CD8603C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Other cause</w:t>
            </w:r>
          </w:p>
        </w:tc>
        <w:tc>
          <w:tcPr>
            <w:tcW w:w="2324" w:type="dxa"/>
            <w:noWrap/>
            <w:hideMark/>
          </w:tcPr>
          <w:p w14:paraId="53F0C18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</w:t>
            </w:r>
          </w:p>
        </w:tc>
      </w:tr>
      <w:tr w:rsidR="002B6722" w:rsidRPr="007B00C8" w14:paraId="557870FD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6C624B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7A7B80FB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Alive</w:t>
            </w:r>
          </w:p>
        </w:tc>
        <w:tc>
          <w:tcPr>
            <w:tcW w:w="2324" w:type="dxa"/>
            <w:noWrap/>
            <w:hideMark/>
          </w:tcPr>
          <w:p w14:paraId="6F100AB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18</w:t>
            </w:r>
          </w:p>
        </w:tc>
      </w:tr>
      <w:tr w:rsidR="002B6722" w:rsidRPr="007B00C8" w14:paraId="463CC8E5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89377A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1C61D7B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No follow-up</w:t>
            </w:r>
          </w:p>
        </w:tc>
        <w:tc>
          <w:tcPr>
            <w:tcW w:w="2324" w:type="dxa"/>
            <w:noWrap/>
            <w:hideMark/>
          </w:tcPr>
          <w:p w14:paraId="709CB0F0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</w:t>
            </w:r>
          </w:p>
        </w:tc>
      </w:tr>
      <w:tr w:rsidR="002B6722" w:rsidRPr="007B00C8" w14:paraId="3824B4E4" w14:textId="77777777" w:rsidTr="008457E4">
        <w:trPr>
          <w:trHeight w:val="403"/>
        </w:trPr>
        <w:tc>
          <w:tcPr>
            <w:tcW w:w="9123" w:type="dxa"/>
            <w:gridSpan w:val="3"/>
            <w:noWrap/>
            <w:hideMark/>
          </w:tcPr>
          <w:p w14:paraId="24F3CDA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Metastatic serous carcinomas (n=49)</w:t>
            </w:r>
          </w:p>
        </w:tc>
      </w:tr>
      <w:tr w:rsidR="002B6722" w:rsidRPr="007B00C8" w14:paraId="3CBD6239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733C5E0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Age at Diagnosis (years)</w:t>
            </w:r>
          </w:p>
        </w:tc>
        <w:tc>
          <w:tcPr>
            <w:tcW w:w="2693" w:type="dxa"/>
            <w:noWrap/>
            <w:hideMark/>
          </w:tcPr>
          <w:p w14:paraId="6DF00C2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Median (range)</w:t>
            </w:r>
          </w:p>
        </w:tc>
        <w:tc>
          <w:tcPr>
            <w:tcW w:w="2324" w:type="dxa"/>
            <w:noWrap/>
            <w:hideMark/>
          </w:tcPr>
          <w:p w14:paraId="2D0F3DA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 68 (45-90)</w:t>
            </w:r>
          </w:p>
        </w:tc>
      </w:tr>
      <w:tr w:rsidR="002B6722" w:rsidRPr="007B00C8" w14:paraId="0EA074BA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486DF8C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Histological Grade</w:t>
            </w:r>
          </w:p>
        </w:tc>
        <w:tc>
          <w:tcPr>
            <w:tcW w:w="2693" w:type="dxa"/>
            <w:noWrap/>
            <w:hideMark/>
          </w:tcPr>
          <w:p w14:paraId="3DEDBC7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Grade 2</w:t>
            </w:r>
          </w:p>
        </w:tc>
        <w:tc>
          <w:tcPr>
            <w:tcW w:w="2324" w:type="dxa"/>
            <w:noWrap/>
            <w:hideMark/>
          </w:tcPr>
          <w:p w14:paraId="6464EB3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8</w:t>
            </w:r>
          </w:p>
        </w:tc>
      </w:tr>
      <w:tr w:rsidR="002B6722" w:rsidRPr="007B00C8" w14:paraId="5ACC3FCF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3CAAAB9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7A854CD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 Grade 3</w:t>
            </w:r>
          </w:p>
        </w:tc>
        <w:tc>
          <w:tcPr>
            <w:tcW w:w="2324" w:type="dxa"/>
            <w:noWrap/>
            <w:hideMark/>
          </w:tcPr>
          <w:p w14:paraId="66E0D80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41</w:t>
            </w:r>
          </w:p>
        </w:tc>
      </w:tr>
      <w:tr w:rsidR="002B6722" w:rsidRPr="007B00C8" w14:paraId="180F8C28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68B8DC0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FIGO stage</w:t>
            </w:r>
          </w:p>
        </w:tc>
        <w:tc>
          <w:tcPr>
            <w:tcW w:w="2693" w:type="dxa"/>
            <w:noWrap/>
            <w:hideMark/>
          </w:tcPr>
          <w:p w14:paraId="16DE3E6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III</w:t>
            </w:r>
          </w:p>
        </w:tc>
        <w:tc>
          <w:tcPr>
            <w:tcW w:w="2324" w:type="dxa"/>
            <w:noWrap/>
            <w:hideMark/>
          </w:tcPr>
          <w:p w14:paraId="670DD0C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44</w:t>
            </w:r>
          </w:p>
        </w:tc>
      </w:tr>
      <w:tr w:rsidR="002B6722" w:rsidRPr="007B00C8" w14:paraId="5238928B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2780ABE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0E4FA0C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IV</w:t>
            </w:r>
          </w:p>
        </w:tc>
        <w:tc>
          <w:tcPr>
            <w:tcW w:w="2324" w:type="dxa"/>
            <w:noWrap/>
            <w:hideMark/>
          </w:tcPr>
          <w:p w14:paraId="1FD890D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</w:t>
            </w:r>
          </w:p>
        </w:tc>
      </w:tr>
      <w:tr w:rsidR="002B6722" w:rsidRPr="007B00C8" w14:paraId="13BCF5E4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F5AB88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DAB2ep (n=49), H-score max percentiles</w:t>
            </w:r>
          </w:p>
        </w:tc>
        <w:tc>
          <w:tcPr>
            <w:tcW w:w="2693" w:type="dxa"/>
            <w:noWrap/>
            <w:hideMark/>
          </w:tcPr>
          <w:p w14:paraId="36672C8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25</w:t>
            </w:r>
          </w:p>
        </w:tc>
        <w:tc>
          <w:tcPr>
            <w:tcW w:w="2324" w:type="dxa"/>
            <w:noWrap/>
            <w:hideMark/>
          </w:tcPr>
          <w:p w14:paraId="2F24041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15.4</w:t>
            </w:r>
          </w:p>
        </w:tc>
      </w:tr>
      <w:tr w:rsidR="002B6722" w:rsidRPr="007B00C8" w14:paraId="7D72DD3A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331ED0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3D5E8D5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50</w:t>
            </w:r>
          </w:p>
        </w:tc>
        <w:tc>
          <w:tcPr>
            <w:tcW w:w="2324" w:type="dxa"/>
            <w:noWrap/>
            <w:hideMark/>
          </w:tcPr>
          <w:p w14:paraId="6F61291B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34.3</w:t>
            </w:r>
          </w:p>
        </w:tc>
      </w:tr>
      <w:tr w:rsidR="002B6722" w:rsidRPr="007B00C8" w14:paraId="4FB7E7D3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3A9DF3FB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58A5AC0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75</w:t>
            </w:r>
          </w:p>
        </w:tc>
        <w:tc>
          <w:tcPr>
            <w:tcW w:w="2324" w:type="dxa"/>
            <w:noWrap/>
            <w:hideMark/>
          </w:tcPr>
          <w:p w14:paraId="66C5DCE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60.8</w:t>
            </w:r>
          </w:p>
        </w:tc>
      </w:tr>
      <w:tr w:rsidR="002B6722" w:rsidRPr="007B00C8" w14:paraId="1C1151C4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D45710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DAB2st (n=48), H-score max percentiles</w:t>
            </w:r>
          </w:p>
        </w:tc>
        <w:tc>
          <w:tcPr>
            <w:tcW w:w="2693" w:type="dxa"/>
            <w:noWrap/>
            <w:hideMark/>
          </w:tcPr>
          <w:p w14:paraId="4C0EF30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25</w:t>
            </w:r>
          </w:p>
        </w:tc>
        <w:tc>
          <w:tcPr>
            <w:tcW w:w="2324" w:type="dxa"/>
            <w:noWrap/>
            <w:hideMark/>
          </w:tcPr>
          <w:p w14:paraId="748E8F0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69.4</w:t>
            </w:r>
          </w:p>
        </w:tc>
      </w:tr>
      <w:tr w:rsidR="002B6722" w:rsidRPr="007B00C8" w14:paraId="6CB6CC19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F7A806D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799DC69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50</w:t>
            </w:r>
          </w:p>
        </w:tc>
        <w:tc>
          <w:tcPr>
            <w:tcW w:w="2324" w:type="dxa"/>
            <w:noWrap/>
            <w:hideMark/>
          </w:tcPr>
          <w:p w14:paraId="34D8656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100.4</w:t>
            </w:r>
          </w:p>
        </w:tc>
      </w:tr>
      <w:tr w:rsidR="002B6722" w:rsidRPr="007B00C8" w14:paraId="032DC537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3BC0D750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7010F83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75</w:t>
            </w:r>
          </w:p>
        </w:tc>
        <w:tc>
          <w:tcPr>
            <w:tcW w:w="2324" w:type="dxa"/>
            <w:noWrap/>
            <w:hideMark/>
          </w:tcPr>
          <w:p w14:paraId="560E71B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130.1</w:t>
            </w:r>
          </w:p>
        </w:tc>
      </w:tr>
      <w:tr w:rsidR="002B6722" w:rsidRPr="007B00C8" w14:paraId="168C8BD1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DF37DE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Recurrence </w:t>
            </w:r>
          </w:p>
        </w:tc>
        <w:tc>
          <w:tcPr>
            <w:tcW w:w="2693" w:type="dxa"/>
            <w:noWrap/>
            <w:hideMark/>
          </w:tcPr>
          <w:p w14:paraId="51313C1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No</w:t>
            </w:r>
          </w:p>
        </w:tc>
        <w:tc>
          <w:tcPr>
            <w:tcW w:w="2324" w:type="dxa"/>
            <w:noWrap/>
            <w:hideMark/>
          </w:tcPr>
          <w:p w14:paraId="68DA376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14</w:t>
            </w:r>
          </w:p>
        </w:tc>
      </w:tr>
      <w:tr w:rsidR="002B6722" w:rsidRPr="007B00C8" w14:paraId="0B9203FA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28DC8E2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3045E44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Yes</w:t>
            </w:r>
          </w:p>
        </w:tc>
        <w:tc>
          <w:tcPr>
            <w:tcW w:w="2324" w:type="dxa"/>
            <w:noWrap/>
            <w:hideMark/>
          </w:tcPr>
          <w:p w14:paraId="0453528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30</w:t>
            </w:r>
          </w:p>
        </w:tc>
      </w:tr>
      <w:tr w:rsidR="002B6722" w:rsidRPr="007B00C8" w14:paraId="1158A2DD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7BAF35C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0BAE263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Unknown</w:t>
            </w:r>
          </w:p>
        </w:tc>
        <w:tc>
          <w:tcPr>
            <w:tcW w:w="2324" w:type="dxa"/>
            <w:noWrap/>
            <w:hideMark/>
          </w:tcPr>
          <w:p w14:paraId="32FC3A6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</w:t>
            </w:r>
          </w:p>
        </w:tc>
      </w:tr>
      <w:tr w:rsidR="002B6722" w:rsidRPr="007B00C8" w14:paraId="3F08F67C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106CA2EC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Cause of Death</w:t>
            </w:r>
          </w:p>
        </w:tc>
        <w:tc>
          <w:tcPr>
            <w:tcW w:w="2693" w:type="dxa"/>
            <w:noWrap/>
            <w:hideMark/>
          </w:tcPr>
          <w:p w14:paraId="32B2F8C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Ovarian cancer</w:t>
            </w:r>
          </w:p>
        </w:tc>
        <w:tc>
          <w:tcPr>
            <w:tcW w:w="2324" w:type="dxa"/>
            <w:noWrap/>
            <w:hideMark/>
          </w:tcPr>
          <w:p w14:paraId="16FE90E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30</w:t>
            </w:r>
          </w:p>
        </w:tc>
      </w:tr>
      <w:tr w:rsidR="002B6722" w:rsidRPr="007B00C8" w14:paraId="3F21BC7A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5E4B85B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4281559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Other cause</w:t>
            </w:r>
          </w:p>
        </w:tc>
        <w:tc>
          <w:tcPr>
            <w:tcW w:w="2324" w:type="dxa"/>
            <w:noWrap/>
            <w:hideMark/>
          </w:tcPr>
          <w:p w14:paraId="76BCAC0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3</w:t>
            </w:r>
          </w:p>
        </w:tc>
      </w:tr>
      <w:tr w:rsidR="002B6722" w:rsidRPr="007B00C8" w14:paraId="7D409480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C48661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50807A8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Alive</w:t>
            </w:r>
          </w:p>
        </w:tc>
        <w:tc>
          <w:tcPr>
            <w:tcW w:w="2324" w:type="dxa"/>
            <w:noWrap/>
            <w:hideMark/>
          </w:tcPr>
          <w:p w14:paraId="6BE9A3D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14</w:t>
            </w:r>
          </w:p>
        </w:tc>
      </w:tr>
      <w:tr w:rsidR="002B6722" w:rsidRPr="007B00C8" w14:paraId="1F0953F8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318DE15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2B09D32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No follow-up</w:t>
            </w:r>
          </w:p>
        </w:tc>
        <w:tc>
          <w:tcPr>
            <w:tcW w:w="2324" w:type="dxa"/>
            <w:noWrap/>
            <w:hideMark/>
          </w:tcPr>
          <w:p w14:paraId="32F5E971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</w:t>
            </w:r>
          </w:p>
        </w:tc>
      </w:tr>
      <w:tr w:rsidR="002B6722" w:rsidRPr="007B00C8" w14:paraId="104E0AB9" w14:textId="77777777" w:rsidTr="008457E4">
        <w:trPr>
          <w:trHeight w:val="403"/>
        </w:trPr>
        <w:tc>
          <w:tcPr>
            <w:tcW w:w="9123" w:type="dxa"/>
            <w:gridSpan w:val="3"/>
            <w:noWrap/>
            <w:hideMark/>
          </w:tcPr>
          <w:p w14:paraId="43E7023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Matched diagnosis and relapse serous carcinomas (n=4)</w:t>
            </w:r>
          </w:p>
        </w:tc>
      </w:tr>
      <w:tr w:rsidR="002B6722" w:rsidRPr="007B00C8" w14:paraId="4A704E12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1CFE1AE6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Age at Diagnosis</w:t>
            </w:r>
          </w:p>
        </w:tc>
        <w:tc>
          <w:tcPr>
            <w:tcW w:w="2693" w:type="dxa"/>
            <w:noWrap/>
            <w:hideMark/>
          </w:tcPr>
          <w:p w14:paraId="5B5AAC2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Median (range)</w:t>
            </w:r>
          </w:p>
        </w:tc>
        <w:tc>
          <w:tcPr>
            <w:tcW w:w="2324" w:type="dxa"/>
            <w:noWrap/>
            <w:hideMark/>
          </w:tcPr>
          <w:p w14:paraId="408BB37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54 (42-78)</w:t>
            </w:r>
          </w:p>
        </w:tc>
      </w:tr>
      <w:tr w:rsidR="002B6722" w:rsidRPr="007B00C8" w14:paraId="4ACA7D3A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16FD5B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Age at relapse</w:t>
            </w:r>
          </w:p>
        </w:tc>
        <w:tc>
          <w:tcPr>
            <w:tcW w:w="2693" w:type="dxa"/>
            <w:noWrap/>
            <w:hideMark/>
          </w:tcPr>
          <w:p w14:paraId="4A66AAC4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Median (range)</w:t>
            </w:r>
          </w:p>
        </w:tc>
        <w:tc>
          <w:tcPr>
            <w:tcW w:w="2324" w:type="dxa"/>
            <w:noWrap/>
            <w:hideMark/>
          </w:tcPr>
          <w:p w14:paraId="5FB2008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58 (46-79)</w:t>
            </w:r>
          </w:p>
        </w:tc>
      </w:tr>
      <w:tr w:rsidR="002B6722" w:rsidRPr="007B00C8" w14:paraId="3B20865C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5532F987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</w:rPr>
              <w:t>FIGO stage</w:t>
            </w:r>
          </w:p>
        </w:tc>
        <w:tc>
          <w:tcPr>
            <w:tcW w:w="2693" w:type="dxa"/>
            <w:noWrap/>
            <w:hideMark/>
          </w:tcPr>
          <w:p w14:paraId="1F9B999F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</w:t>
            </w:r>
          </w:p>
        </w:tc>
        <w:tc>
          <w:tcPr>
            <w:tcW w:w="2324" w:type="dxa"/>
            <w:noWrap/>
            <w:hideMark/>
          </w:tcPr>
          <w:p w14:paraId="2F61199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</w:t>
            </w:r>
          </w:p>
        </w:tc>
      </w:tr>
      <w:tr w:rsidR="002B6722" w:rsidRPr="007B00C8" w14:paraId="537ABFC0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69CF479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4FFA79B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Stage III</w:t>
            </w:r>
          </w:p>
        </w:tc>
        <w:tc>
          <w:tcPr>
            <w:tcW w:w="2324" w:type="dxa"/>
            <w:noWrap/>
            <w:hideMark/>
          </w:tcPr>
          <w:p w14:paraId="571B7595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3</w:t>
            </w:r>
          </w:p>
        </w:tc>
      </w:tr>
      <w:tr w:rsidR="002B6722" w:rsidRPr="007B00C8" w14:paraId="0B9F61D3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271B14CC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Histological Grade</w:t>
            </w:r>
          </w:p>
        </w:tc>
        <w:tc>
          <w:tcPr>
            <w:tcW w:w="2693" w:type="dxa"/>
            <w:noWrap/>
            <w:hideMark/>
          </w:tcPr>
          <w:p w14:paraId="54F9AD1A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 xml:space="preserve"> Grade 3</w:t>
            </w:r>
          </w:p>
        </w:tc>
        <w:tc>
          <w:tcPr>
            <w:tcW w:w="2324" w:type="dxa"/>
            <w:noWrap/>
            <w:hideMark/>
          </w:tcPr>
          <w:p w14:paraId="097293DE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4</w:t>
            </w:r>
          </w:p>
        </w:tc>
      </w:tr>
      <w:tr w:rsidR="002B6722" w:rsidRPr="007B00C8" w14:paraId="1F5800FB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7C789BA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Cause of Death</w:t>
            </w:r>
          </w:p>
        </w:tc>
        <w:tc>
          <w:tcPr>
            <w:tcW w:w="2693" w:type="dxa"/>
            <w:noWrap/>
            <w:hideMark/>
          </w:tcPr>
          <w:p w14:paraId="39F7C110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Ovarian cancer</w:t>
            </w:r>
          </w:p>
        </w:tc>
        <w:tc>
          <w:tcPr>
            <w:tcW w:w="2324" w:type="dxa"/>
            <w:noWrap/>
            <w:hideMark/>
          </w:tcPr>
          <w:p w14:paraId="70B65E99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</w:t>
            </w:r>
          </w:p>
        </w:tc>
      </w:tr>
      <w:tr w:rsidR="002B6722" w:rsidRPr="007B00C8" w14:paraId="5D1F2B2D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E2A5828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0984A82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Alive</w:t>
            </w:r>
          </w:p>
        </w:tc>
        <w:tc>
          <w:tcPr>
            <w:tcW w:w="2324" w:type="dxa"/>
            <w:noWrap/>
            <w:hideMark/>
          </w:tcPr>
          <w:p w14:paraId="413303A2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2</w:t>
            </w:r>
          </w:p>
        </w:tc>
      </w:tr>
      <w:tr w:rsidR="002B6722" w:rsidRPr="007B00C8" w14:paraId="49EC7E94" w14:textId="77777777" w:rsidTr="008457E4">
        <w:trPr>
          <w:trHeight w:val="403"/>
        </w:trPr>
        <w:tc>
          <w:tcPr>
            <w:tcW w:w="4106" w:type="dxa"/>
            <w:noWrap/>
            <w:hideMark/>
          </w:tcPr>
          <w:p w14:paraId="0FC8489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</w:p>
        </w:tc>
        <w:tc>
          <w:tcPr>
            <w:tcW w:w="2693" w:type="dxa"/>
            <w:noWrap/>
            <w:hideMark/>
          </w:tcPr>
          <w:p w14:paraId="1194E01C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No follow-up</w:t>
            </w:r>
          </w:p>
        </w:tc>
        <w:tc>
          <w:tcPr>
            <w:tcW w:w="2324" w:type="dxa"/>
            <w:noWrap/>
            <w:hideMark/>
          </w:tcPr>
          <w:p w14:paraId="17664833" w14:textId="77777777" w:rsidR="002B6722" w:rsidRPr="007B00C8" w:rsidRDefault="002B6722" w:rsidP="008457E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u w:val="dotted"/>
              </w:rPr>
            </w:pPr>
            <w:r w:rsidRPr="007B00C8">
              <w:rPr>
                <w:rFonts w:ascii="Arial" w:eastAsia="Times New Roman" w:hAnsi="Arial" w:cs="Arial"/>
                <w:color w:val="000000" w:themeColor="text1"/>
                <w:u w:val="dotted"/>
              </w:rPr>
              <w:t>1</w:t>
            </w:r>
          </w:p>
        </w:tc>
      </w:tr>
    </w:tbl>
    <w:p w14:paraId="10C0DA7F" w14:textId="77777777" w:rsidR="002B6722" w:rsidRPr="007B00C8" w:rsidRDefault="002B6722" w:rsidP="002B6722">
      <w:pPr>
        <w:rPr>
          <w:rFonts w:ascii="Arial" w:hAnsi="Arial" w:cs="Arial"/>
          <w:sz w:val="20"/>
          <w:szCs w:val="20"/>
        </w:rPr>
      </w:pPr>
    </w:p>
    <w:p w14:paraId="61DA509D" w14:textId="77777777" w:rsidR="002B6722" w:rsidRPr="007B00C8" w:rsidRDefault="002B6722" w:rsidP="002B6722">
      <w:pPr>
        <w:rPr>
          <w:rFonts w:ascii="Arial" w:hAnsi="Arial" w:cs="Arial"/>
          <w:sz w:val="20"/>
          <w:szCs w:val="20"/>
        </w:rPr>
      </w:pPr>
    </w:p>
    <w:p w14:paraId="2D0C374E" w14:textId="77777777" w:rsidR="002B6722" w:rsidRPr="007B00C8" w:rsidRDefault="002B6722" w:rsidP="002B6722">
      <w:pPr>
        <w:rPr>
          <w:rFonts w:ascii="Arial" w:hAnsi="Arial" w:cs="Arial"/>
          <w:sz w:val="20"/>
          <w:szCs w:val="20"/>
        </w:rPr>
        <w:sectPr w:rsidR="002B6722" w:rsidRPr="007B00C8" w:rsidSect="002B67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DE930C7" w14:textId="77777777" w:rsidR="002B6722" w:rsidRPr="007B00C8" w:rsidRDefault="002B6722" w:rsidP="002B6722">
      <w:pPr>
        <w:rPr>
          <w:rFonts w:ascii="Arial" w:hAnsi="Arial" w:cs="Arial"/>
          <w:sz w:val="20"/>
          <w:szCs w:val="20"/>
        </w:rPr>
      </w:pPr>
      <w:r w:rsidRPr="007B00C8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CC7857C" wp14:editId="0D58E6DA">
            <wp:extent cx="8458200" cy="3837033"/>
            <wp:effectExtent l="0" t="0" r="0" b="0"/>
            <wp:docPr id="2112730067" name="Picture 2" descr="A picture containing screenshot, rectangl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30067" name="Picture 2" descr="A picture containing screenshot, rectangle, desig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19" cy="384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113D1" w14:textId="6F1B5CD7" w:rsidR="002B6722" w:rsidRPr="007B00C8" w:rsidRDefault="00E43E0E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bCs/>
          <w:color w:val="000000" w:themeColor="text1"/>
          <w:szCs w:val="20"/>
        </w:rPr>
      </w:pPr>
      <w:bookmarkStart w:id="0" w:name="_Hlk135036067"/>
      <w:r w:rsidRPr="007B00C8">
        <w:rPr>
          <w:rFonts w:ascii="Arial" w:hAnsi="Arial" w:cs="Arial"/>
          <w:color w:val="000000" w:themeColor="text1"/>
          <w:szCs w:val="20"/>
        </w:rPr>
        <w:t xml:space="preserve">Supplementary </w:t>
      </w:r>
      <w:r w:rsidR="00D42670" w:rsidRPr="007B00C8">
        <w:rPr>
          <w:rFonts w:ascii="Arial" w:hAnsi="Arial" w:cs="Arial"/>
          <w:color w:val="000000" w:themeColor="text1"/>
          <w:szCs w:val="20"/>
        </w:rPr>
        <w:t>Fig.</w:t>
      </w:r>
      <w:r w:rsidR="002B6722" w:rsidRPr="007B00C8">
        <w:rPr>
          <w:rFonts w:ascii="Arial" w:hAnsi="Arial" w:cs="Arial"/>
          <w:color w:val="000000" w:themeColor="text1"/>
          <w:szCs w:val="20"/>
        </w:rPr>
        <w:t xml:space="preserve"> 1. 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Effects of NICD3 in ES-2 cells.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(A)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Cell survival in ES-2-Rv-Ctrl and ES-2-Rv-NICD3 cells as determined by MTS assay (n=4 experiments, n=16, unpaired t-test, ****p&lt;0.001).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(B)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Spheroid formation of ES-2-Rv-Ctrl and ES-2-Rv-NICD3 cells (n=3 experiments, n=12, unpaired t test, *p=0.042). Gene expression in ES-2-Rv-NICD3 cells compared to ES-2-Rv-Ctrl of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(C)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</w:t>
      </w:r>
      <w:r w:rsidR="002B6722" w:rsidRPr="007B00C8">
        <w:rPr>
          <w:rFonts w:ascii="Arial" w:hAnsi="Arial" w:cs="Arial"/>
          <w:b w:val="0"/>
          <w:bCs/>
          <w:i/>
          <w:iCs/>
          <w:color w:val="000000" w:themeColor="text1"/>
          <w:szCs w:val="20"/>
        </w:rPr>
        <w:t>TWIST1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,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(D)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</w:t>
      </w:r>
      <w:r w:rsidR="002B6722" w:rsidRPr="007B00C8">
        <w:rPr>
          <w:rFonts w:ascii="Arial" w:hAnsi="Arial" w:cs="Arial"/>
          <w:b w:val="0"/>
          <w:bCs/>
          <w:i/>
          <w:iCs/>
          <w:color w:val="000000" w:themeColor="text1"/>
          <w:szCs w:val="20"/>
        </w:rPr>
        <w:t>NOTCH3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and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(E)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</w:t>
      </w:r>
      <w:r w:rsidR="002B6722" w:rsidRPr="007B00C8">
        <w:rPr>
          <w:rFonts w:ascii="Arial" w:hAnsi="Arial" w:cs="Arial"/>
          <w:b w:val="0"/>
          <w:bCs/>
          <w:i/>
          <w:iCs/>
          <w:color w:val="000000" w:themeColor="text1"/>
          <w:szCs w:val="20"/>
        </w:rPr>
        <w:t>NOTCH1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(n=3 experiments, n=6, unpaired t test, *p&lt;0.05, **p&lt;0.01,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lang w:val="en-GB"/>
        </w:rPr>
        <w:t xml:space="preserve"> gene expression normalised to </w:t>
      </w:r>
      <w:r w:rsidR="002B6722" w:rsidRPr="007B00C8">
        <w:rPr>
          <w:rFonts w:ascii="Arial" w:hAnsi="Arial" w:cs="Arial"/>
          <w:b w:val="0"/>
          <w:i/>
          <w:iCs/>
          <w:color w:val="000000" w:themeColor="text1"/>
          <w:spacing w:val="-4"/>
          <w:kern w:val="1"/>
          <w:szCs w:val="20"/>
          <w:lang w:val="en-GB"/>
        </w:rPr>
        <w:t>GAPDH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lang w:val="en-GB"/>
        </w:rPr>
        <w:t xml:space="preserve"> using the 2-</w:t>
      </w:r>
      <w:r w:rsidR="002B6722" w:rsidRPr="007B00C8">
        <w:rPr>
          <w:rFonts w:ascii="Cambria Math" w:hAnsi="Cambria Math" w:cs="Cambria Math"/>
          <w:b w:val="0"/>
          <w:color w:val="000000" w:themeColor="text1"/>
          <w:spacing w:val="-4"/>
          <w:kern w:val="1"/>
          <w:szCs w:val="20"/>
          <w:vertAlign w:val="superscript"/>
          <w:lang w:val="en-GB"/>
        </w:rPr>
        <w:t>∧∧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vertAlign w:val="superscript"/>
          <w:lang w:val="en-GB"/>
        </w:rPr>
        <w:t xml:space="preserve">CT 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lang w:val="en-GB"/>
        </w:rPr>
        <w:t>method</w:t>
      </w:r>
      <w:r w:rsidR="002B6722" w:rsidRPr="007B00C8">
        <w:rPr>
          <w:rFonts w:ascii="Arial" w:hAnsi="Arial" w:cs="Arial"/>
          <w:b w:val="0"/>
          <w:bCs/>
          <w:color w:val="000000" w:themeColor="text1"/>
          <w:spacing w:val="-4"/>
          <w:kern w:val="1"/>
          <w:szCs w:val="20"/>
          <w:lang w:val="en-GB"/>
        </w:rPr>
        <w:t>)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.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(F)</w:t>
      </w:r>
      <w:r w:rsidR="002B6722" w:rsidRPr="007B00C8">
        <w:rPr>
          <w:rFonts w:ascii="Arial" w:hAnsi="Arial" w:cs="Arial"/>
          <w:color w:val="000000" w:themeColor="text1"/>
          <w:szCs w:val="20"/>
        </w:rPr>
        <w:t xml:space="preserve"> 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Spheroid area of ES-2-Rv-Ctrl, ES-2-Rv-NICD3 and </w:t>
      </w:r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ES-2:ES-2-Rv-NICD3 (1:3) cells (10,000 cells/well after 72hr culture (n=3 experiments, n=9, Kruskal Wallis test, *p=0.0021). Spheroid formation of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(G)</w:t>
      </w:r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 ES-2 WT,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(H)</w:t>
      </w:r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 ES-2-Rv-NICD3 and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(I)</w:t>
      </w:r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 ES-2:ES-2-Rv-NICD3 (1:3) cells treated with 1000kDa HA (50µg/mL) in 24 well </w:t>
      </w:r>
      <w:proofErr w:type="spellStart"/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>polyHEMA</w:t>
      </w:r>
      <w:proofErr w:type="spellEnd"/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 plates after 72hr (10,000 cells/well; n=3 experiments; n=9, **p&lt;0.0012; Mann-Whitney Test). Scale bar = 500µm.</w:t>
      </w:r>
      <w:bookmarkEnd w:id="0"/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 </w:t>
      </w:r>
      <w:r w:rsidR="002B6722" w:rsidRPr="007B00C8">
        <w:rPr>
          <w:rFonts w:ascii="Arial" w:hAnsi="Arial" w:cs="Arial"/>
          <w:b w:val="0"/>
          <w:bCs/>
          <w:color w:val="000000" w:themeColor="text1"/>
          <w:szCs w:val="20"/>
        </w:rPr>
        <w:t xml:space="preserve"> </w:t>
      </w:r>
    </w:p>
    <w:p w14:paraId="62620460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bCs/>
          <w:color w:val="000000" w:themeColor="text1"/>
          <w:szCs w:val="20"/>
        </w:rPr>
      </w:pPr>
      <w:r w:rsidRPr="007B00C8">
        <w:rPr>
          <w:rFonts w:ascii="Arial" w:hAnsi="Arial" w:cs="Arial"/>
          <w:b w:val="0"/>
          <w:bCs/>
          <w:noProof/>
          <w:snapToGrid/>
          <w:color w:val="000000" w:themeColor="text1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269CF5F7" wp14:editId="6E94C41E">
            <wp:simplePos x="0" y="0"/>
            <wp:positionH relativeFrom="margin">
              <wp:align>left</wp:align>
            </wp:positionH>
            <wp:positionV relativeFrom="paragraph">
              <wp:posOffset>13410</wp:posOffset>
            </wp:positionV>
            <wp:extent cx="5891146" cy="5712310"/>
            <wp:effectExtent l="0" t="0" r="0" b="3175"/>
            <wp:wrapTight wrapText="bothSides">
              <wp:wrapPolygon edited="0">
                <wp:start x="0" y="0"/>
                <wp:lineTo x="0" y="21540"/>
                <wp:lineTo x="21514" y="21540"/>
                <wp:lineTo x="21514" y="0"/>
                <wp:lineTo x="0" y="0"/>
              </wp:wrapPolygon>
            </wp:wrapTight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146" cy="571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ED3B4" w14:textId="74D8D228" w:rsidR="002B6722" w:rsidRPr="007B00C8" w:rsidRDefault="00E43E0E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  <w:r w:rsidRPr="007B00C8">
        <w:rPr>
          <w:rFonts w:ascii="Arial" w:hAnsi="Arial" w:cs="Arial"/>
          <w:color w:val="000000" w:themeColor="text1"/>
          <w:szCs w:val="20"/>
        </w:rPr>
        <w:t xml:space="preserve">Supplementary </w:t>
      </w:r>
      <w:r w:rsidR="00D42670" w:rsidRPr="007B00C8">
        <w:rPr>
          <w:rFonts w:ascii="Arial" w:hAnsi="Arial" w:cs="Arial"/>
          <w:color w:val="000000" w:themeColor="text1"/>
          <w:szCs w:val="20"/>
        </w:rPr>
        <w:t>Fig.</w:t>
      </w:r>
      <w:r w:rsidRPr="007B00C8">
        <w:rPr>
          <w:rFonts w:ascii="Arial" w:hAnsi="Arial" w:cs="Arial"/>
          <w:color w:val="000000" w:themeColor="text1"/>
          <w:szCs w:val="20"/>
        </w:rPr>
        <w:t xml:space="preserve"> 2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lang w:val="en-GB"/>
        </w:rPr>
        <w:t xml:space="preserve">. 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LC-MS:MS analysis of ES-2:ES-2-Rv-NICD3 (1:3) spheroids treated with Control (Ctrl), 27kDa, 183kDa and 1000kDa HA. Volcano plot of differentially expressed proteins in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(A)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27kDa HA and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(B)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183kDa HA vs Control (Ctrl) treated combination ES2:ES2-Rv-NICD3 (1:3) spheroids.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(C)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</w:t>
      </w:r>
      <w:proofErr w:type="spellStart"/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>Kegg</w:t>
      </w:r>
      <w:proofErr w:type="spellEnd"/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pathway analysis of endocytosis pathway proteins affected by 1000kDa HA treatment in ES2:ES2-Rv-NICD3 (1:3) spheroids highlighted in red.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(D)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log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vertAlign w:val="subscript"/>
        </w:rPr>
        <w:t>2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fold change (log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vertAlign w:val="subscript"/>
        </w:rPr>
        <w:t>2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FC) and p-values for proteins altered in the endocytosis pathway by 1000kDa HA. </w:t>
      </w:r>
    </w:p>
    <w:p w14:paraId="1C1C91C2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0F109280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09D0F5DF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3075166C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16E9FFBC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2A048240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0A059883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13B8831A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288A480D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5BFAD8C3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415A99F7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4BD16C80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3C3C4730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  <w:r w:rsidRPr="007B00C8">
        <w:rPr>
          <w:rFonts w:ascii="Arial" w:hAnsi="Arial" w:cs="Arial"/>
          <w:b w:val="0"/>
          <w:noProof/>
          <w:snapToGrid/>
          <w:color w:val="000000" w:themeColor="text1"/>
          <w:spacing w:val="-4"/>
          <w:kern w:val="1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5C34A65D" wp14:editId="6ADF142D">
            <wp:simplePos x="0" y="0"/>
            <wp:positionH relativeFrom="margin">
              <wp:align>left</wp:align>
            </wp:positionH>
            <wp:positionV relativeFrom="paragraph">
              <wp:posOffset>221503</wp:posOffset>
            </wp:positionV>
            <wp:extent cx="8724265" cy="2243455"/>
            <wp:effectExtent l="0" t="0" r="635" b="4445"/>
            <wp:wrapTight wrapText="bothSides">
              <wp:wrapPolygon edited="0">
                <wp:start x="0" y="0"/>
                <wp:lineTo x="0" y="21459"/>
                <wp:lineTo x="21554" y="21459"/>
                <wp:lineTo x="21554" y="0"/>
                <wp:lineTo x="0" y="0"/>
              </wp:wrapPolygon>
            </wp:wrapTight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26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3CA5C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</w:p>
    <w:p w14:paraId="2DF72807" w14:textId="2AF82EAF" w:rsidR="002B6722" w:rsidRPr="007B00C8" w:rsidRDefault="00E43E0E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zCs w:val="20"/>
        </w:rPr>
      </w:pPr>
      <w:r w:rsidRPr="007B00C8">
        <w:rPr>
          <w:rFonts w:ascii="Arial" w:hAnsi="Arial" w:cs="Arial"/>
          <w:color w:val="000000" w:themeColor="text1"/>
          <w:szCs w:val="20"/>
        </w:rPr>
        <w:t xml:space="preserve">Supplementary </w:t>
      </w:r>
      <w:r w:rsidR="00D42670" w:rsidRPr="007B00C8">
        <w:rPr>
          <w:rFonts w:ascii="Arial" w:hAnsi="Arial" w:cs="Arial"/>
          <w:color w:val="000000" w:themeColor="text1"/>
          <w:szCs w:val="20"/>
        </w:rPr>
        <w:t>Fig.</w:t>
      </w:r>
      <w:r w:rsidRPr="007B00C8">
        <w:rPr>
          <w:rFonts w:ascii="Arial" w:hAnsi="Arial" w:cs="Arial"/>
          <w:color w:val="000000" w:themeColor="text1"/>
          <w:szCs w:val="20"/>
        </w:rPr>
        <w:t xml:space="preserve"> </w:t>
      </w:r>
      <w:r w:rsidR="002B6722" w:rsidRPr="007B00C8">
        <w:rPr>
          <w:rFonts w:ascii="Arial" w:hAnsi="Arial" w:cs="Arial"/>
          <w:bCs/>
          <w:color w:val="000000" w:themeColor="text1"/>
          <w:spacing w:val="-4"/>
          <w:kern w:val="1"/>
          <w:szCs w:val="20"/>
          <w:lang w:val="en-GB"/>
        </w:rPr>
        <w:t>3.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  <w:lang w:val="en-GB"/>
        </w:rPr>
        <w:t xml:space="preserve"> 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Epithelial </w:t>
      </w:r>
      <w:r w:rsidR="002B6722" w:rsidRPr="007B00C8">
        <w:rPr>
          <w:rFonts w:ascii="Arial" w:hAnsi="Arial" w:cs="Arial"/>
          <w:b w:val="0"/>
          <w:i/>
          <w:iCs/>
          <w:color w:val="000000" w:themeColor="text1"/>
          <w:spacing w:val="-4"/>
          <w:kern w:val="1"/>
          <w:szCs w:val="20"/>
        </w:rPr>
        <w:t>DAB2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expression is not associated with prognosis in HGSOC patients. TMA slides were stained for DAB2 (Abcam, ab256524, 1/800). DAB2 immunostaining staining was quantitated using </w:t>
      </w:r>
      <w:proofErr w:type="spellStart"/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>QuPath</w:t>
      </w:r>
      <w:proofErr w:type="spellEnd"/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software and presented as H score. Kaplan-Meier survival plots for epithelial DAB2 H-score max in HGSOC tissues for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(A)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PFS (n=80, p=0.563) and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(B)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OS (n=86, p=0. 864).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(C)</w:t>
      </w:r>
      <w:r w:rsidR="002B6722"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</w:t>
      </w:r>
      <w:r w:rsidR="002B6722" w:rsidRPr="007B00C8">
        <w:rPr>
          <w:rFonts w:ascii="Arial" w:hAnsi="Arial" w:cs="Arial"/>
          <w:b w:val="0"/>
          <w:color w:val="000000" w:themeColor="text1"/>
          <w:szCs w:val="20"/>
        </w:rPr>
        <w:t xml:space="preserve">Max H-score DAB2 epithelial staining in the matched HGSOC patient tissues at diagnosis and relapse (n=4) </w:t>
      </w:r>
    </w:p>
    <w:p w14:paraId="7DC77113" w14:textId="2AA8A529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</w:pPr>
      <w:r w:rsidRPr="007B00C8">
        <w:rPr>
          <w:rFonts w:ascii="Arial" w:hAnsi="Arial" w:cs="Arial"/>
          <w:b w:val="0"/>
          <w:noProof/>
          <w:snapToGrid/>
          <w:color w:val="000000" w:themeColor="text1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0B15ECC0" wp14:editId="632832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10147" cy="4916245"/>
            <wp:effectExtent l="0" t="0" r="635" b="0"/>
            <wp:wrapTight wrapText="bothSides">
              <wp:wrapPolygon edited="0">
                <wp:start x="0" y="0"/>
                <wp:lineTo x="0" y="21511"/>
                <wp:lineTo x="21526" y="21511"/>
                <wp:lineTo x="21526" y="0"/>
                <wp:lineTo x="0" y="0"/>
              </wp:wrapPolygon>
            </wp:wrapTight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147" cy="491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E0E" w:rsidRPr="007B00C8">
        <w:rPr>
          <w:rFonts w:ascii="Arial" w:hAnsi="Arial" w:cs="Arial"/>
          <w:color w:val="000000" w:themeColor="text1"/>
          <w:szCs w:val="20"/>
        </w:rPr>
        <w:t xml:space="preserve"> Supplementary </w:t>
      </w:r>
      <w:r w:rsidR="00D42670" w:rsidRPr="007B00C8">
        <w:rPr>
          <w:rFonts w:ascii="Arial" w:hAnsi="Arial" w:cs="Arial"/>
          <w:color w:val="000000" w:themeColor="text1"/>
          <w:szCs w:val="20"/>
        </w:rPr>
        <w:t>Fig.</w:t>
      </w:r>
      <w:r w:rsidR="00E43E0E" w:rsidRPr="007B00C8">
        <w:rPr>
          <w:rFonts w:ascii="Arial" w:hAnsi="Arial" w:cs="Arial"/>
          <w:color w:val="000000" w:themeColor="text1"/>
          <w:szCs w:val="20"/>
        </w:rPr>
        <w:t xml:space="preserve"> </w:t>
      </w:r>
      <w:r w:rsidRPr="007B00C8">
        <w:rPr>
          <w:rFonts w:ascii="Arial" w:hAnsi="Arial" w:cs="Arial"/>
          <w:bCs/>
          <w:color w:val="000000" w:themeColor="text1"/>
          <w:spacing w:val="-4"/>
          <w:kern w:val="1"/>
          <w:szCs w:val="20"/>
        </w:rPr>
        <w:t>4:</w:t>
      </w:r>
      <w:r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DAB2</w:t>
      </w:r>
      <w:r w:rsidRPr="007B00C8">
        <w:rPr>
          <w:rFonts w:ascii="Arial" w:hAnsi="Arial" w:cs="Arial"/>
          <w:b w:val="0"/>
          <w:i/>
          <w:iCs/>
          <w:color w:val="000000" w:themeColor="text1"/>
          <w:spacing w:val="-4"/>
          <w:kern w:val="1"/>
          <w:szCs w:val="20"/>
        </w:rPr>
        <w:t xml:space="preserve"> </w:t>
      </w:r>
      <w:r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protein and mRNA expression in ovarian cancer cell lines. DAB2 expression data from the Broad institute cancer cell line encyclopedia in ovarian cancer cell lines including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(A)</w:t>
      </w:r>
      <w:r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Proteomics (P98082) and </w:t>
      </w:r>
      <w:r w:rsidR="00D42670" w:rsidRPr="007B00C8">
        <w:rPr>
          <w:rFonts w:ascii="Arial" w:hAnsi="Arial" w:cs="Arial"/>
          <w:b w:val="0"/>
          <w:color w:val="000000" w:themeColor="text1"/>
          <w:szCs w:val="20"/>
        </w:rPr>
        <w:t>(B)</w:t>
      </w:r>
      <w:r w:rsidRPr="007B00C8">
        <w:rPr>
          <w:rFonts w:ascii="Arial" w:hAnsi="Arial" w:cs="Arial"/>
          <w:b w:val="0"/>
          <w:color w:val="000000" w:themeColor="text1"/>
          <w:spacing w:val="-4"/>
          <w:kern w:val="1"/>
          <w:szCs w:val="20"/>
        </w:rPr>
        <w:t xml:space="preserve"> gene expression (expression public 22Q4).</w:t>
      </w:r>
    </w:p>
    <w:p w14:paraId="6749F29E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color w:val="000000" w:themeColor="text1"/>
          <w:szCs w:val="20"/>
        </w:rPr>
      </w:pPr>
    </w:p>
    <w:p w14:paraId="1AED7609" w14:textId="77777777" w:rsidR="002B6722" w:rsidRPr="007B00C8" w:rsidRDefault="002B6722" w:rsidP="002B6722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b w:val="0"/>
          <w:noProof/>
          <w:snapToGrid/>
          <w:color w:val="000000" w:themeColor="text1"/>
          <w:spacing w:val="-4"/>
          <w:kern w:val="1"/>
          <w:szCs w:val="20"/>
        </w:rPr>
      </w:pPr>
    </w:p>
    <w:p w14:paraId="67867B9A" w14:textId="66A618F1" w:rsidR="002A6838" w:rsidRPr="007B00C8" w:rsidRDefault="002A6838" w:rsidP="002C678D">
      <w:pPr>
        <w:pStyle w:val="MDPI21heading1"/>
        <w:spacing w:before="0" w:after="0" w:line="360" w:lineRule="auto"/>
        <w:ind w:left="0"/>
        <w:jc w:val="both"/>
        <w:rPr>
          <w:rFonts w:ascii="Arial" w:hAnsi="Arial" w:cs="Arial"/>
          <w:color w:val="000000" w:themeColor="text1"/>
          <w:spacing w:val="-4"/>
          <w:kern w:val="1"/>
          <w:szCs w:val="20"/>
          <w:lang w:val="en-GB"/>
        </w:rPr>
      </w:pPr>
    </w:p>
    <w:p w14:paraId="5FBF5735" w14:textId="77777777" w:rsidR="002A6838" w:rsidRPr="007B00C8" w:rsidRDefault="002A6838" w:rsidP="002B6722">
      <w:pPr>
        <w:rPr>
          <w:rFonts w:ascii="Arial" w:hAnsi="Arial" w:cs="Arial"/>
          <w:sz w:val="20"/>
          <w:szCs w:val="20"/>
        </w:rPr>
      </w:pPr>
    </w:p>
    <w:sectPr w:rsidR="002A6838" w:rsidRPr="007B00C8" w:rsidSect="002B67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A0"/>
    <w:rsid w:val="000E466F"/>
    <w:rsid w:val="00222647"/>
    <w:rsid w:val="002A6838"/>
    <w:rsid w:val="002B6722"/>
    <w:rsid w:val="002C678D"/>
    <w:rsid w:val="00390178"/>
    <w:rsid w:val="003A0069"/>
    <w:rsid w:val="004053E2"/>
    <w:rsid w:val="004B23DD"/>
    <w:rsid w:val="004B4F18"/>
    <w:rsid w:val="005C66A6"/>
    <w:rsid w:val="006E4B68"/>
    <w:rsid w:val="007B00C8"/>
    <w:rsid w:val="0083399A"/>
    <w:rsid w:val="009828B2"/>
    <w:rsid w:val="009923DA"/>
    <w:rsid w:val="00C6271F"/>
    <w:rsid w:val="00C82B2A"/>
    <w:rsid w:val="00D40DA0"/>
    <w:rsid w:val="00D42670"/>
    <w:rsid w:val="00D927F6"/>
    <w:rsid w:val="00E43E0E"/>
    <w:rsid w:val="00E5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5E494"/>
  <w15:chartTrackingRefBased/>
  <w15:docId w15:val="{FEDD2B8D-F543-44BD-B985-A735D26F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link w:val="MDPI21heading1Char"/>
    <w:qFormat/>
    <w:rsid w:val="00D40DA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character" w:customStyle="1" w:styleId="MDPI21heading1Char">
    <w:name w:val="MDPI_2.1_heading1 Char"/>
    <w:basedOn w:val="DefaultParagraphFont"/>
    <w:link w:val="MDPI21heading1"/>
    <w:rsid w:val="00D40DA0"/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table" w:styleId="TableGridLight">
    <w:name w:val="Grid Table Light"/>
    <w:basedOn w:val="TableNormal"/>
    <w:uiPriority w:val="40"/>
    <w:rsid w:val="002B6722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3authornames">
    <w:name w:val="MDPI_1.3_authornames"/>
    <w:next w:val="Normal"/>
    <w:qFormat/>
    <w:rsid w:val="007B00C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7B00C8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Kathleen Price</dc:creator>
  <cp:keywords/>
  <dc:description/>
  <cp:lastModifiedBy>Zoe Kathleen Price</cp:lastModifiedBy>
  <cp:revision>6</cp:revision>
  <dcterms:created xsi:type="dcterms:W3CDTF">2023-07-11T04:03:00Z</dcterms:created>
  <dcterms:modified xsi:type="dcterms:W3CDTF">2023-07-12T01:09:00Z</dcterms:modified>
</cp:coreProperties>
</file>