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0"/>
        <w:rPr>
          <w:rFonts w:ascii="Times New Roman" w:hAnsi="Times New Roman" w:cs="Times New Roman"/>
          <w:spacing w:val="0"/>
          <w:kern w:val="0"/>
          <w:sz w:val="24"/>
          <w:szCs w:val="24"/>
        </w:rPr>
      </w:pPr>
      <w:r>
        <w:rPr>
          <w:rFonts w:ascii="Times New Roman" w:hAnsi="Times New Roman" w:cs="Times New Roman"/>
          <w:spacing w:val="0"/>
          <w:kern w:val="0"/>
          <w:sz w:val="24"/>
          <w:szCs w:val="24"/>
        </w:rPr>
        <w:t>In recent years, the incidence of chronic diseases in China has increased year by year due to economic development, lifestyle change, urbanization and population aging. There are about 13 million stroke patients in China. Although the death rate of stroke has decreased, the incidence rate and recurrence rate are still high. According to World Bank statistics, at least 50% of chronic diseases occur in the labor force (aged 15 to 64). Reducing the incidence of stroke can ensure the life quality of middle-aged people, which is of great significance to famil</w:t>
      </w:r>
      <w:r>
        <w:rPr>
          <w:rFonts w:hint="eastAsia" w:ascii="Times New Roman" w:hAnsi="Times New Roman" w:cs="Times New Roman"/>
          <w:spacing w:val="0"/>
          <w:kern w:val="0"/>
          <w:sz w:val="24"/>
          <w:szCs w:val="24"/>
        </w:rPr>
        <w:t>ies</w:t>
      </w:r>
      <w:r>
        <w:rPr>
          <w:rFonts w:ascii="Times New Roman" w:hAnsi="Times New Roman" w:cs="Times New Roman"/>
          <w:spacing w:val="0"/>
          <w:kern w:val="0"/>
          <w:sz w:val="24"/>
          <w:szCs w:val="24"/>
        </w:rPr>
        <w:t xml:space="preserve"> and society. The experience of developed countries shows that stroke is preventable and controllable, and effective control of risk factors is an important means to prevent stroke. </w:t>
      </w:r>
    </w:p>
    <w:p>
      <w:pPr>
        <w:pStyle w:val="3"/>
        <w:ind w:firstLine="0"/>
        <w:rPr>
          <w:rFonts w:ascii="Times New Roman" w:hAnsi="Times New Roman" w:cs="Times New Roman"/>
          <w:spacing w:val="0"/>
          <w:kern w:val="0"/>
          <w:sz w:val="24"/>
          <w:szCs w:val="24"/>
        </w:rPr>
      </w:pPr>
      <w:r>
        <w:rPr>
          <w:rFonts w:ascii="Times New Roman" w:hAnsi="Times New Roman" w:cs="Times New Roman"/>
          <w:spacing w:val="0"/>
          <w:kern w:val="0"/>
          <w:sz w:val="24"/>
          <w:szCs w:val="24"/>
        </w:rPr>
        <w:t xml:space="preserve">In order to investigate the incidence, prevalence, recurrence rate, mortality and disability rate of stroke in Chinese population, and improve the residents' awareness of stroke prevention, the Ministry of health of China launched the stroke screening and intervention program in 2009. And the national stroke screening platform CSDC (China stroke data center) were established. Stroke centers in hospitals were established, which are responsible for screening stroke risk factors among residents over 40 years old in China. Since the launch of the project in 2011, more than </w:t>
      </w:r>
      <w:r>
        <w:rPr>
          <w:rFonts w:hint="eastAsia" w:ascii="Times New Roman" w:hAnsi="Times New Roman" w:cs="Times New Roman"/>
          <w:spacing w:val="0"/>
          <w:kern w:val="0"/>
          <w:sz w:val="24"/>
          <w:szCs w:val="24"/>
        </w:rPr>
        <w:t>8</w:t>
      </w:r>
      <w:r>
        <w:rPr>
          <w:rFonts w:ascii="Times New Roman" w:hAnsi="Times New Roman" w:cs="Times New Roman"/>
          <w:spacing w:val="0"/>
          <w:kern w:val="0"/>
          <w:sz w:val="24"/>
          <w:szCs w:val="24"/>
        </w:rPr>
        <w:t xml:space="preserve"> million stroke screening cross-sectional data and follow-up cohort data have been accumulated nationwide. Eight high risk factors were defined </w:t>
      </w:r>
      <w:r>
        <w:rPr>
          <w:rFonts w:hint="eastAsia" w:ascii="Times New Roman" w:hAnsi="Times New Roman" w:cs="Times New Roman"/>
          <w:spacing w:val="0"/>
          <w:kern w:val="0"/>
          <w:sz w:val="24"/>
          <w:szCs w:val="24"/>
        </w:rPr>
        <w:t>in</w:t>
      </w:r>
      <w:r>
        <w:rPr>
          <w:rFonts w:ascii="Times New Roman" w:hAnsi="Times New Roman" w:cs="Times New Roman"/>
          <w:spacing w:val="0"/>
          <w:kern w:val="0"/>
          <w:sz w:val="24"/>
          <w:szCs w:val="24"/>
        </w:rPr>
        <w:t xml:space="preserve"> </w:t>
      </w:r>
      <w:r>
        <w:rPr>
          <w:rFonts w:hint="eastAsia" w:ascii="Times New Roman" w:hAnsi="Times New Roman" w:cs="Times New Roman"/>
          <w:spacing w:val="0"/>
          <w:kern w:val="0"/>
          <w:sz w:val="24"/>
          <w:szCs w:val="24"/>
        </w:rPr>
        <w:t>the</w:t>
      </w:r>
      <w:r>
        <w:rPr>
          <w:rFonts w:ascii="Times New Roman" w:hAnsi="Times New Roman" w:cs="Times New Roman"/>
          <w:spacing w:val="0"/>
          <w:kern w:val="0"/>
          <w:sz w:val="24"/>
          <w:szCs w:val="24"/>
        </w:rPr>
        <w:t xml:space="preserve"> </w:t>
      </w:r>
      <w:r>
        <w:rPr>
          <w:rFonts w:hint="eastAsia" w:ascii="Times New Roman" w:hAnsi="Times New Roman" w:cs="Times New Roman"/>
          <w:spacing w:val="0"/>
          <w:kern w:val="0"/>
          <w:sz w:val="24"/>
          <w:szCs w:val="24"/>
        </w:rPr>
        <w:t>program</w:t>
      </w:r>
      <w:r>
        <w:rPr>
          <w:rFonts w:ascii="Times New Roman" w:hAnsi="Times New Roman" w:cs="Times New Roman"/>
          <w:spacing w:val="0"/>
          <w:kern w:val="0"/>
          <w:sz w:val="24"/>
          <w:szCs w:val="24"/>
        </w:rPr>
        <w:t>, including hypertension, diabetes, atrial fibrillation, dyslipidemia, smoking, overt or obesity, lack of exercise and family history of stroke. Controlling controllable risk factors (smoking, drinking, exercise habits, overweight, hypertension, diabetes, dyslipidemia, atrial fibrillation, etc.) is an effective means to prevent stroke, and is also the focus of propaganda and education in the stroke screening program.</w:t>
      </w:r>
    </w:p>
    <w:p>
      <w:pPr>
        <w:pStyle w:val="3"/>
        <w:ind w:firstLine="0"/>
        <w:rPr>
          <w:rFonts w:ascii="Times New Roman" w:hAnsi="Times New Roman" w:cs="Times New Roman"/>
          <w:spacing w:val="0"/>
          <w:kern w:val="0"/>
          <w:sz w:val="24"/>
          <w:szCs w:val="24"/>
        </w:rPr>
      </w:pPr>
      <w:r>
        <w:rPr>
          <w:rFonts w:ascii="Times New Roman" w:hAnsi="Times New Roman" w:cs="Times New Roman"/>
          <w:spacing w:val="0"/>
          <w:kern w:val="0"/>
          <w:sz w:val="24"/>
          <w:szCs w:val="24"/>
        </w:rPr>
        <w:t>The China national stroke screening and intervention program covered Chinese residents aged 40 years and older from 31 provinces, autonomous regions, municipalities and Xinjiang Production and Construction Corps. In the screening process, a two-stage stratified cluster sampling method was adopted. Firstly, more than 200 screening areas were selected according to the local population size and total number of counties. Then, an urban community and a township are used as primary sampling units according to the geographical location and local hospital suggestions. In each primary sampling unit (PSU), all residents aged ≥ 40 years were surveyed during the preliminary screening period using cluster sampling [16-18]. The National Stroke Screening and Prevention Program conducts the nationwide stroke screening each year and conducts follow-up interventions on screened population every two years. A</w:t>
      </w:r>
      <w:r>
        <w:rPr>
          <w:rFonts w:hint="eastAsia" w:ascii="Times New Roman" w:hAnsi="Times New Roman" w:cs="Times New Roman"/>
          <w:spacing w:val="0"/>
          <w:kern w:val="0"/>
          <w:sz w:val="24"/>
          <w:szCs w:val="24"/>
        </w:rPr>
        <w:t>part</w:t>
      </w:r>
      <w:r>
        <w:rPr>
          <w:rFonts w:ascii="Times New Roman" w:hAnsi="Times New Roman" w:cs="Times New Roman"/>
          <w:spacing w:val="0"/>
          <w:kern w:val="0"/>
          <w:sz w:val="24"/>
          <w:szCs w:val="24"/>
        </w:rPr>
        <w:t xml:space="preserve"> </w:t>
      </w:r>
      <w:r>
        <w:rPr>
          <w:rFonts w:hint="eastAsia" w:ascii="Times New Roman" w:hAnsi="Times New Roman" w:cs="Times New Roman"/>
          <w:spacing w:val="0"/>
          <w:kern w:val="0"/>
          <w:sz w:val="24"/>
          <w:szCs w:val="24"/>
        </w:rPr>
        <w:t>from</w:t>
      </w:r>
      <w:r>
        <w:rPr>
          <w:rFonts w:ascii="Times New Roman" w:hAnsi="Times New Roman" w:cs="Times New Roman"/>
          <w:spacing w:val="0"/>
          <w:kern w:val="0"/>
          <w:sz w:val="24"/>
          <w:szCs w:val="24"/>
        </w:rPr>
        <w:t xml:space="preserve"> </w:t>
      </w:r>
      <w:r>
        <w:rPr>
          <w:rFonts w:hint="eastAsia" w:ascii="Times New Roman" w:hAnsi="Times New Roman" w:cs="Times New Roman"/>
          <w:spacing w:val="0"/>
          <w:kern w:val="0"/>
          <w:sz w:val="24"/>
          <w:szCs w:val="24"/>
        </w:rPr>
        <w:t>the risk factors defined by stroke screening and intervention program</w:t>
      </w:r>
      <w:r>
        <w:rPr>
          <w:rFonts w:ascii="Times New Roman" w:hAnsi="Times New Roman" w:cs="Times New Roman"/>
          <w:spacing w:val="0"/>
          <w:kern w:val="0"/>
          <w:sz w:val="24"/>
          <w:szCs w:val="24"/>
        </w:rPr>
        <w:t xml:space="preserve"> (</w:t>
      </w:r>
      <w:r>
        <w:rPr>
          <w:rFonts w:hint="eastAsia" w:ascii="Times New Roman" w:hAnsi="Times New Roman" w:cs="Times New Roman"/>
          <w:spacing w:val="0"/>
          <w:kern w:val="0"/>
          <w:sz w:val="24"/>
          <w:szCs w:val="24"/>
        </w:rPr>
        <w:t xml:space="preserve">hypertension, diabetes, atrial fibrillation, </w:t>
      </w:r>
      <w:r>
        <w:rPr>
          <w:rFonts w:ascii="Times New Roman" w:hAnsi="Times New Roman" w:cs="Times New Roman"/>
          <w:spacing w:val="0"/>
          <w:kern w:val="0"/>
          <w:sz w:val="24"/>
          <w:szCs w:val="24"/>
        </w:rPr>
        <w:t>dyslipidemia</w:t>
      </w:r>
      <w:r>
        <w:rPr>
          <w:rFonts w:hint="eastAsia" w:ascii="Times New Roman" w:hAnsi="Times New Roman" w:cs="Times New Roman"/>
          <w:spacing w:val="0"/>
          <w:kern w:val="0"/>
          <w:sz w:val="24"/>
          <w:szCs w:val="24"/>
        </w:rPr>
        <w:t>, smoking, apparently overweight or obese, lack of exercise and positive family history of stroke</w:t>
      </w:r>
      <w:r>
        <w:rPr>
          <w:rFonts w:ascii="Times New Roman" w:hAnsi="Times New Roman" w:cs="Times New Roman"/>
          <w:spacing w:val="0"/>
          <w:kern w:val="0"/>
          <w:sz w:val="24"/>
          <w:szCs w:val="24"/>
        </w:rPr>
        <w:t xml:space="preserve">), we added age and gender as risk factors. </w:t>
      </w:r>
      <w:r>
        <w:rPr>
          <w:rFonts w:hint="eastAsia" w:ascii="Times New Roman" w:hAnsi="Times New Roman" w:cs="Times New Roman"/>
          <w:spacing w:val="0"/>
          <w:kern w:val="0"/>
          <w:sz w:val="24"/>
          <w:szCs w:val="24"/>
        </w:rPr>
        <w:t xml:space="preserve">The definition of risk factors is described in table </w:t>
      </w:r>
      <w:r>
        <w:rPr>
          <w:rFonts w:hint="eastAsia" w:ascii="Times New Roman" w:hAnsi="Times New Roman" w:cs="Times New Roman"/>
          <w:spacing w:val="0"/>
          <w:kern w:val="0"/>
          <w:sz w:val="24"/>
          <w:szCs w:val="24"/>
          <w:lang w:val="en-US" w:eastAsia="zh-CN"/>
        </w:rPr>
        <w:t>s</w:t>
      </w:r>
      <w:r>
        <w:rPr>
          <w:rFonts w:ascii="Times New Roman" w:hAnsi="Times New Roman" w:cs="Times New Roman"/>
          <w:spacing w:val="0"/>
          <w:kern w:val="0"/>
          <w:sz w:val="24"/>
          <w:szCs w:val="24"/>
        </w:rPr>
        <w:t>1</w:t>
      </w:r>
      <w:r>
        <w:rPr>
          <w:rFonts w:hint="eastAsia" w:ascii="Times New Roman" w:hAnsi="Times New Roman" w:cs="Times New Roman"/>
          <w:spacing w:val="0"/>
          <w:kern w:val="0"/>
          <w:sz w:val="24"/>
          <w:szCs w:val="24"/>
        </w:rPr>
        <w:t>.</w:t>
      </w:r>
    </w:p>
    <w:p>
      <w:pPr>
        <w:pStyle w:val="3"/>
        <w:ind w:firstLine="0"/>
        <w:jc w:val="center"/>
        <w:rPr>
          <w:rFonts w:ascii="Times New Roman" w:hAnsi="Times New Roman" w:cs="Times New Roman"/>
          <w:spacing w:val="0"/>
          <w:kern w:val="0"/>
          <w:sz w:val="24"/>
          <w:szCs w:val="24"/>
        </w:rPr>
      </w:pPr>
      <w:r>
        <w:rPr>
          <w:rFonts w:hint="eastAsia" w:ascii="Times New Roman" w:hAnsi="Times New Roman" w:cs="Times New Roman"/>
          <w:spacing w:val="0"/>
          <w:kern w:val="0"/>
          <w:sz w:val="24"/>
          <w:szCs w:val="24"/>
        </w:rPr>
        <w:t>Table</w:t>
      </w:r>
      <w:r>
        <w:rPr>
          <w:rFonts w:hint="eastAsia" w:ascii="Times New Roman" w:hAnsi="Times New Roman" w:cs="Times New Roman"/>
          <w:spacing w:val="0"/>
          <w:kern w:val="0"/>
          <w:sz w:val="24"/>
          <w:szCs w:val="24"/>
          <w:lang w:val="en-US" w:eastAsia="zh-CN"/>
        </w:rPr>
        <w:t xml:space="preserve"> </w:t>
      </w:r>
      <w:bookmarkStart w:id="0" w:name="_GoBack"/>
      <w:bookmarkEnd w:id="0"/>
      <w:r>
        <w:rPr>
          <w:rFonts w:hint="eastAsia" w:ascii="Times New Roman" w:hAnsi="Times New Roman" w:cs="Times New Roman"/>
          <w:spacing w:val="0"/>
          <w:kern w:val="0"/>
          <w:sz w:val="24"/>
          <w:szCs w:val="24"/>
          <w:lang w:val="en-US" w:eastAsia="zh-CN"/>
        </w:rPr>
        <w:t>s</w:t>
      </w:r>
      <w:r>
        <w:rPr>
          <w:rFonts w:ascii="Times New Roman" w:hAnsi="Times New Roman" w:cs="Times New Roman"/>
          <w:spacing w:val="0"/>
          <w:kern w:val="0"/>
          <w:sz w:val="24"/>
          <w:szCs w:val="24"/>
        </w:rPr>
        <w:t>1</w:t>
      </w:r>
      <w:r>
        <w:rPr>
          <w:rFonts w:hint="eastAsia" w:ascii="Times New Roman" w:hAnsi="Times New Roman" w:cs="Times New Roman"/>
          <w:spacing w:val="0"/>
          <w:kern w:val="0"/>
          <w:sz w:val="24"/>
          <w:szCs w:val="24"/>
        </w:rPr>
        <w:t>.     The definition of risk factors.</w:t>
      </w:r>
    </w:p>
    <w:tbl>
      <w:tblPr>
        <w:tblStyle w:val="6"/>
        <w:tblW w:w="5000" w:type="pct"/>
        <w:jc w:val="center"/>
        <w:tblLayout w:type="autofit"/>
        <w:tblCellMar>
          <w:top w:w="0" w:type="dxa"/>
          <w:left w:w="108" w:type="dxa"/>
          <w:bottom w:w="0" w:type="dxa"/>
          <w:right w:w="108" w:type="dxa"/>
        </w:tblCellMar>
      </w:tblPr>
      <w:tblGrid>
        <w:gridCol w:w="3358"/>
        <w:gridCol w:w="5164"/>
      </w:tblGrid>
      <w:tr>
        <w:tblPrEx>
          <w:tblCellMar>
            <w:top w:w="0" w:type="dxa"/>
            <w:left w:w="108" w:type="dxa"/>
            <w:bottom w:w="0" w:type="dxa"/>
            <w:right w:w="108" w:type="dxa"/>
          </w:tblCellMar>
        </w:tblPrEx>
        <w:trPr>
          <w:jc w:val="center"/>
        </w:trPr>
        <w:tc>
          <w:tcPr>
            <w:tcW w:w="0" w:type="auto"/>
            <w:tcBorders>
              <w:top w:val="single" w:color="000000" w:sz="4" w:space="0"/>
              <w:bottom w:val="single" w:color="000000" w:sz="4" w:space="0"/>
              <w:tl2br w:val="nil"/>
              <w:tr2bl w:val="nil"/>
            </w:tcBorders>
            <w:shd w:val="clear" w:color="auto" w:fill="auto"/>
            <w:vAlign w:val="center"/>
          </w:tcPr>
          <w:p>
            <w:pPr>
              <w:jc w:val="left"/>
              <w:rPr>
                <w:sz w:val="16"/>
                <w:szCs w:val="16"/>
                <w:lang w:eastAsia="zh-CN"/>
              </w:rPr>
            </w:pPr>
            <w:r>
              <w:rPr>
                <w:rFonts w:hint="eastAsia"/>
                <w:sz w:val="16"/>
                <w:szCs w:val="16"/>
                <w:lang w:eastAsia="zh-CN"/>
              </w:rPr>
              <w:t>Risk factor</w:t>
            </w:r>
          </w:p>
        </w:tc>
        <w:tc>
          <w:tcPr>
            <w:tcW w:w="0" w:type="auto"/>
            <w:tcBorders>
              <w:top w:val="single" w:color="000000" w:sz="4" w:space="0"/>
              <w:bottom w:val="single" w:color="000000" w:sz="4" w:space="0"/>
              <w:tl2br w:val="nil"/>
              <w:tr2bl w:val="nil"/>
            </w:tcBorders>
            <w:shd w:val="clear" w:color="auto" w:fill="auto"/>
            <w:vAlign w:val="center"/>
          </w:tcPr>
          <w:p>
            <w:pPr>
              <w:jc w:val="left"/>
              <w:rPr>
                <w:sz w:val="16"/>
                <w:szCs w:val="16"/>
                <w:lang w:eastAsia="zh-CN"/>
              </w:rPr>
            </w:pPr>
            <w:r>
              <w:rPr>
                <w:rFonts w:hint="eastAsia"/>
                <w:sz w:val="16"/>
                <w:szCs w:val="16"/>
                <w:lang w:eastAsia="zh-CN"/>
              </w:rPr>
              <w:t>The definition of risk factor</w:t>
            </w:r>
            <w:r>
              <w:rPr>
                <w:sz w:val="16"/>
                <w:szCs w:val="16"/>
                <w:lang w:eastAsia="zh-CN"/>
              </w:rPr>
              <w:t>/Values</w:t>
            </w:r>
          </w:p>
        </w:tc>
      </w:tr>
      <w:tr>
        <w:tblPrEx>
          <w:tblCellMar>
            <w:top w:w="0" w:type="dxa"/>
            <w:left w:w="108" w:type="dxa"/>
            <w:bottom w:w="0" w:type="dxa"/>
            <w:right w:w="108" w:type="dxa"/>
          </w:tblCellMar>
        </w:tblPrEx>
        <w:trPr>
          <w:jc w:val="center"/>
        </w:trPr>
        <w:tc>
          <w:tcPr>
            <w:tcW w:w="0" w:type="auto"/>
            <w:tcBorders>
              <w:top w:val="single" w:color="000000" w:sz="4" w:space="0"/>
              <w:tl2br w:val="nil"/>
              <w:tr2bl w:val="nil"/>
            </w:tcBorders>
            <w:shd w:val="clear" w:color="auto" w:fill="auto"/>
          </w:tcPr>
          <w:p>
            <w:pPr>
              <w:jc w:val="left"/>
              <w:rPr>
                <w:sz w:val="16"/>
                <w:szCs w:val="16"/>
                <w:lang w:eastAsia="zh-CN"/>
              </w:rPr>
            </w:pPr>
            <w:r>
              <w:rPr>
                <w:rFonts w:hint="eastAsia"/>
                <w:sz w:val="16"/>
                <w:szCs w:val="16"/>
                <w:lang w:eastAsia="zh-CN"/>
              </w:rPr>
              <w:t>Hypertension</w:t>
            </w:r>
          </w:p>
        </w:tc>
        <w:tc>
          <w:tcPr>
            <w:tcW w:w="0" w:type="auto"/>
            <w:tcBorders>
              <w:top w:val="single" w:color="000000" w:sz="4" w:space="0"/>
              <w:tl2br w:val="nil"/>
              <w:tr2bl w:val="nil"/>
            </w:tcBorders>
            <w:shd w:val="clear" w:color="auto" w:fill="auto"/>
          </w:tcPr>
          <w:p>
            <w:pPr>
              <w:jc w:val="left"/>
              <w:rPr>
                <w:sz w:val="16"/>
                <w:szCs w:val="16"/>
                <w:lang w:eastAsia="zh-CN"/>
              </w:rPr>
            </w:pPr>
            <w:r>
              <w:rPr>
                <w:rFonts w:hint="eastAsia"/>
                <w:sz w:val="16"/>
                <w:szCs w:val="16"/>
                <w:lang w:eastAsia="zh-CN"/>
              </w:rPr>
              <w:t>Blood pressure value≥140</w:t>
            </w:r>
            <w:r>
              <w:rPr>
                <w:rFonts w:hint="eastAsia" w:ascii="宋体" w:hAnsi="宋体" w:eastAsia="宋体" w:cs="宋体"/>
                <w:sz w:val="16"/>
                <w:szCs w:val="16"/>
                <w:lang w:eastAsia="zh-CN"/>
              </w:rPr>
              <w:t>／</w:t>
            </w:r>
            <w:r>
              <w:rPr>
                <w:rFonts w:hint="eastAsia"/>
                <w:sz w:val="16"/>
                <w:szCs w:val="16"/>
                <w:lang w:eastAsia="zh-CN"/>
              </w:rPr>
              <w:t>90mmHg and systolic pressure</w:t>
            </w:r>
            <w:r>
              <w:rPr>
                <w:sz w:val="16"/>
                <w:szCs w:val="16"/>
                <w:lang w:eastAsia="zh-CN"/>
              </w:rPr>
              <w:t>≥</w:t>
            </w:r>
            <w:r>
              <w:rPr>
                <w:rFonts w:hint="eastAsia"/>
                <w:sz w:val="16"/>
                <w:szCs w:val="16"/>
                <w:lang w:eastAsia="zh-CN"/>
              </w:rPr>
              <w:t xml:space="preserve">140mmHg and/or diastolic pressure≥90mmHg without taking anti-hypertensive drugs; has a history of hypertension or takes anti-hypertensive drugs within two weeks( pressure is taken after tranquillization three times in different days). </w:t>
            </w:r>
          </w:p>
        </w:tc>
      </w:tr>
      <w:tr>
        <w:tblPrEx>
          <w:tblCellMar>
            <w:top w:w="0" w:type="dxa"/>
            <w:left w:w="108" w:type="dxa"/>
            <w:bottom w:w="0" w:type="dxa"/>
            <w:right w:w="108" w:type="dxa"/>
          </w:tblCellMar>
        </w:tblPrEx>
        <w:trPr>
          <w:jc w:val="center"/>
        </w:trPr>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Atrial Fibrillation</w:t>
            </w:r>
          </w:p>
        </w:tc>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Rapidly disordered fibrillation waves and disappearance of regular atrial electrical activity.(Those with a history of paroxysmal atrial fibrillation should be proved by the diagnosis of hospitals at county level or above.)</w:t>
            </w:r>
          </w:p>
        </w:tc>
      </w:tr>
      <w:tr>
        <w:tblPrEx>
          <w:tblCellMar>
            <w:top w:w="0" w:type="dxa"/>
            <w:left w:w="108" w:type="dxa"/>
            <w:bottom w:w="0" w:type="dxa"/>
            <w:right w:w="108" w:type="dxa"/>
          </w:tblCellMar>
        </w:tblPrEx>
        <w:trPr>
          <w:jc w:val="center"/>
        </w:trPr>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Smoking</w:t>
            </w:r>
          </w:p>
        </w:tc>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Continuous or cumulative smoking for 6 months, smoking within 30 days prior to the survey, and smoking at least 1 cigarettes a day during the survey</w:t>
            </w:r>
          </w:p>
        </w:tc>
      </w:tr>
      <w:tr>
        <w:tblPrEx>
          <w:tblCellMar>
            <w:top w:w="0" w:type="dxa"/>
            <w:left w:w="108" w:type="dxa"/>
            <w:bottom w:w="0" w:type="dxa"/>
            <w:right w:w="108" w:type="dxa"/>
          </w:tblCellMar>
        </w:tblPrEx>
        <w:trPr>
          <w:jc w:val="center"/>
        </w:trPr>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Dislipidemia</w:t>
            </w:r>
          </w:p>
        </w:tc>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Glycerin trilaurate TG≥2.26mmol/L; total cholesterol TCHO≥6.22mmol/L; low density lipoprotein cholesterol LDL- C≥4.14mmol/L; high density lipoprotein cholesterol HDL-C&lt;1.04 mmol/L.</w:t>
            </w:r>
          </w:p>
        </w:tc>
      </w:tr>
      <w:tr>
        <w:tblPrEx>
          <w:tblCellMar>
            <w:top w:w="0" w:type="dxa"/>
            <w:left w:w="108" w:type="dxa"/>
            <w:bottom w:w="0" w:type="dxa"/>
            <w:right w:w="108" w:type="dxa"/>
          </w:tblCellMar>
        </w:tblPrEx>
        <w:trPr>
          <w:jc w:val="center"/>
        </w:trPr>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Diabetes</w:t>
            </w:r>
          </w:p>
        </w:tc>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Fasting blood-glucose≥7.0 mmol/L; OGTT: 2h blood-glucose ≥11.1 mmol/L; HbA1c &gt; 6.5%; RBS≥11.1 mmol/L for those with significant hyperglycemia or acute hyperglycemia symptoms; patients who have been diagnosed with diabetes and are being treated are considered to suffer from diabetes</w:t>
            </w:r>
          </w:p>
        </w:tc>
      </w:tr>
      <w:tr>
        <w:tblPrEx>
          <w:tblCellMar>
            <w:top w:w="0" w:type="dxa"/>
            <w:left w:w="108" w:type="dxa"/>
            <w:bottom w:w="0" w:type="dxa"/>
            <w:right w:w="108" w:type="dxa"/>
          </w:tblCellMar>
        </w:tblPrEx>
        <w:trPr>
          <w:jc w:val="center"/>
        </w:trPr>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Lack of exercise</w:t>
            </w:r>
          </w:p>
        </w:tc>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 xml:space="preserve">Take exercise less than 3 times a week and less than 30min each time for at least one </w:t>
            </w:r>
            <w:r>
              <w:rPr>
                <w:sz w:val="16"/>
                <w:szCs w:val="16"/>
                <w:lang w:eastAsia="zh-CN"/>
              </w:rPr>
              <w:t>year(those</w:t>
            </w:r>
            <w:r>
              <w:rPr>
                <w:rFonts w:hint="eastAsia"/>
                <w:sz w:val="16"/>
                <w:szCs w:val="16"/>
                <w:lang w:eastAsia="zh-CN"/>
              </w:rPr>
              <w:t xml:space="preserve"> regularly participate in industrial and agricultural activities are excluded).</w:t>
            </w:r>
          </w:p>
        </w:tc>
      </w:tr>
      <w:tr>
        <w:tblPrEx>
          <w:tblCellMar>
            <w:top w:w="0" w:type="dxa"/>
            <w:left w:w="108" w:type="dxa"/>
            <w:bottom w:w="0" w:type="dxa"/>
            <w:right w:w="108" w:type="dxa"/>
          </w:tblCellMar>
        </w:tblPrEx>
        <w:trPr>
          <w:jc w:val="center"/>
        </w:trPr>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Apparently overweight or obese</w:t>
            </w:r>
          </w:p>
        </w:tc>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BMI(Body Mass Index)≥26</w:t>
            </w:r>
          </w:p>
        </w:tc>
      </w:tr>
      <w:tr>
        <w:tblPrEx>
          <w:tblCellMar>
            <w:top w:w="0" w:type="dxa"/>
            <w:left w:w="108" w:type="dxa"/>
            <w:bottom w:w="0" w:type="dxa"/>
            <w:right w:w="108" w:type="dxa"/>
          </w:tblCellMar>
        </w:tblPrEx>
        <w:trPr>
          <w:jc w:val="center"/>
        </w:trPr>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Positive family history of stroke</w:t>
            </w:r>
          </w:p>
        </w:tc>
        <w:tc>
          <w:tcPr>
            <w:tcW w:w="0" w:type="auto"/>
            <w:tcBorders>
              <w:tl2br w:val="nil"/>
              <w:tr2bl w:val="nil"/>
            </w:tcBorders>
            <w:shd w:val="clear" w:color="auto" w:fill="auto"/>
          </w:tcPr>
          <w:p>
            <w:pPr>
              <w:jc w:val="left"/>
              <w:rPr>
                <w:sz w:val="16"/>
                <w:szCs w:val="16"/>
                <w:lang w:eastAsia="zh-CN"/>
              </w:rPr>
            </w:pPr>
            <w:r>
              <w:rPr>
                <w:rFonts w:hint="eastAsia"/>
                <w:sz w:val="16"/>
                <w:szCs w:val="16"/>
                <w:lang w:eastAsia="zh-CN"/>
              </w:rPr>
              <w:t xml:space="preserve">Those whose parents, </w:t>
            </w:r>
            <w:r>
              <w:rPr>
                <w:sz w:val="16"/>
                <w:szCs w:val="16"/>
                <w:lang w:eastAsia="zh-CN"/>
              </w:rPr>
              <w:t>children, siblings</w:t>
            </w:r>
            <w:r>
              <w:rPr>
                <w:rFonts w:hint="eastAsia"/>
                <w:sz w:val="16"/>
                <w:szCs w:val="16"/>
                <w:lang w:eastAsia="zh-CN"/>
              </w:rPr>
              <w:t xml:space="preserve"> (with same parents) has a history of stroke.</w:t>
            </w:r>
          </w:p>
        </w:tc>
      </w:tr>
      <w:tr>
        <w:tblPrEx>
          <w:tblCellMar>
            <w:top w:w="0" w:type="dxa"/>
            <w:left w:w="108" w:type="dxa"/>
            <w:bottom w:w="0" w:type="dxa"/>
            <w:right w:w="108" w:type="dxa"/>
          </w:tblCellMar>
        </w:tblPrEx>
        <w:tc>
          <w:tcPr>
            <w:tcW w:w="1970" w:type="pct"/>
            <w:vMerge w:val="restart"/>
            <w:shd w:val="clear" w:color="auto" w:fill="auto"/>
            <w:vAlign w:val="center"/>
          </w:tcPr>
          <w:p>
            <w:pPr>
              <w:jc w:val="left"/>
              <w:rPr>
                <w:sz w:val="16"/>
                <w:szCs w:val="16"/>
                <w:lang w:eastAsia="zh-CN"/>
              </w:rPr>
            </w:pPr>
            <w:r>
              <w:rPr>
                <w:sz w:val="16"/>
                <w:szCs w:val="16"/>
                <w:lang w:eastAsia="zh-CN"/>
              </w:rPr>
              <w:t>Age</w:t>
            </w:r>
          </w:p>
          <w:p>
            <w:pPr>
              <w:jc w:val="left"/>
              <w:rPr>
                <w:sz w:val="16"/>
                <w:szCs w:val="16"/>
                <w:lang w:eastAsia="zh-CN"/>
              </w:rPr>
            </w:pPr>
          </w:p>
        </w:tc>
        <w:tc>
          <w:tcPr>
            <w:tcW w:w="3030" w:type="pct"/>
            <w:shd w:val="clear" w:color="auto" w:fill="auto"/>
          </w:tcPr>
          <w:p>
            <w:pPr>
              <w:jc w:val="left"/>
              <w:rPr>
                <w:sz w:val="16"/>
                <w:szCs w:val="16"/>
                <w:lang w:eastAsia="zh-CN"/>
              </w:rPr>
            </w:pPr>
            <w:r>
              <w:rPr>
                <w:sz w:val="16"/>
                <w:szCs w:val="16"/>
                <w:lang w:eastAsia="zh-CN"/>
              </w:rPr>
              <w:t>40–49</w:t>
            </w:r>
          </w:p>
        </w:tc>
      </w:tr>
      <w:tr>
        <w:tblPrEx>
          <w:tblCellMar>
            <w:top w:w="0" w:type="dxa"/>
            <w:left w:w="108" w:type="dxa"/>
            <w:bottom w:w="0" w:type="dxa"/>
            <w:right w:w="108" w:type="dxa"/>
          </w:tblCellMar>
        </w:tblPrEx>
        <w:tc>
          <w:tcPr>
            <w:tcW w:w="1970" w:type="pct"/>
            <w:vMerge w:val="continue"/>
            <w:shd w:val="clear" w:color="auto" w:fill="auto"/>
            <w:vAlign w:val="center"/>
          </w:tcPr>
          <w:p>
            <w:pPr>
              <w:jc w:val="left"/>
              <w:rPr>
                <w:sz w:val="16"/>
                <w:szCs w:val="16"/>
                <w:lang w:eastAsia="zh-CN"/>
              </w:rPr>
            </w:pPr>
          </w:p>
        </w:tc>
        <w:tc>
          <w:tcPr>
            <w:tcW w:w="3030" w:type="pct"/>
            <w:shd w:val="clear" w:color="auto" w:fill="auto"/>
          </w:tcPr>
          <w:p>
            <w:pPr>
              <w:jc w:val="left"/>
              <w:rPr>
                <w:sz w:val="16"/>
                <w:szCs w:val="16"/>
                <w:lang w:eastAsia="zh-CN"/>
              </w:rPr>
            </w:pPr>
            <w:r>
              <w:rPr>
                <w:sz w:val="16"/>
                <w:szCs w:val="16"/>
                <w:lang w:eastAsia="zh-CN"/>
              </w:rPr>
              <w:t>50–59</w:t>
            </w:r>
          </w:p>
        </w:tc>
      </w:tr>
      <w:tr>
        <w:tblPrEx>
          <w:tblCellMar>
            <w:top w:w="0" w:type="dxa"/>
            <w:left w:w="108" w:type="dxa"/>
            <w:bottom w:w="0" w:type="dxa"/>
            <w:right w:w="108" w:type="dxa"/>
          </w:tblCellMar>
        </w:tblPrEx>
        <w:tc>
          <w:tcPr>
            <w:tcW w:w="1970" w:type="pct"/>
            <w:vMerge w:val="continue"/>
            <w:shd w:val="clear" w:color="auto" w:fill="auto"/>
            <w:vAlign w:val="center"/>
          </w:tcPr>
          <w:p>
            <w:pPr>
              <w:jc w:val="left"/>
              <w:rPr>
                <w:sz w:val="16"/>
                <w:szCs w:val="16"/>
                <w:lang w:eastAsia="zh-CN"/>
              </w:rPr>
            </w:pPr>
          </w:p>
        </w:tc>
        <w:tc>
          <w:tcPr>
            <w:tcW w:w="3030" w:type="pct"/>
            <w:shd w:val="clear" w:color="auto" w:fill="auto"/>
          </w:tcPr>
          <w:p>
            <w:pPr>
              <w:jc w:val="left"/>
              <w:rPr>
                <w:sz w:val="16"/>
                <w:szCs w:val="16"/>
                <w:lang w:eastAsia="zh-CN"/>
              </w:rPr>
            </w:pPr>
            <w:r>
              <w:rPr>
                <w:sz w:val="16"/>
                <w:szCs w:val="16"/>
                <w:lang w:eastAsia="zh-CN"/>
              </w:rPr>
              <w:t>60–69</w:t>
            </w:r>
          </w:p>
        </w:tc>
      </w:tr>
      <w:tr>
        <w:tblPrEx>
          <w:tblCellMar>
            <w:top w:w="0" w:type="dxa"/>
            <w:left w:w="108" w:type="dxa"/>
            <w:bottom w:w="0" w:type="dxa"/>
            <w:right w:w="108" w:type="dxa"/>
          </w:tblCellMar>
        </w:tblPrEx>
        <w:tc>
          <w:tcPr>
            <w:tcW w:w="1970" w:type="pct"/>
            <w:vMerge w:val="continue"/>
            <w:shd w:val="clear" w:color="auto" w:fill="auto"/>
            <w:vAlign w:val="center"/>
          </w:tcPr>
          <w:p>
            <w:pPr>
              <w:jc w:val="left"/>
              <w:rPr>
                <w:sz w:val="16"/>
                <w:szCs w:val="16"/>
                <w:lang w:eastAsia="zh-CN"/>
              </w:rPr>
            </w:pPr>
          </w:p>
        </w:tc>
        <w:tc>
          <w:tcPr>
            <w:tcW w:w="3030" w:type="pct"/>
            <w:shd w:val="clear" w:color="auto" w:fill="auto"/>
          </w:tcPr>
          <w:p>
            <w:pPr>
              <w:jc w:val="left"/>
              <w:rPr>
                <w:sz w:val="16"/>
                <w:szCs w:val="16"/>
                <w:lang w:eastAsia="zh-CN"/>
              </w:rPr>
            </w:pPr>
            <w:r>
              <w:rPr>
                <w:sz w:val="16"/>
                <w:szCs w:val="16"/>
                <w:lang w:eastAsia="zh-CN"/>
              </w:rPr>
              <w:t>70–79</w:t>
            </w:r>
          </w:p>
        </w:tc>
      </w:tr>
      <w:tr>
        <w:tblPrEx>
          <w:tblCellMar>
            <w:top w:w="0" w:type="dxa"/>
            <w:left w:w="108" w:type="dxa"/>
            <w:bottom w:w="0" w:type="dxa"/>
            <w:right w:w="108" w:type="dxa"/>
          </w:tblCellMar>
        </w:tblPrEx>
        <w:tc>
          <w:tcPr>
            <w:tcW w:w="1970" w:type="pct"/>
            <w:vMerge w:val="continue"/>
            <w:shd w:val="clear" w:color="auto" w:fill="auto"/>
            <w:vAlign w:val="center"/>
          </w:tcPr>
          <w:p>
            <w:pPr>
              <w:jc w:val="left"/>
              <w:rPr>
                <w:sz w:val="16"/>
                <w:szCs w:val="16"/>
                <w:lang w:eastAsia="zh-CN"/>
              </w:rPr>
            </w:pPr>
          </w:p>
        </w:tc>
        <w:tc>
          <w:tcPr>
            <w:tcW w:w="3030" w:type="pct"/>
            <w:shd w:val="clear" w:color="auto" w:fill="auto"/>
          </w:tcPr>
          <w:p>
            <w:pPr>
              <w:jc w:val="left"/>
              <w:rPr>
                <w:sz w:val="16"/>
                <w:szCs w:val="16"/>
                <w:lang w:eastAsia="zh-CN"/>
              </w:rPr>
            </w:pPr>
            <w:r>
              <w:rPr>
                <w:rFonts w:hint="eastAsia"/>
                <w:sz w:val="16"/>
                <w:szCs w:val="16"/>
                <w:lang w:eastAsia="zh-CN"/>
              </w:rPr>
              <w:t xml:space="preserve">≥80 </w:t>
            </w:r>
          </w:p>
        </w:tc>
      </w:tr>
      <w:tr>
        <w:tblPrEx>
          <w:tblCellMar>
            <w:top w:w="0" w:type="dxa"/>
            <w:left w:w="108" w:type="dxa"/>
            <w:bottom w:w="0" w:type="dxa"/>
            <w:right w:w="108" w:type="dxa"/>
          </w:tblCellMar>
        </w:tblPrEx>
        <w:tc>
          <w:tcPr>
            <w:tcW w:w="1970" w:type="pct"/>
            <w:vMerge w:val="restart"/>
            <w:shd w:val="clear" w:color="auto" w:fill="auto"/>
            <w:vAlign w:val="center"/>
          </w:tcPr>
          <w:p>
            <w:pPr>
              <w:jc w:val="left"/>
              <w:rPr>
                <w:sz w:val="16"/>
                <w:szCs w:val="16"/>
                <w:lang w:eastAsia="zh-CN"/>
              </w:rPr>
            </w:pPr>
            <w:r>
              <w:rPr>
                <w:sz w:val="16"/>
                <w:szCs w:val="16"/>
                <w:lang w:eastAsia="zh-CN"/>
              </w:rPr>
              <w:t>District</w:t>
            </w:r>
          </w:p>
          <w:p>
            <w:pPr>
              <w:jc w:val="left"/>
              <w:rPr>
                <w:sz w:val="16"/>
                <w:szCs w:val="16"/>
                <w:lang w:eastAsia="zh-CN"/>
              </w:rPr>
            </w:pPr>
          </w:p>
        </w:tc>
        <w:tc>
          <w:tcPr>
            <w:tcW w:w="3030" w:type="pct"/>
            <w:shd w:val="clear" w:color="auto" w:fill="auto"/>
          </w:tcPr>
          <w:p>
            <w:pPr>
              <w:jc w:val="left"/>
              <w:rPr>
                <w:sz w:val="16"/>
                <w:szCs w:val="16"/>
                <w:lang w:eastAsia="zh-CN"/>
              </w:rPr>
            </w:pPr>
            <w:r>
              <w:rPr>
                <w:sz w:val="16"/>
                <w:szCs w:val="16"/>
                <w:lang w:eastAsia="zh-CN"/>
              </w:rPr>
              <w:t>North China</w:t>
            </w:r>
          </w:p>
        </w:tc>
      </w:tr>
      <w:tr>
        <w:tblPrEx>
          <w:tblCellMar>
            <w:top w:w="0" w:type="dxa"/>
            <w:left w:w="108" w:type="dxa"/>
            <w:bottom w:w="0" w:type="dxa"/>
            <w:right w:w="108" w:type="dxa"/>
          </w:tblCellMar>
        </w:tblPrEx>
        <w:tc>
          <w:tcPr>
            <w:tcW w:w="1970" w:type="pct"/>
            <w:vMerge w:val="continue"/>
            <w:shd w:val="clear" w:color="auto" w:fill="auto"/>
            <w:vAlign w:val="center"/>
          </w:tcPr>
          <w:p>
            <w:pPr>
              <w:jc w:val="left"/>
              <w:rPr>
                <w:sz w:val="16"/>
                <w:szCs w:val="16"/>
                <w:lang w:eastAsia="zh-CN"/>
              </w:rPr>
            </w:pPr>
          </w:p>
        </w:tc>
        <w:tc>
          <w:tcPr>
            <w:tcW w:w="3030" w:type="pct"/>
            <w:shd w:val="clear" w:color="auto" w:fill="auto"/>
          </w:tcPr>
          <w:p>
            <w:pPr>
              <w:jc w:val="left"/>
              <w:rPr>
                <w:sz w:val="16"/>
                <w:szCs w:val="16"/>
                <w:lang w:eastAsia="zh-CN"/>
              </w:rPr>
            </w:pPr>
            <w:r>
              <w:rPr>
                <w:sz w:val="16"/>
                <w:szCs w:val="16"/>
                <w:lang w:eastAsia="zh-CN"/>
              </w:rPr>
              <w:t>South China</w:t>
            </w:r>
          </w:p>
        </w:tc>
      </w:tr>
      <w:tr>
        <w:tblPrEx>
          <w:tblCellMar>
            <w:top w:w="0" w:type="dxa"/>
            <w:left w:w="108" w:type="dxa"/>
            <w:bottom w:w="0" w:type="dxa"/>
            <w:right w:w="108" w:type="dxa"/>
          </w:tblCellMar>
        </w:tblPrEx>
        <w:tc>
          <w:tcPr>
            <w:tcW w:w="1970" w:type="pct"/>
            <w:vMerge w:val="continue"/>
            <w:shd w:val="clear" w:color="auto" w:fill="auto"/>
            <w:vAlign w:val="center"/>
          </w:tcPr>
          <w:p>
            <w:pPr>
              <w:jc w:val="left"/>
              <w:rPr>
                <w:sz w:val="16"/>
                <w:szCs w:val="16"/>
                <w:lang w:eastAsia="zh-CN"/>
              </w:rPr>
            </w:pPr>
          </w:p>
        </w:tc>
        <w:tc>
          <w:tcPr>
            <w:tcW w:w="3030" w:type="pct"/>
            <w:shd w:val="clear" w:color="auto" w:fill="auto"/>
          </w:tcPr>
          <w:p>
            <w:pPr>
              <w:jc w:val="left"/>
              <w:rPr>
                <w:sz w:val="16"/>
                <w:szCs w:val="16"/>
                <w:lang w:eastAsia="zh-CN"/>
              </w:rPr>
            </w:pPr>
            <w:r>
              <w:rPr>
                <w:sz w:val="16"/>
                <w:szCs w:val="16"/>
                <w:lang w:eastAsia="zh-CN"/>
              </w:rPr>
              <w:t>East China</w:t>
            </w:r>
          </w:p>
        </w:tc>
      </w:tr>
      <w:tr>
        <w:tblPrEx>
          <w:tblCellMar>
            <w:top w:w="0" w:type="dxa"/>
            <w:left w:w="108" w:type="dxa"/>
            <w:bottom w:w="0" w:type="dxa"/>
            <w:right w:w="108" w:type="dxa"/>
          </w:tblCellMar>
        </w:tblPrEx>
        <w:tc>
          <w:tcPr>
            <w:tcW w:w="1970" w:type="pct"/>
            <w:vMerge w:val="continue"/>
            <w:shd w:val="clear" w:color="auto" w:fill="auto"/>
            <w:vAlign w:val="center"/>
          </w:tcPr>
          <w:p>
            <w:pPr>
              <w:jc w:val="left"/>
              <w:rPr>
                <w:sz w:val="16"/>
                <w:szCs w:val="16"/>
                <w:lang w:eastAsia="zh-CN"/>
              </w:rPr>
            </w:pPr>
          </w:p>
        </w:tc>
        <w:tc>
          <w:tcPr>
            <w:tcW w:w="3030" w:type="pct"/>
            <w:shd w:val="clear" w:color="auto" w:fill="auto"/>
          </w:tcPr>
          <w:p>
            <w:pPr>
              <w:jc w:val="left"/>
              <w:rPr>
                <w:sz w:val="16"/>
                <w:szCs w:val="16"/>
                <w:lang w:eastAsia="zh-CN"/>
              </w:rPr>
            </w:pPr>
            <w:r>
              <w:rPr>
                <w:sz w:val="16"/>
                <w:szCs w:val="16"/>
                <w:lang w:eastAsia="zh-CN"/>
              </w:rPr>
              <w:t>Central China</w:t>
            </w:r>
          </w:p>
        </w:tc>
      </w:tr>
      <w:tr>
        <w:tblPrEx>
          <w:tblCellMar>
            <w:top w:w="0" w:type="dxa"/>
            <w:left w:w="108" w:type="dxa"/>
            <w:bottom w:w="0" w:type="dxa"/>
            <w:right w:w="108" w:type="dxa"/>
          </w:tblCellMar>
        </w:tblPrEx>
        <w:tc>
          <w:tcPr>
            <w:tcW w:w="1970" w:type="pct"/>
            <w:vMerge w:val="continue"/>
            <w:shd w:val="clear" w:color="auto" w:fill="auto"/>
            <w:vAlign w:val="center"/>
          </w:tcPr>
          <w:p>
            <w:pPr>
              <w:jc w:val="left"/>
              <w:rPr>
                <w:sz w:val="16"/>
                <w:szCs w:val="16"/>
                <w:lang w:eastAsia="zh-CN"/>
              </w:rPr>
            </w:pPr>
          </w:p>
        </w:tc>
        <w:tc>
          <w:tcPr>
            <w:tcW w:w="3030" w:type="pct"/>
            <w:shd w:val="clear" w:color="auto" w:fill="auto"/>
          </w:tcPr>
          <w:p>
            <w:pPr>
              <w:jc w:val="left"/>
              <w:rPr>
                <w:sz w:val="16"/>
                <w:szCs w:val="16"/>
                <w:lang w:eastAsia="zh-CN"/>
              </w:rPr>
            </w:pPr>
            <w:r>
              <w:rPr>
                <w:sz w:val="16"/>
                <w:szCs w:val="16"/>
                <w:lang w:eastAsia="zh-CN"/>
              </w:rPr>
              <w:t>Southwest China</w:t>
            </w:r>
          </w:p>
        </w:tc>
      </w:tr>
      <w:tr>
        <w:tblPrEx>
          <w:tblCellMar>
            <w:top w:w="0" w:type="dxa"/>
            <w:left w:w="108" w:type="dxa"/>
            <w:bottom w:w="0" w:type="dxa"/>
            <w:right w:w="108" w:type="dxa"/>
          </w:tblCellMar>
        </w:tblPrEx>
        <w:tc>
          <w:tcPr>
            <w:tcW w:w="1970" w:type="pct"/>
            <w:vMerge w:val="continue"/>
            <w:shd w:val="clear" w:color="auto" w:fill="auto"/>
            <w:vAlign w:val="center"/>
          </w:tcPr>
          <w:p>
            <w:pPr>
              <w:jc w:val="left"/>
              <w:rPr>
                <w:sz w:val="16"/>
                <w:szCs w:val="16"/>
                <w:lang w:eastAsia="zh-CN"/>
              </w:rPr>
            </w:pPr>
          </w:p>
        </w:tc>
        <w:tc>
          <w:tcPr>
            <w:tcW w:w="3030" w:type="pct"/>
            <w:shd w:val="clear" w:color="auto" w:fill="auto"/>
          </w:tcPr>
          <w:p>
            <w:pPr>
              <w:jc w:val="left"/>
              <w:rPr>
                <w:sz w:val="16"/>
                <w:szCs w:val="16"/>
                <w:lang w:eastAsia="zh-CN"/>
              </w:rPr>
            </w:pPr>
            <w:r>
              <w:rPr>
                <w:sz w:val="16"/>
                <w:szCs w:val="16"/>
                <w:lang w:eastAsia="zh-CN"/>
              </w:rPr>
              <w:t>Northwest China</w:t>
            </w:r>
          </w:p>
        </w:tc>
      </w:tr>
      <w:tr>
        <w:tblPrEx>
          <w:tblCellMar>
            <w:top w:w="0" w:type="dxa"/>
            <w:left w:w="108" w:type="dxa"/>
            <w:bottom w:w="0" w:type="dxa"/>
            <w:right w:w="108" w:type="dxa"/>
          </w:tblCellMar>
        </w:tblPrEx>
        <w:tc>
          <w:tcPr>
            <w:tcW w:w="1970" w:type="pct"/>
            <w:vMerge w:val="continue"/>
            <w:shd w:val="clear" w:color="auto" w:fill="auto"/>
            <w:vAlign w:val="center"/>
          </w:tcPr>
          <w:p>
            <w:pPr>
              <w:jc w:val="left"/>
              <w:rPr>
                <w:sz w:val="16"/>
                <w:szCs w:val="16"/>
                <w:lang w:eastAsia="zh-CN"/>
              </w:rPr>
            </w:pPr>
          </w:p>
        </w:tc>
        <w:tc>
          <w:tcPr>
            <w:tcW w:w="3030" w:type="pct"/>
            <w:shd w:val="clear" w:color="auto" w:fill="auto"/>
          </w:tcPr>
          <w:p>
            <w:pPr>
              <w:jc w:val="left"/>
              <w:rPr>
                <w:sz w:val="16"/>
                <w:szCs w:val="16"/>
                <w:lang w:eastAsia="zh-CN"/>
              </w:rPr>
            </w:pPr>
            <w:r>
              <w:rPr>
                <w:sz w:val="16"/>
                <w:szCs w:val="16"/>
                <w:lang w:eastAsia="zh-CN"/>
              </w:rPr>
              <w:t>Northeast China</w:t>
            </w:r>
          </w:p>
        </w:tc>
      </w:tr>
      <w:tr>
        <w:tblPrEx>
          <w:tblCellMar>
            <w:top w:w="0" w:type="dxa"/>
            <w:left w:w="108" w:type="dxa"/>
            <w:bottom w:w="0" w:type="dxa"/>
            <w:right w:w="108" w:type="dxa"/>
          </w:tblCellMar>
        </w:tblPrEx>
        <w:tc>
          <w:tcPr>
            <w:tcW w:w="1970" w:type="pct"/>
            <w:vMerge w:val="restart"/>
            <w:tcBorders>
              <w:bottom w:val="single" w:color="auto" w:sz="4" w:space="0"/>
            </w:tcBorders>
            <w:shd w:val="clear" w:color="auto" w:fill="auto"/>
            <w:vAlign w:val="center"/>
          </w:tcPr>
          <w:p>
            <w:pPr>
              <w:jc w:val="left"/>
              <w:rPr>
                <w:sz w:val="16"/>
                <w:szCs w:val="16"/>
                <w:lang w:eastAsia="zh-CN"/>
              </w:rPr>
            </w:pPr>
            <w:r>
              <w:rPr>
                <w:sz w:val="16"/>
                <w:szCs w:val="16"/>
                <w:lang w:eastAsia="zh-CN"/>
              </w:rPr>
              <w:t>Living in rural areas or cities</w:t>
            </w:r>
          </w:p>
        </w:tc>
        <w:tc>
          <w:tcPr>
            <w:tcW w:w="3030" w:type="pct"/>
            <w:shd w:val="clear" w:color="auto" w:fill="auto"/>
          </w:tcPr>
          <w:p>
            <w:pPr>
              <w:jc w:val="left"/>
              <w:rPr>
                <w:sz w:val="16"/>
                <w:szCs w:val="16"/>
                <w:lang w:eastAsia="zh-CN"/>
              </w:rPr>
            </w:pPr>
            <w:r>
              <w:rPr>
                <w:sz w:val="16"/>
                <w:szCs w:val="16"/>
                <w:lang w:eastAsia="zh-CN"/>
              </w:rPr>
              <w:t>Rural areas</w:t>
            </w:r>
          </w:p>
        </w:tc>
      </w:tr>
      <w:tr>
        <w:tblPrEx>
          <w:tblCellMar>
            <w:top w:w="0" w:type="dxa"/>
            <w:left w:w="108" w:type="dxa"/>
            <w:bottom w:w="0" w:type="dxa"/>
            <w:right w:w="108" w:type="dxa"/>
          </w:tblCellMar>
        </w:tblPrEx>
        <w:tc>
          <w:tcPr>
            <w:tcW w:w="1970" w:type="pct"/>
            <w:vMerge w:val="continue"/>
            <w:tcBorders>
              <w:bottom w:val="single" w:color="auto" w:sz="4" w:space="0"/>
            </w:tcBorders>
            <w:shd w:val="clear" w:color="auto" w:fill="auto"/>
            <w:vAlign w:val="center"/>
          </w:tcPr>
          <w:p>
            <w:pPr>
              <w:jc w:val="left"/>
              <w:rPr>
                <w:sz w:val="16"/>
                <w:szCs w:val="16"/>
                <w:lang w:eastAsia="zh-CN"/>
              </w:rPr>
            </w:pPr>
          </w:p>
        </w:tc>
        <w:tc>
          <w:tcPr>
            <w:tcW w:w="3030" w:type="pct"/>
            <w:tcBorders>
              <w:bottom w:val="single" w:color="auto" w:sz="4" w:space="0"/>
            </w:tcBorders>
            <w:shd w:val="clear" w:color="auto" w:fill="auto"/>
          </w:tcPr>
          <w:p>
            <w:pPr>
              <w:jc w:val="left"/>
              <w:rPr>
                <w:sz w:val="16"/>
                <w:szCs w:val="16"/>
                <w:lang w:eastAsia="zh-CN"/>
              </w:rPr>
            </w:pPr>
            <w:r>
              <w:rPr>
                <w:sz w:val="16"/>
                <w:szCs w:val="16"/>
                <w:lang w:eastAsia="zh-CN"/>
              </w:rPr>
              <w:t>Cities</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Q0Y2ZmMDI0YzhlODM3Zjc3Y2ViMTdhNDM5Y2UyOTAifQ=="/>
  </w:docVars>
  <w:rsids>
    <w:rsidRoot w:val="004C2D9B"/>
    <w:rsid w:val="001A48FE"/>
    <w:rsid w:val="0024064A"/>
    <w:rsid w:val="003B194A"/>
    <w:rsid w:val="004C2D9B"/>
    <w:rsid w:val="005A7DC0"/>
    <w:rsid w:val="009A255F"/>
    <w:rsid w:val="00AC5F46"/>
    <w:rsid w:val="00C64774"/>
    <w:rsid w:val="00E81699"/>
    <w:rsid w:val="00FD1A70"/>
    <w:rsid w:val="52E449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overflowPunct w:val="0"/>
      <w:autoSpaceDE w:val="0"/>
      <w:autoSpaceDN w:val="0"/>
      <w:adjustRightInd w:val="0"/>
      <w:spacing w:line="240" w:lineRule="atLeast"/>
      <w:ind w:firstLine="227"/>
      <w:jc w:val="both"/>
      <w:textAlignment w:val="baseline"/>
    </w:pPr>
    <w:rPr>
      <w:rFonts w:ascii="Times New Roman" w:hAnsi="Times New Roman" w:eastAsia="Times New Roman" w:cs="Times New Roman"/>
      <w:kern w:val="0"/>
      <w:sz w:val="20"/>
      <w:szCs w:val="20"/>
      <w:lang w:val="en-US" w:eastAsia="en-US" w:bidi="ar-SA"/>
    </w:rPr>
  </w:style>
  <w:style w:type="paragraph" w:styleId="2">
    <w:name w:val="heading 3"/>
    <w:basedOn w:val="1"/>
    <w:next w:val="1"/>
    <w:link w:val="10"/>
    <w:qFormat/>
    <w:uiPriority w:val="0"/>
    <w:pPr>
      <w:spacing w:before="360"/>
      <w:ind w:firstLine="0"/>
      <w:outlineLvl w:val="2"/>
    </w:p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1"/>
    <w:qFormat/>
    <w:uiPriority w:val="0"/>
    <w:pPr>
      <w:overflowPunct/>
      <w:autoSpaceDE/>
      <w:autoSpaceDN/>
      <w:adjustRightInd/>
      <w:spacing w:after="120" w:line="228" w:lineRule="auto"/>
      <w:ind w:firstLine="288"/>
      <w:textAlignment w:val="auto"/>
    </w:pPr>
    <w:rPr>
      <w:rFonts w:eastAsia="宋体" w:asciiTheme="minorHAnsi" w:hAnsiTheme="minorHAnsi" w:cstheme="minorBidi"/>
      <w:spacing w:val="-1"/>
      <w:kern w:val="2"/>
      <w:sz w:val="21"/>
      <w:szCs w:val="22"/>
      <w:lang w:eastAsia="zh-CN"/>
    </w:rPr>
  </w:style>
  <w:style w:type="paragraph" w:styleId="4">
    <w:name w:val="footer"/>
    <w:basedOn w:val="1"/>
    <w:link w:val="9"/>
    <w:unhideWhenUsed/>
    <w:uiPriority w:val="99"/>
    <w:pPr>
      <w:widowControl w:val="0"/>
      <w:tabs>
        <w:tab w:val="center" w:pos="4153"/>
        <w:tab w:val="right" w:pos="8306"/>
      </w:tabs>
      <w:overflowPunct/>
      <w:autoSpaceDE/>
      <w:autoSpaceDN/>
      <w:adjustRightInd/>
      <w:snapToGrid w:val="0"/>
      <w:spacing w:line="240" w:lineRule="auto"/>
      <w:ind w:firstLine="0"/>
      <w:jc w:val="left"/>
      <w:textAlignment w:val="auto"/>
    </w:pPr>
    <w:rPr>
      <w:rFonts w:asciiTheme="minorHAnsi" w:hAnsiTheme="minorHAnsi" w:eastAsiaTheme="minorEastAsia" w:cstheme="minorBidi"/>
      <w:kern w:val="2"/>
      <w:sz w:val="18"/>
      <w:szCs w:val="18"/>
      <w:lang w:eastAsia="zh-CN"/>
    </w:rPr>
  </w:style>
  <w:style w:type="paragraph" w:styleId="5">
    <w:name w:val="header"/>
    <w:basedOn w:val="1"/>
    <w:link w:val="8"/>
    <w:unhideWhenUsed/>
    <w:qFormat/>
    <w:uiPriority w:val="99"/>
    <w:pPr>
      <w:widowControl w:val="0"/>
      <w:tabs>
        <w:tab w:val="center" w:pos="4153"/>
        <w:tab w:val="right" w:pos="8306"/>
      </w:tabs>
      <w:overflowPunct/>
      <w:autoSpaceDE/>
      <w:autoSpaceDN/>
      <w:adjustRightInd/>
      <w:snapToGrid w:val="0"/>
      <w:spacing w:line="240" w:lineRule="auto"/>
      <w:ind w:firstLine="0"/>
      <w:jc w:val="center"/>
      <w:textAlignment w:val="auto"/>
    </w:pPr>
    <w:rPr>
      <w:rFonts w:asciiTheme="minorHAnsi" w:hAnsiTheme="minorHAnsi" w:eastAsiaTheme="minorEastAsia" w:cstheme="minorBidi"/>
      <w:kern w:val="2"/>
      <w:sz w:val="18"/>
      <w:szCs w:val="18"/>
      <w:lang w:eastAsia="zh-CN"/>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标题 3 字符"/>
    <w:basedOn w:val="7"/>
    <w:link w:val="2"/>
    <w:qFormat/>
    <w:uiPriority w:val="0"/>
    <w:rPr>
      <w:rFonts w:ascii="Times New Roman" w:hAnsi="Times New Roman" w:eastAsia="Times New Roman" w:cs="Times New Roman"/>
      <w:kern w:val="0"/>
      <w:sz w:val="20"/>
      <w:szCs w:val="20"/>
      <w:lang w:eastAsia="en-US"/>
    </w:rPr>
  </w:style>
  <w:style w:type="character" w:customStyle="1" w:styleId="11">
    <w:name w:val="正文文本 字符"/>
    <w:link w:val="3"/>
    <w:qFormat/>
    <w:uiPriority w:val="0"/>
    <w:rPr>
      <w:rFonts w:eastAsia="宋体"/>
      <w:spacing w:val="-1"/>
    </w:rPr>
  </w:style>
  <w:style w:type="character" w:customStyle="1" w:styleId="12">
    <w:name w:val="正文文本 字符1"/>
    <w:basedOn w:val="7"/>
    <w:semiHidden/>
    <w:qFormat/>
    <w:uiPriority w:val="99"/>
    <w:rPr>
      <w:rFonts w:ascii="Times New Roman" w:hAnsi="Times New Roman" w:eastAsia="Times New Roman" w:cs="Times New Roman"/>
      <w:kern w:val="0"/>
      <w:sz w:val="20"/>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748</Words>
  <Characters>4268</Characters>
  <Lines>35</Lines>
  <Paragraphs>10</Paragraphs>
  <TotalTime>2</TotalTime>
  <ScaleCrop>false</ScaleCrop>
  <LinksUpToDate>false</LinksUpToDate>
  <CharactersWithSpaces>5006</CharactersWithSpaces>
  <Application>WPS Office_11.1.0.14650_F1E327BC-269C-435d-A152-05C5408002CA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2023-06-12T10:11:00Z</dcterms:created>
  <dc:creator>rose_1203@yeah.net</dc:creator>
  <cp:lastModifiedBy>萌大哥</cp:lastModifiedBy>
  <dcterms:modified xsi:type="dcterms:W3CDTF">2023-06-28T02:30:32Z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2052-11.1.0.14650</vt:lpwstr>
  </property>
  <property fmtid="{D5CDD505-2E9C-101B-9397-08002B2CF9AE}" pid="3" name="ICV">
    <vt:lpwstr>BF7BD7AACA6044CBA0F4D7A6AD3B6C3D_12</vt:lpwstr>
  </property>
</Properties>
</file>