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876" w:rsidRPr="00000DD2" w:rsidRDefault="007E54FC">
      <w:pPr>
        <w:rPr>
          <w:rFonts w:ascii="Arial" w:hAnsi="Arial" w:cs="Arial"/>
          <w:b/>
          <w:sz w:val="24"/>
          <w:szCs w:val="24"/>
          <w:u w:val="single"/>
        </w:rPr>
      </w:pPr>
      <w:r w:rsidRPr="00000DD2">
        <w:rPr>
          <w:rFonts w:ascii="Arial" w:hAnsi="Arial" w:cs="Arial"/>
          <w:b/>
          <w:sz w:val="24"/>
          <w:szCs w:val="24"/>
          <w:u w:val="single"/>
        </w:rPr>
        <w:t>Supplemental Results and Discussion</w:t>
      </w:r>
    </w:p>
    <w:p w:rsidR="000C3F12" w:rsidRDefault="000C3F12" w:rsidP="000C3F12">
      <w:pPr>
        <w:spacing w:line="480" w:lineRule="auto"/>
        <w:jc w:val="both"/>
        <w:rPr>
          <w:rFonts w:ascii="Arial" w:hAnsi="Arial" w:cs="Arial"/>
          <w:i/>
          <w:sz w:val="24"/>
          <w:szCs w:val="24"/>
          <w:u w:val="single"/>
        </w:rPr>
      </w:pPr>
      <w:r w:rsidRPr="000C3F12">
        <w:rPr>
          <w:rFonts w:ascii="Arial" w:hAnsi="Arial" w:cs="Arial"/>
          <w:i/>
          <w:sz w:val="24"/>
          <w:szCs w:val="24"/>
          <w:u w:val="single"/>
        </w:rPr>
        <w:t>Gloeocapsopsis dulcis</w:t>
      </w:r>
      <w:r w:rsidRPr="000C3F12">
        <w:rPr>
          <w:rFonts w:ascii="Arial" w:hAnsi="Arial" w:cs="Arial"/>
          <w:sz w:val="24"/>
          <w:szCs w:val="24"/>
          <w:u w:val="single"/>
        </w:rPr>
        <w:t xml:space="preserve"> </w:t>
      </w:r>
      <w:r w:rsidRPr="000C3F12">
        <w:rPr>
          <w:rFonts w:ascii="Arial" w:hAnsi="Arial" w:cs="Arial"/>
          <w:i/>
          <w:sz w:val="24"/>
          <w:szCs w:val="24"/>
          <w:u w:val="single"/>
        </w:rPr>
        <w:t>genome</w:t>
      </w:r>
      <w:r w:rsidR="006F149B">
        <w:rPr>
          <w:rFonts w:ascii="Arial" w:hAnsi="Arial" w:cs="Arial"/>
          <w:i/>
          <w:sz w:val="24"/>
          <w:szCs w:val="24"/>
          <w:u w:val="single"/>
        </w:rPr>
        <w:t xml:space="preserve"> </w:t>
      </w:r>
      <w:proofErr w:type="spellStart"/>
      <w:r w:rsidR="006F149B">
        <w:rPr>
          <w:rFonts w:ascii="Arial" w:hAnsi="Arial" w:cs="Arial"/>
          <w:i/>
          <w:sz w:val="24"/>
          <w:szCs w:val="24"/>
          <w:u w:val="single"/>
        </w:rPr>
        <w:t>oriC</w:t>
      </w:r>
      <w:proofErr w:type="spellEnd"/>
    </w:p>
    <w:p w:rsidR="000C3F12" w:rsidRDefault="000C3F12" w:rsidP="000C3F12">
      <w:pPr>
        <w:spacing w:line="480" w:lineRule="auto"/>
        <w:jc w:val="both"/>
        <w:rPr>
          <w:rFonts w:ascii="Arial" w:hAnsi="Arial" w:cs="Arial"/>
          <w:color w:val="000000"/>
        </w:rPr>
      </w:pPr>
      <w:r w:rsidRPr="00945295">
        <w:rPr>
          <w:rFonts w:ascii="Arial" w:hAnsi="Arial" w:cs="Arial"/>
        </w:rPr>
        <w:t xml:space="preserve">We used Ori-Finder 2022 </w:t>
      </w:r>
      <w:r w:rsidRPr="00945295">
        <w:rPr>
          <w:rFonts w:ascii="Arial" w:hAnsi="Arial" w:cs="Arial"/>
        </w:rPr>
        <w:fldChar w:fldCharType="begin"/>
      </w:r>
      <w:r>
        <w:rPr>
          <w:rFonts w:ascii="Arial" w:hAnsi="Arial" w:cs="Arial"/>
        </w:rPr>
        <w:instrText xml:space="preserve"> ADDIN ZOTERO_ITEM CSL_CITATION {"citationID":"5A123rRf","properties":{"formattedCitation":"\\super 1\\nosupersub{}","plainCitation":"1","noteIndex":0},"citationItems":[{"id":383,"uris":["http://zotero.org/users/11072674/items/MKJEHJZP"],"itemData":{"id":383,"type":"article-journal","abstract":"The replication of DNA is a complex biological process that is essential for life. Bacterial DNA replication is initiated at genomic loci referred to as replication origins (oriCs). Integrating the Z-curve method, DnaA box distribution, and comparative genomic analysis, we developed a web server to predict bacterial oriCs in 2008 called Ori-Finder, which contributes to clarify the characteristics of bacterial oriCs. The oriCs of hundreds of sequenced bacterial genomes have been annotated in their genome reports using Ori-Finder and the predicted results have been deposited in DoriC, a manually curated database of oriCs. This has facilitated large-scale data mining of functional elements in oriCs and strand-biased analysis. Here, we describe Ori-Finder 2022 with updated prediction framework, interactive visualization module, new analysis module, and user-friendly interface. More species-specific indicator genes and functional elements of oriCs are integrated into the updated framework, which has also been redesigned to predict oriCs in draft genomes. The interactive visualization module displays more genomic information related to oriCs and their functional elements. The analysis module includes regulatory protein annotation, repeat sequence discovery, homologous oriC search, and strand-biased analyses. The redesigned interface provides additional customization options for oriC prediction. Ori-Finder 2022 is freely available at http://tubic.tju.edu.cn/Ori-Finder/ and https://tubic.org/Ori-Finder/.","container-title":"Genomics, Proteomics &amp; Bioinformatics","DOI":"10.1016/j.gpb.2022.10.002","ISSN":"1672-0229","journalAbbreviation":"Genomics, Proteomics &amp; Bioinformatics","language":"en","source":"ScienceDirect","title":"Ori-Finder 2022: A Comprehensive Web Server for Prediction and Analysis of Bacterial Replication Origins","title-short":"Ori-Finder 2022","URL":"https://www.sciencedirect.com/science/article/pii/S1672022922001309","author":[{"family":"Dong","given":"Mei-Jing"},{"family":"Luo","given":"Hao"},{"family":"Gao","given":"Feng"}],"accessed":{"date-parts":[["2023",2,24]]},"issued":{"date-parts":[["2022",10,17]]}}}],"schema":"https://github.com/citation-style-language/schema/raw/master/csl-citation.json"} </w:instrText>
      </w:r>
      <w:r w:rsidRPr="00945295">
        <w:rPr>
          <w:rFonts w:ascii="Arial" w:hAnsi="Arial" w:cs="Arial"/>
        </w:rPr>
        <w:fldChar w:fldCharType="separate"/>
      </w:r>
      <w:r w:rsidRPr="000C3F12">
        <w:rPr>
          <w:rFonts w:ascii="Arial" w:hAnsi="Arial" w:cs="Arial"/>
          <w:szCs w:val="24"/>
          <w:vertAlign w:val="superscript"/>
        </w:rPr>
        <w:t>1</w:t>
      </w:r>
      <w:r w:rsidRPr="00945295">
        <w:rPr>
          <w:rFonts w:ascii="Arial" w:hAnsi="Arial" w:cs="Arial"/>
        </w:rPr>
        <w:fldChar w:fldCharType="end"/>
      </w:r>
      <w:r w:rsidRPr="00945295">
        <w:rPr>
          <w:rFonts w:ascii="Arial" w:hAnsi="Arial" w:cs="Arial"/>
          <w:color w:val="000000"/>
        </w:rPr>
        <w:t xml:space="preserve">, which analyzes the GC skew, </w:t>
      </w:r>
      <w:proofErr w:type="spellStart"/>
      <w:r w:rsidRPr="00945295">
        <w:rPr>
          <w:rFonts w:ascii="Arial" w:hAnsi="Arial" w:cs="Arial"/>
          <w:i/>
          <w:color w:val="000000"/>
        </w:rPr>
        <w:t>oriC</w:t>
      </w:r>
      <w:proofErr w:type="spellEnd"/>
      <w:r w:rsidRPr="00945295">
        <w:rPr>
          <w:rFonts w:ascii="Arial" w:hAnsi="Arial" w:cs="Arial"/>
          <w:color w:val="000000"/>
        </w:rPr>
        <w:t xml:space="preserve"> functional elements and the location of indicator genes (e.g., </w:t>
      </w:r>
      <w:proofErr w:type="spellStart"/>
      <w:r w:rsidRPr="00945295">
        <w:rPr>
          <w:rFonts w:ascii="Arial" w:hAnsi="Arial" w:cs="Arial"/>
          <w:i/>
          <w:color w:val="000000"/>
        </w:rPr>
        <w:t>dnaA</w:t>
      </w:r>
      <w:proofErr w:type="spellEnd"/>
      <w:r w:rsidRPr="00945295">
        <w:rPr>
          <w:rFonts w:ascii="Arial" w:hAnsi="Arial" w:cs="Arial"/>
          <w:color w:val="000000"/>
        </w:rPr>
        <w:t xml:space="preserve">, </w:t>
      </w:r>
      <w:proofErr w:type="spellStart"/>
      <w:r w:rsidRPr="00945295">
        <w:rPr>
          <w:rFonts w:ascii="Arial" w:hAnsi="Arial" w:cs="Arial"/>
          <w:i/>
          <w:color w:val="000000"/>
        </w:rPr>
        <w:t>dnaN</w:t>
      </w:r>
      <w:proofErr w:type="spellEnd"/>
      <w:r w:rsidRPr="00945295">
        <w:rPr>
          <w:rFonts w:ascii="Arial" w:hAnsi="Arial" w:cs="Arial"/>
          <w:color w:val="000000"/>
        </w:rPr>
        <w:t xml:space="preserve">, </w:t>
      </w:r>
      <w:proofErr w:type="spellStart"/>
      <w:r w:rsidRPr="00945295">
        <w:rPr>
          <w:rFonts w:ascii="Arial" w:hAnsi="Arial" w:cs="Arial"/>
          <w:i/>
          <w:color w:val="000000"/>
        </w:rPr>
        <w:t>hemB</w:t>
      </w:r>
      <w:proofErr w:type="spellEnd"/>
      <w:r w:rsidRPr="00945295">
        <w:rPr>
          <w:rFonts w:ascii="Arial" w:hAnsi="Arial" w:cs="Arial"/>
          <w:color w:val="000000"/>
        </w:rPr>
        <w:t xml:space="preserve">, etc.), to identify the origin of replication (e.g., predicted </w:t>
      </w:r>
      <w:proofErr w:type="spellStart"/>
      <w:r w:rsidRPr="00945295">
        <w:rPr>
          <w:rFonts w:ascii="Arial" w:hAnsi="Arial" w:cs="Arial"/>
          <w:color w:val="000000"/>
        </w:rPr>
        <w:t>DnaA</w:t>
      </w:r>
      <w:proofErr w:type="spellEnd"/>
      <w:r w:rsidRPr="00945295">
        <w:rPr>
          <w:rFonts w:ascii="Arial" w:hAnsi="Arial" w:cs="Arial"/>
          <w:i/>
          <w:color w:val="000000"/>
        </w:rPr>
        <w:t xml:space="preserve"> </w:t>
      </w:r>
      <w:r w:rsidRPr="00945295">
        <w:rPr>
          <w:rFonts w:ascii="Arial" w:hAnsi="Arial" w:cs="Arial"/>
          <w:color w:val="000000"/>
        </w:rPr>
        <w:t xml:space="preserve">boxes in </w:t>
      </w:r>
      <w:r>
        <w:rPr>
          <w:rFonts w:ascii="Arial" w:hAnsi="Arial" w:cs="Arial"/>
          <w:b/>
          <w:color w:val="000000"/>
        </w:rPr>
        <w:t>Table S1</w:t>
      </w:r>
      <w:r w:rsidRPr="00945295">
        <w:rPr>
          <w:rFonts w:ascii="Arial" w:hAnsi="Arial" w:cs="Arial"/>
          <w:color w:val="000000"/>
        </w:rPr>
        <w:t xml:space="preserve">). Ori-Finder predicted two potential </w:t>
      </w:r>
      <w:proofErr w:type="spellStart"/>
      <w:r w:rsidRPr="00945295">
        <w:rPr>
          <w:rFonts w:ascii="Arial" w:hAnsi="Arial" w:cs="Arial"/>
          <w:i/>
          <w:color w:val="000000"/>
        </w:rPr>
        <w:t>oriC</w:t>
      </w:r>
      <w:proofErr w:type="spellEnd"/>
      <w:r w:rsidRPr="00945295">
        <w:rPr>
          <w:rFonts w:ascii="Arial" w:hAnsi="Arial" w:cs="Arial"/>
          <w:color w:val="000000"/>
        </w:rPr>
        <w:t xml:space="preserve"> regions, however, based on homology with other </w:t>
      </w:r>
      <w:proofErr w:type="spellStart"/>
      <w:r w:rsidRPr="00945295">
        <w:rPr>
          <w:rFonts w:ascii="Arial" w:hAnsi="Arial" w:cs="Arial"/>
          <w:i/>
          <w:color w:val="000000"/>
        </w:rPr>
        <w:t>oriC</w:t>
      </w:r>
      <w:proofErr w:type="spellEnd"/>
      <w:r w:rsidRPr="00945295">
        <w:rPr>
          <w:rFonts w:ascii="Arial" w:hAnsi="Arial" w:cs="Arial"/>
          <w:i/>
          <w:color w:val="000000"/>
        </w:rPr>
        <w:t xml:space="preserve"> </w:t>
      </w:r>
      <w:r w:rsidRPr="00945295">
        <w:rPr>
          <w:rFonts w:ascii="Arial" w:hAnsi="Arial" w:cs="Arial"/>
          <w:color w:val="000000"/>
        </w:rPr>
        <w:t xml:space="preserve">sequences and GC skew, the most likely replication origin started at 4,134,960 </w:t>
      </w:r>
      <w:proofErr w:type="spellStart"/>
      <w:r w:rsidRPr="00945295">
        <w:rPr>
          <w:rFonts w:ascii="Arial" w:hAnsi="Arial" w:cs="Arial"/>
          <w:color w:val="000000"/>
        </w:rPr>
        <w:t>nt</w:t>
      </w:r>
      <w:proofErr w:type="spellEnd"/>
      <w:r w:rsidRPr="00945295">
        <w:rPr>
          <w:rFonts w:ascii="Arial" w:hAnsi="Arial" w:cs="Arial"/>
          <w:color w:val="000000"/>
        </w:rPr>
        <w:t xml:space="preserve"> within the chromosome sequence (</w:t>
      </w:r>
      <w:r>
        <w:rPr>
          <w:rFonts w:ascii="Arial" w:hAnsi="Arial" w:cs="Arial"/>
          <w:b/>
          <w:color w:val="000000"/>
        </w:rPr>
        <w:t>File S3</w:t>
      </w:r>
      <w:r w:rsidRPr="00945295">
        <w:rPr>
          <w:rFonts w:ascii="Arial" w:hAnsi="Arial" w:cs="Arial"/>
          <w:color w:val="000000"/>
        </w:rPr>
        <w:t xml:space="preserve">). </w:t>
      </w:r>
    </w:p>
    <w:p w:rsidR="006F149B" w:rsidRPr="006F149B" w:rsidRDefault="006F149B" w:rsidP="000C3F12">
      <w:pPr>
        <w:spacing w:line="480" w:lineRule="auto"/>
        <w:jc w:val="both"/>
        <w:rPr>
          <w:rFonts w:ascii="Arial" w:hAnsi="Arial" w:cs="Arial"/>
          <w:i/>
          <w:sz w:val="24"/>
          <w:szCs w:val="24"/>
          <w:u w:val="single"/>
        </w:rPr>
      </w:pPr>
      <w:r w:rsidRPr="000C3F12">
        <w:rPr>
          <w:rFonts w:ascii="Arial" w:hAnsi="Arial" w:cs="Arial"/>
          <w:i/>
          <w:sz w:val="24"/>
          <w:szCs w:val="24"/>
          <w:u w:val="single"/>
        </w:rPr>
        <w:t>Gloeocapsopsis dulcis</w:t>
      </w:r>
      <w:r w:rsidRPr="000C3F12">
        <w:rPr>
          <w:rFonts w:ascii="Arial" w:hAnsi="Arial" w:cs="Arial"/>
          <w:sz w:val="24"/>
          <w:szCs w:val="24"/>
          <w:u w:val="single"/>
        </w:rPr>
        <w:t xml:space="preserve"> </w:t>
      </w:r>
      <w:r>
        <w:rPr>
          <w:rFonts w:ascii="Arial" w:hAnsi="Arial" w:cs="Arial"/>
          <w:i/>
          <w:sz w:val="24"/>
          <w:szCs w:val="24"/>
          <w:u w:val="single"/>
        </w:rPr>
        <w:t>stress-related genes</w:t>
      </w:r>
    </w:p>
    <w:p w:rsidR="00811FAD" w:rsidRPr="00945295" w:rsidRDefault="00811FAD" w:rsidP="00811FAD">
      <w:pPr>
        <w:spacing w:line="480" w:lineRule="auto"/>
        <w:jc w:val="both"/>
        <w:rPr>
          <w:rFonts w:ascii="Arial" w:hAnsi="Arial" w:cs="Arial"/>
        </w:rPr>
      </w:pPr>
      <w:r>
        <w:rPr>
          <w:rFonts w:ascii="Arial" w:hAnsi="Arial" w:cs="Arial"/>
        </w:rPr>
        <w:t>Cyanobacteria</w:t>
      </w:r>
      <w:r w:rsidRPr="00945295">
        <w:rPr>
          <w:rFonts w:ascii="Arial" w:hAnsi="Arial" w:cs="Arial"/>
        </w:rPr>
        <w:t xml:space="preserve"> express </w:t>
      </w:r>
      <w:r>
        <w:rPr>
          <w:rFonts w:ascii="Arial" w:hAnsi="Arial" w:cs="Arial"/>
        </w:rPr>
        <w:t xml:space="preserve">a number of </w:t>
      </w:r>
      <w:r w:rsidRPr="00945295">
        <w:rPr>
          <w:rFonts w:ascii="Arial" w:hAnsi="Arial" w:cs="Arial"/>
        </w:rPr>
        <w:t>enzymes</w:t>
      </w:r>
      <w:r>
        <w:rPr>
          <w:rFonts w:ascii="Arial" w:hAnsi="Arial" w:cs="Arial"/>
        </w:rPr>
        <w:t xml:space="preserve"> </w:t>
      </w:r>
      <w:r w:rsidRPr="00945295">
        <w:rPr>
          <w:rFonts w:ascii="Arial" w:hAnsi="Arial" w:cs="Arial"/>
        </w:rPr>
        <w:t>to cope with desiccation stress</w:t>
      </w:r>
      <w:r>
        <w:rPr>
          <w:rFonts w:ascii="Arial" w:hAnsi="Arial" w:cs="Arial"/>
        </w:rPr>
        <w:t xml:space="preserve"> i</w:t>
      </w:r>
      <w:r w:rsidRPr="00945295">
        <w:rPr>
          <w:rFonts w:ascii="Arial" w:hAnsi="Arial" w:cs="Arial"/>
        </w:rPr>
        <w:t xml:space="preserve">n addition to producing compatible solutes. For example, we identified two </w:t>
      </w:r>
      <w:r>
        <w:rPr>
          <w:rFonts w:ascii="Arial" w:hAnsi="Arial" w:cs="Arial"/>
        </w:rPr>
        <w:t xml:space="preserve">possible </w:t>
      </w:r>
      <w:r w:rsidRPr="00945295">
        <w:rPr>
          <w:rFonts w:ascii="Arial" w:hAnsi="Arial" w:cs="Arial"/>
        </w:rPr>
        <w:t xml:space="preserve">genes for manganese catalases at different locations in the genome (EC 1.11.1.6) </w:t>
      </w:r>
      <w:r>
        <w:rPr>
          <w:rFonts w:ascii="Arial" w:hAnsi="Arial" w:cs="Arial"/>
        </w:rPr>
        <w:t>(</w:t>
      </w:r>
      <w:r w:rsidRPr="00C31D36">
        <w:rPr>
          <w:rFonts w:ascii="Arial" w:hAnsi="Arial" w:cs="Arial"/>
          <w:b/>
        </w:rPr>
        <w:t>File 1</w:t>
      </w:r>
      <w:r w:rsidRPr="00945295">
        <w:rPr>
          <w:rFonts w:ascii="Arial" w:hAnsi="Arial" w:cs="Arial"/>
        </w:rPr>
        <w:t>). Catalases are antioxidant enzymes that prevent oxidative cell damage by converting H</w:t>
      </w:r>
      <w:r w:rsidRPr="00945295">
        <w:rPr>
          <w:rFonts w:ascii="Arial" w:hAnsi="Arial" w:cs="Arial"/>
          <w:vertAlign w:val="subscript"/>
        </w:rPr>
        <w:t>2</w:t>
      </w:r>
      <w:r w:rsidRPr="00945295">
        <w:rPr>
          <w:rFonts w:ascii="Arial" w:hAnsi="Arial" w:cs="Arial"/>
        </w:rPr>
        <w:t>O</w:t>
      </w:r>
      <w:r w:rsidRPr="00945295">
        <w:rPr>
          <w:rFonts w:ascii="Arial" w:hAnsi="Arial" w:cs="Arial"/>
          <w:vertAlign w:val="subscript"/>
        </w:rPr>
        <w:t>2</w:t>
      </w:r>
      <w:r w:rsidRPr="00945295">
        <w:rPr>
          <w:rFonts w:ascii="Arial" w:hAnsi="Arial" w:cs="Arial"/>
        </w:rPr>
        <w:t xml:space="preserve"> to water and oxygen. Reactive oxygen species, like H</w:t>
      </w:r>
      <w:r w:rsidRPr="00945295">
        <w:rPr>
          <w:rFonts w:ascii="Arial" w:hAnsi="Arial" w:cs="Arial"/>
          <w:vertAlign w:val="subscript"/>
        </w:rPr>
        <w:t>2</w:t>
      </w:r>
      <w:r w:rsidRPr="00945295">
        <w:rPr>
          <w:rFonts w:ascii="Arial" w:hAnsi="Arial" w:cs="Arial"/>
        </w:rPr>
        <w:t>O</w:t>
      </w:r>
      <w:r w:rsidRPr="00945295">
        <w:rPr>
          <w:rFonts w:ascii="Arial" w:hAnsi="Arial" w:cs="Arial"/>
          <w:vertAlign w:val="subscript"/>
        </w:rPr>
        <w:t>2</w:t>
      </w:r>
      <w:r w:rsidRPr="00945295">
        <w:rPr>
          <w:rFonts w:ascii="Arial" w:hAnsi="Arial" w:cs="Arial"/>
        </w:rPr>
        <w:t xml:space="preserve">, accumulate in desiccating bacterial cells </w:t>
      </w:r>
      <w:r w:rsidRPr="00945295">
        <w:rPr>
          <w:rFonts w:ascii="Arial" w:hAnsi="Arial" w:cs="Arial"/>
        </w:rPr>
        <w:fldChar w:fldCharType="begin"/>
      </w:r>
      <w:r>
        <w:rPr>
          <w:rFonts w:ascii="Arial" w:hAnsi="Arial" w:cs="Arial"/>
        </w:rPr>
        <w:instrText xml:space="preserve"> ADDIN ZOTERO_ITEM CSL_CITATION {"citationID":"XcTjAaFa","properties":{"formattedCitation":"\\super 3\\nosupersub{}","plainCitation":"3","noteIndex":0},"citationItems":[{"id":1,"uris":["http://zotero.org/users/local/Zw8OgLig/items/BKX4PBSR","http://zotero.org/users/11072674/items/BKX4PBSR"],"itemData":{"id":1,"type":"article-journal","abstract":"Xerotolerant microorganisms are extremophiles that can survive in environments with extremely limited water availability. Despite their importance to these ecosystems, xerotolerant bacteria have been largely overlooked.A high diversity of xerotolerant bacteria can be found in many different extreme environments, including hot and cold environments, such as the Atacama and Antarctic deserts. In these biomes, xerotolerant microorganisms survive in sheltered geological niches that allow for biological activity.Dormancy and sporulation are common behavioural responses to desiccation that enable xerotolerant microorganisms to react to sporadic cycles of rainfall and drought by remaining in an inert metabolic state.Xerotolerant bacteria use several physiological mechanisms to prevent cell disruption and water loss, including phospholipid modifications to maintain membrane fluidity, the secretion of water-retaining extracellular polymeric substances (EPS), and the accumulation of compatible solutes that preserve the osmotic potential across the membrane.For xerotolerant microorganisms, DNA and protein stability are crucial to ensure that cellular activity is resumed under favourable conditions. Consequently, most molecular adaptations to xeric stress involve the upregulation of proteins that are stable under low water activity and that preserve the integrity of DNA through physical protection and repair.Although xerotolerant bacteria are unique in their capacity to survive in environments in which water is scarce, many of the adaptive mechanisms that they use are also triggered by other abiotic stresses that are present in these environments. Therefore, these mechanisms are part of broader adaptive response that enables the survival of microorganisms in extreme biomes.","container-title":"Nature Reviews Microbiology","DOI":"10.1038/nrmicro.2017.16","ISSN":"1740-1534","issue":"5","journalAbbreviation":"Nat Rev Microbiol","language":"en","license":"2017 Nature Publishing Group, a division of Macmillan Publishers Limited. All Rights Reserved.","note":"number: 5\npublisher: Nature Publishing Group","page":"285-296","source":"www.nature.com","title":"Xerotolerant bacteria: surviving through a dry spell","title-short":"Xerotolerant bacteria","volume":"15","author":[{"family":"Lebre","given":"Pedro H."},{"family":"De Maayer","given":"Pieter"},{"family":"Cowan","given":"Don A."}],"issued":{"date-parts":[["2017",5]]}}}],"schema":"https://github.com/citation-style-language/schema/raw/master/csl-citation.json"}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3</w:t>
      </w:r>
      <w:r w:rsidRPr="00945295">
        <w:rPr>
          <w:rFonts w:ascii="Arial" w:hAnsi="Arial" w:cs="Arial"/>
        </w:rPr>
        <w:fldChar w:fldCharType="end"/>
      </w:r>
      <w:r w:rsidRPr="00945295">
        <w:rPr>
          <w:rFonts w:ascii="Arial" w:hAnsi="Arial" w:cs="Arial"/>
        </w:rPr>
        <w:t xml:space="preserve">. In particular, manganese catalases use Mn atoms in their active site </w:t>
      </w:r>
      <w:r w:rsidRPr="00945295">
        <w:rPr>
          <w:rFonts w:ascii="Arial" w:hAnsi="Arial" w:cs="Arial"/>
        </w:rPr>
        <w:fldChar w:fldCharType="begin"/>
      </w:r>
      <w:r>
        <w:rPr>
          <w:rFonts w:ascii="Arial" w:hAnsi="Arial" w:cs="Arial"/>
        </w:rPr>
        <w:instrText xml:space="preserve"> ADDIN ZOTERO_ITEM CSL_CITATION {"citationID":"KmTNyuQz","properties":{"formattedCitation":"\\super 52\\nosupersub{}","plainCitation":"52","noteIndex":0},"citationItems":[{"id":386,"uris":["http://zotero.org/users/11072674/items/9B8XR5ND"],"itemData":{"id":386,"type":"article-journal","abstract":"Catalases, enzymes that decompose H2O2, are broadly categorized as heme catalases or non-heme catalases. The non-heme catalases are also known as Mn-catalases as they have Mn atoms in their active sites. However, unlike the well characterized heme-catalases, the study of Mn-catalases has gained importance only in the last few years. The filamentous, heterocystous, N2-fixing cyanobacterium Anabaena PCC 7120, shows the presence of two Mn-catalases, KatA and KatB, but lacks heme catalases. Of the two Mn-catalases, KatB, which is induced by salt/desiccation, plays a major role in overcoming salinity/oxidative stress. In this mini review, we have summarized the recent advances made in the field of Mn-catalases, particularly KatB, and have interpreted these results in the larger context of stress physiology. These aspects bring to the fore the distinctive biochemical/structural properties of Mn-catalases and furthermore highlight the in vivo importance of these enzymes in adapting to oxidative stresses.","container-title":"Free Radical Biology and Medicine","DOI":"10.1016/j.freeradbiomed.2020.08.013","ISSN":"0891-5849","journalAbbreviation":"Free Radical Biology and Medicine","language":"en","page":"480-487","source":"ScienceDirect","title":"Gazing into the remarkable world of non-heme catalases through the window of the cyanobacterial Mn-catalase ‘KatB’","volume":"160","author":[{"family":"Ballal","given":"Anand"},{"family":"Chakravarty","given":"Dhiman"},{"family":"Bihani","given":"Subhash C."},{"family":"Banerjee","given":"Manisha"}],"issued":{"date-parts":[["2020",11,20]]}}}],"schema":"https://github.com/citation-style-language/schema/raw/master/csl-citation.json"}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52</w:t>
      </w:r>
      <w:r w:rsidRPr="00945295">
        <w:rPr>
          <w:rFonts w:ascii="Arial" w:hAnsi="Arial" w:cs="Arial"/>
        </w:rPr>
        <w:fldChar w:fldCharType="end"/>
      </w:r>
      <w:r w:rsidRPr="00945295">
        <w:rPr>
          <w:rFonts w:ascii="Arial" w:hAnsi="Arial" w:cs="Arial"/>
        </w:rPr>
        <w:t xml:space="preserve">. Manganese catalases (e.g., </w:t>
      </w:r>
      <w:proofErr w:type="spellStart"/>
      <w:r w:rsidRPr="00945295">
        <w:rPr>
          <w:rFonts w:ascii="Arial" w:hAnsi="Arial" w:cs="Arial"/>
        </w:rPr>
        <w:t>KatB</w:t>
      </w:r>
      <w:proofErr w:type="spellEnd"/>
      <w:r w:rsidRPr="00945295">
        <w:rPr>
          <w:rFonts w:ascii="Arial" w:hAnsi="Arial" w:cs="Arial"/>
        </w:rPr>
        <w:t xml:space="preserve">) have been shown to be expressed under desiccation stress </w:t>
      </w:r>
      <w:r>
        <w:rPr>
          <w:rFonts w:ascii="Arial" w:hAnsi="Arial" w:cs="Arial"/>
        </w:rPr>
        <w:t>in</w:t>
      </w:r>
      <w:r w:rsidRPr="00945295">
        <w:rPr>
          <w:rFonts w:ascii="Arial" w:hAnsi="Arial" w:cs="Arial"/>
        </w:rPr>
        <w:t xml:space="preserve"> the cyanobacterium </w:t>
      </w:r>
      <w:r w:rsidRPr="00945295">
        <w:rPr>
          <w:rFonts w:ascii="Arial" w:hAnsi="Arial" w:cs="Arial"/>
          <w:i/>
        </w:rPr>
        <w:t>Anabaena</w:t>
      </w:r>
      <w:r w:rsidRPr="00945295">
        <w:rPr>
          <w:rFonts w:ascii="Arial" w:hAnsi="Arial" w:cs="Arial"/>
        </w:rPr>
        <w:t xml:space="preserve"> </w:t>
      </w:r>
      <w:r w:rsidRPr="00945295">
        <w:rPr>
          <w:rFonts w:ascii="Arial" w:hAnsi="Arial" w:cs="Arial"/>
        </w:rPr>
        <w:fldChar w:fldCharType="begin"/>
      </w:r>
      <w:r>
        <w:rPr>
          <w:rFonts w:ascii="Arial" w:hAnsi="Arial" w:cs="Arial"/>
        </w:rPr>
        <w:instrText xml:space="preserve"> ADDIN ZOTERO_ITEM CSL_CITATION {"citationID":"V8NqcHoq","properties":{"formattedCitation":"\\super 53\\nosupersub{}","plainCitation":"53","noteIndex":0},"citationItems":[{"id":388,"uris":["http://zotero.org/users/11072674/items/B8A6IFG3"],"itemData":{"id":388,"type":"article-journal","abstract":"The N2-fixing cyanobacterium Anabaena sp. PCC7120 showed an inherent capacity for desiccation tolerance. A DNA microarray covering almost the entire genome of Anabaena was used to determine the genome-wide gene expression under desiccation. RNA was extracted from cells at intervals starting from early to late desiccation. The pattern of gene expression in DNA fragments was categorized into seven types, which include four types of up-regulated and three types of down-regulated fragments. Validation of the data was carried out by RT-PCR on selected up-regulated DNA fragments and was consistent with the changes in mRNA levels. Our conclusions regarding desiccation tolerance for Anabaena sp. PCC7120 are as follows: (i) Genes for osmoprotectant metabolisms and the K+ transporting system are up-regulated from early to mid-desiccation; (ii) genes induced by osmotic, salt, and low-temperature stress are up-regulated under desiccation; (iii) genes for heat shock proteins are up-regulated after mid-desiccation; (iv) genes for photosynthesis and the nitrogen-transporting system are down-regulated during early desiccation; and (v) genes for RNA polymerase and ribosomal protein are down-regulated between the early and the middle phase of desiccation. Profiles of gene expression are discussed in relation to desiccation acclimation.","container-title":"Microbial Ecology","DOI":"10.1007/s00248-003-1043-6","ISSN":"1432-184X","issue":"2","journalAbbreviation":"Microb Ecol","language":"en","page":"164-174","source":"Springer Link","title":"Gene Expression in the Cyanobacterium Anabaena sp. PCC7120 under Desiccation","volume":"47","author":[{"family":"Katoh","given":"H."},{"family":"Asthana","given":"R. K."},{"family":"Ohmori","given":"M."}],"issued":{"date-parts":[["2004",2,1]]}}}],"schema":"https://github.com/citation-style-language/schema/raw/master/csl-citation.json"}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53</w:t>
      </w:r>
      <w:r w:rsidRPr="00945295">
        <w:rPr>
          <w:rFonts w:ascii="Arial" w:hAnsi="Arial" w:cs="Arial"/>
        </w:rPr>
        <w:fldChar w:fldCharType="end"/>
      </w:r>
      <w:r w:rsidRPr="00945295">
        <w:rPr>
          <w:rFonts w:ascii="Arial" w:hAnsi="Arial" w:cs="Arial"/>
        </w:rPr>
        <w:t xml:space="preserve">. Further, a mutation to the manganese catalase reduced the viability of </w:t>
      </w:r>
      <w:r w:rsidRPr="00945295">
        <w:rPr>
          <w:rFonts w:ascii="Arial" w:hAnsi="Arial" w:cs="Arial"/>
          <w:i/>
        </w:rPr>
        <w:t>Anabaena</w:t>
      </w:r>
      <w:r w:rsidRPr="00945295">
        <w:rPr>
          <w:rFonts w:ascii="Arial" w:hAnsi="Arial" w:cs="Arial"/>
        </w:rPr>
        <w:t xml:space="preserve"> PCC 7120</w:t>
      </w:r>
      <w:r w:rsidRPr="00945295">
        <w:rPr>
          <w:rFonts w:ascii="Arial" w:hAnsi="Arial" w:cs="Arial"/>
          <w:i/>
        </w:rPr>
        <w:t xml:space="preserve"> </w:t>
      </w:r>
      <w:r w:rsidRPr="00945295">
        <w:rPr>
          <w:rFonts w:ascii="Arial" w:hAnsi="Arial" w:cs="Arial"/>
        </w:rPr>
        <w:t xml:space="preserve">in response to desiccation </w:t>
      </w:r>
      <w:r w:rsidRPr="00945295">
        <w:rPr>
          <w:rFonts w:ascii="Arial" w:hAnsi="Arial" w:cs="Arial"/>
        </w:rPr>
        <w:fldChar w:fldCharType="begin"/>
      </w:r>
      <w:r>
        <w:rPr>
          <w:rFonts w:ascii="Arial" w:hAnsi="Arial" w:cs="Arial"/>
        </w:rPr>
        <w:instrText xml:space="preserve"> ADDIN ZOTERO_ITEM CSL_CITATION {"citationID":"TtOHaEnR","properties":{"formattedCitation":"\\super 54\\nosupersub{}","plainCitation":"54","noteIndex":0},"citationItems":[{"id":390,"uris":["http://zotero.org/users/11072674/items/BCBAJWTG"],"itemData":{"id":390,"type":"article-journal","abstract":"Terrestrial cyanobacteria have various desiccation-tolerant systems, which are controlled by desiccation tolerance-related genes. Anabaena (Nostoc) sp. strain PCC 7120 is a derivative of the terrestrial cyanobacterium Nostoc and is a useful strain for molecular biological analysis. To identify desiccation tolerance-related genes, we selected and disrupted various genes (all0801, all0875, alr3090, alr3800, all4052, all4477, and alr5182) and examined their gene expression patterns and predicted their functions. Analyses of gene disruptants showed that viability of the disruptants only decreased under N2-fixing conditions during desiccation, and the decrease in viability was negatively correlated with the gene expression pattern during desiccation. These data suggest that terrestrial cyanobacteria may acclimate to desiccation stress via N2 fixation by using desiccation inducible genes, which are not only related to nitrogen fixation or nitrogen metabolism but also to other systems such as metabolism, transcription, and protein repair for protection against desiccation damage under nitrogen-fixing conditions. Further, a photosynthetic gene is required for desiccation tolerance. This article is part of a Special Issue entitled: Photosynthesis Research for Sustainability: from Natural to Artificial.","collection-title":"Photosynthesis Research for Sustainability: From Natural to Artificial","container-title":"Biochimica et Biophysica Acta (BBA) - Bioenergetics","DOI":"10.1016/j.bbabio.2012.03.029","ISSN":"0005-2728","issue":"8","journalAbbreviation":"Biochimica et Biophysica Acta (BBA) - Bioenergetics","language":"en","page":"1263-1269","source":"ScienceDirect","title":"Desiccation-inducible genes are related to N2-fixing system under desiccation in a terrestrial cyanobacterium","volume":"1817","author":[{"family":"Katoh","given":"Hiroshi"}],"issued":{"date-parts":[["2012",8,1]]}}}],"schema":"https://github.com/citation-style-language/schema/raw/master/csl-citation.json"}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54</w:t>
      </w:r>
      <w:r w:rsidRPr="00945295">
        <w:rPr>
          <w:rFonts w:ascii="Arial" w:hAnsi="Arial" w:cs="Arial"/>
        </w:rPr>
        <w:fldChar w:fldCharType="end"/>
      </w:r>
      <w:r w:rsidRPr="00945295">
        <w:rPr>
          <w:rFonts w:ascii="Arial" w:hAnsi="Arial" w:cs="Arial"/>
        </w:rPr>
        <w:t xml:space="preserve">. </w:t>
      </w:r>
    </w:p>
    <w:p w:rsidR="00811FAD" w:rsidRPr="00811FAD" w:rsidRDefault="00811FAD" w:rsidP="00811FAD">
      <w:pPr>
        <w:spacing w:after="0" w:line="480" w:lineRule="auto"/>
        <w:jc w:val="both"/>
        <w:rPr>
          <w:rFonts w:ascii="Arial" w:hAnsi="Arial" w:cs="Arial"/>
          <w:b/>
          <w:i/>
          <w:sz w:val="24"/>
          <w:szCs w:val="24"/>
        </w:rPr>
      </w:pPr>
      <w:r>
        <w:rPr>
          <w:rFonts w:ascii="Arial" w:hAnsi="Arial" w:cs="Arial"/>
        </w:rPr>
        <w:t>In the genome, w</w:t>
      </w:r>
      <w:r w:rsidRPr="00945295">
        <w:rPr>
          <w:rFonts w:ascii="Arial" w:hAnsi="Arial" w:cs="Arial"/>
        </w:rPr>
        <w:t xml:space="preserve">e identified </w:t>
      </w:r>
      <w:r w:rsidR="00235AD2">
        <w:rPr>
          <w:rFonts w:ascii="Arial" w:hAnsi="Arial" w:cs="Arial"/>
        </w:rPr>
        <w:t xml:space="preserve">several </w:t>
      </w:r>
      <w:r>
        <w:rPr>
          <w:rFonts w:ascii="Arial" w:hAnsi="Arial" w:cs="Arial"/>
        </w:rPr>
        <w:t xml:space="preserve">potential </w:t>
      </w:r>
      <w:r w:rsidRPr="00945295">
        <w:rPr>
          <w:rFonts w:ascii="Arial" w:hAnsi="Arial" w:cs="Arial"/>
        </w:rPr>
        <w:t xml:space="preserve">genes for heat shock and stress-related proteins like </w:t>
      </w:r>
      <w:proofErr w:type="spellStart"/>
      <w:r w:rsidRPr="00945295">
        <w:rPr>
          <w:rFonts w:ascii="Arial" w:hAnsi="Arial" w:cs="Arial"/>
        </w:rPr>
        <w:t>GroEL</w:t>
      </w:r>
      <w:proofErr w:type="spellEnd"/>
      <w:r w:rsidRPr="00945295">
        <w:rPr>
          <w:rFonts w:ascii="Arial" w:hAnsi="Arial" w:cs="Arial"/>
        </w:rPr>
        <w:t xml:space="preserve"> (i.e., gene 2146 and 3605), </w:t>
      </w:r>
      <w:proofErr w:type="spellStart"/>
      <w:r w:rsidRPr="00945295">
        <w:rPr>
          <w:rFonts w:ascii="Arial" w:hAnsi="Arial" w:cs="Arial"/>
        </w:rPr>
        <w:t>GroES</w:t>
      </w:r>
      <w:proofErr w:type="spellEnd"/>
      <w:r w:rsidRPr="00945295">
        <w:rPr>
          <w:rFonts w:ascii="Arial" w:hAnsi="Arial" w:cs="Arial"/>
        </w:rPr>
        <w:t xml:space="preserve"> (i.e., gene 3604), </w:t>
      </w:r>
      <w:proofErr w:type="spellStart"/>
      <w:r w:rsidRPr="00945295">
        <w:rPr>
          <w:rFonts w:ascii="Arial" w:hAnsi="Arial" w:cs="Arial"/>
        </w:rPr>
        <w:t>DnaK</w:t>
      </w:r>
      <w:proofErr w:type="spellEnd"/>
      <w:r w:rsidRPr="00945295">
        <w:rPr>
          <w:rFonts w:ascii="Arial" w:hAnsi="Arial" w:cs="Arial"/>
        </w:rPr>
        <w:t xml:space="preserve"> (i.e., gene 2258, 4326, and 4843), </w:t>
      </w:r>
      <w:proofErr w:type="spellStart"/>
      <w:r w:rsidRPr="00945295">
        <w:rPr>
          <w:rFonts w:ascii="Arial" w:hAnsi="Arial" w:cs="Arial"/>
        </w:rPr>
        <w:t>DnaJ</w:t>
      </w:r>
      <w:proofErr w:type="spellEnd"/>
      <w:r w:rsidRPr="00945295">
        <w:rPr>
          <w:rFonts w:ascii="Arial" w:hAnsi="Arial" w:cs="Arial"/>
        </w:rPr>
        <w:t xml:space="preserve"> (i.e., gene 408), and </w:t>
      </w:r>
      <w:proofErr w:type="spellStart"/>
      <w:r w:rsidRPr="00945295">
        <w:rPr>
          <w:rFonts w:ascii="Arial" w:hAnsi="Arial" w:cs="Arial"/>
        </w:rPr>
        <w:t>GrpE</w:t>
      </w:r>
      <w:proofErr w:type="spellEnd"/>
      <w:r w:rsidRPr="00945295">
        <w:rPr>
          <w:rFonts w:ascii="Arial" w:hAnsi="Arial" w:cs="Arial"/>
        </w:rPr>
        <w:t xml:space="preserve"> (i.e., gene 2273 and 2274), and universal stress protein Sll1388 (i.e., gene 3249 and 5130). Heat shock proteins often function as chaperones for protein folding and establishment of proper conformation. For example, </w:t>
      </w:r>
      <w:proofErr w:type="spellStart"/>
      <w:r w:rsidRPr="00945295">
        <w:rPr>
          <w:rFonts w:ascii="Arial" w:hAnsi="Arial" w:cs="Arial"/>
        </w:rPr>
        <w:t>GroEL</w:t>
      </w:r>
      <w:proofErr w:type="spellEnd"/>
      <w:r w:rsidRPr="00945295">
        <w:rPr>
          <w:rFonts w:ascii="Arial" w:hAnsi="Arial" w:cs="Arial"/>
        </w:rPr>
        <w:t xml:space="preserve"> forms a ~900 </w:t>
      </w:r>
      <w:proofErr w:type="spellStart"/>
      <w:r w:rsidRPr="00945295">
        <w:rPr>
          <w:rFonts w:ascii="Arial" w:hAnsi="Arial" w:cs="Arial"/>
        </w:rPr>
        <w:t>kDa</w:t>
      </w:r>
      <w:proofErr w:type="spellEnd"/>
      <w:r w:rsidRPr="00945295">
        <w:rPr>
          <w:rFonts w:ascii="Arial" w:hAnsi="Arial" w:cs="Arial"/>
        </w:rPr>
        <w:t xml:space="preserve"> cylinder, that when in conjugation with </w:t>
      </w:r>
      <w:proofErr w:type="spellStart"/>
      <w:r w:rsidRPr="00945295">
        <w:rPr>
          <w:rFonts w:ascii="Arial" w:hAnsi="Arial" w:cs="Arial"/>
        </w:rPr>
        <w:t>GroES</w:t>
      </w:r>
      <w:proofErr w:type="spellEnd"/>
      <w:r w:rsidRPr="00945295">
        <w:rPr>
          <w:rFonts w:ascii="Arial" w:hAnsi="Arial" w:cs="Arial"/>
        </w:rPr>
        <w:t xml:space="preserve"> (i.e., a dome-like “lid” protein), creates a folding chamber for proteins </w:t>
      </w:r>
      <w:r w:rsidRPr="00945295">
        <w:rPr>
          <w:rFonts w:ascii="Arial" w:hAnsi="Arial" w:cs="Arial"/>
        </w:rPr>
        <w:fldChar w:fldCharType="begin"/>
      </w:r>
      <w:r>
        <w:rPr>
          <w:rFonts w:ascii="Arial" w:hAnsi="Arial" w:cs="Arial"/>
        </w:rPr>
        <w:instrText xml:space="preserve"> ADDIN ZOTERO_ITEM CSL_CITATION {"citationID":"IeZhSA8A","properties":{"formattedCitation":"\\super 55\\nosupersub{}","plainCitation":"55","noteIndex":0},"citationItems":[{"id":393,"uris":["http://zotero.org/users/11072674/items/AKVBS5F9"],"itemData":{"id":393,"type":"article-journal","abstract":"GroELs which are prokaryotic members of the chaperonin (Cpn)/Hsp60 family are molecular chaperones of which Escherichia coli GroEL is a model for subsequent research. The majority of bacterial species including E. coli and Bacillus subtilis have only one essential groEL gene that forms an operon with the co-chaperone groES gene. In contrast to these model bacteria, two or three groEL genes exist in cyanobacterial genomes. One of them, groEL2, does not form an operon with the groES gene, whereas the other(s) does. In the case of cyanobacteria containing two GroEL homologs, one of the GroELs, GroEL1, substitutes for the native GroEL in an E. coli cell, but GroEL2 does not. Unlike the E. coli GroEL, GroEL2 is not essential, but it plays an important role which is not substitutable by GroEL1 under stress. Regulation of expression and biochemical properties of GroEL2 are different/diversified from GroEL1 and E. coli GroEL in many aspects. We postulate that the groEL2 gene has acquired a novel, beneficial function especially under stresses and become preserved by natural selection, with the groEL1 gene retaining the original, house-keeping function. In this review, we will focus on difference between the two GroELs in cyanobacteria, and divergence of GroEL2 from the E. coli GroEL. We will also compare cyanobacterial GroELs with the chloroplast Cpns (60α and 60β) which are thought to be evolved from the cyanobacterial GroEL1. Chloroplast Cpns appear to follow the different path from cyanobacterial GroELs in the evolution after gene duplication of the corresponding ancestral groEL gene.","container-title":"Physiologia Plantarum","DOI":"10.1111/ppl.12595","ISSN":"1399-3054","issue":"3","language":"en","note":"_eprint: https://onlinelibrary.wiley.com/doi/pdf/10.1111/ppl.12595","page":"296-310","source":"Wiley Online Library","title":"Non-housekeeping, non-essential GroEL (chaperonin) has acquired novel structure and function beneficial under stress in cyanobacteria","volume":"161","author":[{"family":"Nakamoto","given":"Hitoshi"},{"family":"Kojima","given":"Kouji"}],"issued":{"date-parts":[["2017"]]}}}],"schema":"https://github.com/citation-style-language/schema/raw/master/csl-citation.json"}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55</w:t>
      </w:r>
      <w:r w:rsidRPr="00945295">
        <w:rPr>
          <w:rFonts w:ascii="Arial" w:hAnsi="Arial" w:cs="Arial"/>
        </w:rPr>
        <w:fldChar w:fldCharType="end"/>
      </w:r>
      <w:r w:rsidRPr="00945295">
        <w:rPr>
          <w:rFonts w:ascii="Arial" w:hAnsi="Arial" w:cs="Arial"/>
        </w:rPr>
        <w:t xml:space="preserve">. </w:t>
      </w:r>
      <w:proofErr w:type="spellStart"/>
      <w:r w:rsidRPr="00945295">
        <w:rPr>
          <w:rFonts w:ascii="Arial" w:hAnsi="Arial" w:cs="Arial"/>
        </w:rPr>
        <w:t>DnaK</w:t>
      </w:r>
      <w:proofErr w:type="spellEnd"/>
      <w:r w:rsidRPr="00945295">
        <w:rPr>
          <w:rFonts w:ascii="Arial" w:hAnsi="Arial" w:cs="Arial"/>
        </w:rPr>
        <w:t xml:space="preserve"> is a ~70 </w:t>
      </w:r>
      <w:proofErr w:type="spellStart"/>
      <w:r w:rsidRPr="00945295">
        <w:rPr>
          <w:rFonts w:ascii="Arial" w:hAnsi="Arial" w:cs="Arial"/>
        </w:rPr>
        <w:t>kDa</w:t>
      </w:r>
      <w:proofErr w:type="spellEnd"/>
      <w:r w:rsidRPr="00945295">
        <w:rPr>
          <w:rFonts w:ascii="Arial" w:hAnsi="Arial" w:cs="Arial"/>
        </w:rPr>
        <w:t xml:space="preserve"> protein that also mediates protein folding in conjunction with other </w:t>
      </w:r>
      <w:r w:rsidRPr="00945295">
        <w:rPr>
          <w:rFonts w:ascii="Arial" w:hAnsi="Arial" w:cs="Arial"/>
        </w:rPr>
        <w:lastRenderedPageBreak/>
        <w:t xml:space="preserve">proteins, namely, </w:t>
      </w:r>
      <w:proofErr w:type="spellStart"/>
      <w:r w:rsidRPr="00945295">
        <w:rPr>
          <w:rFonts w:ascii="Arial" w:hAnsi="Arial" w:cs="Arial"/>
        </w:rPr>
        <w:t>DnaJ</w:t>
      </w:r>
      <w:proofErr w:type="spellEnd"/>
      <w:r w:rsidRPr="00945295">
        <w:rPr>
          <w:rFonts w:ascii="Arial" w:hAnsi="Arial" w:cs="Arial"/>
        </w:rPr>
        <w:t xml:space="preserve"> and </w:t>
      </w:r>
      <w:proofErr w:type="spellStart"/>
      <w:r w:rsidRPr="00945295">
        <w:rPr>
          <w:rFonts w:ascii="Arial" w:hAnsi="Arial" w:cs="Arial"/>
        </w:rPr>
        <w:t>GrpE</w:t>
      </w:r>
      <w:proofErr w:type="spellEnd"/>
      <w:r w:rsidRPr="00945295">
        <w:rPr>
          <w:rFonts w:ascii="Arial" w:hAnsi="Arial" w:cs="Arial"/>
        </w:rPr>
        <w:t xml:space="preserve"> </w:t>
      </w:r>
      <w:r w:rsidRPr="00945295">
        <w:rPr>
          <w:rFonts w:ascii="Arial" w:hAnsi="Arial" w:cs="Arial"/>
        </w:rPr>
        <w:fldChar w:fldCharType="begin"/>
      </w:r>
      <w:r>
        <w:rPr>
          <w:rFonts w:ascii="Arial" w:hAnsi="Arial" w:cs="Arial"/>
        </w:rPr>
        <w:instrText xml:space="preserve"> ADDIN ZOTERO_ITEM CSL_CITATION {"citationID":"lSf1MroX","properties":{"formattedCitation":"\\super 56\\nosupersub{}","plainCitation":"56","noteIndex":0},"citationItems":[{"id":401,"uris":["http://zotero.org/users/11072674/items/KUKKF8QI"],"itemData":{"id":401,"type":"article-journal","abstract":"The ATP-dependent Hsp70 chaperones (DnaK in E. coli) mediate protein folding in cooperation with J proteins and nucleotide exchange factors (E. coli DnaJ and GrpE, respectively). The Hsp70 system prevents protein aggregation and increases folding yields. Whether it also enhances the rate of folding remains unclear. Here we show that DnaK/DnaJ/GrpE accelerate the folding of the multi-domain protein firefly luciferase (FLuc) ~20-fold over the rate of spontaneous folding measured in the absence of aggregation. Analysis by single-pair FRET and hydrogen/deuterium exchange identified inter-domain misfolding as the cause of slow folding. DnaK binding expands the misfolded region and thereby resolves the kinetically-trapped intermediates, with folding occurring upon GrpE-mediated release. In each round of release DnaK commits a fraction of FLuc to fast folding, circumventing misfolding. We suggest that by resolving misfolding and accelerating productive folding, the bacterial Hsp70 system can maintain proteins in their native states under otherwise denaturing stress conditions.","container-title":"Nature Communications","DOI":"10.1038/s41467-019-14245-4","ISSN":"2041-1723","issue":"1","journalAbbreviation":"Nat Commun","language":"en","license":"2020 The Author(s)","note":"number: 1\npublisher: Nature Publishing Group","page":"365","source":"www.nature.com","title":"Bacterial Hsp70 resolves misfolded states and accelerates productive folding of a multi-domain protein","volume":"11","author":[{"family":"Imamoglu","given":"Rahmi"},{"family":"Balchin","given":"David"},{"family":"Hayer-Hartl","given":"Manajit"},{"family":"Hartl","given":"F. Ulrich"}],"issued":{"date-parts":[["2020",1,17]]}}}],"schema":"https://github.com/citation-style-language/schema/raw/master/csl-citation.json"}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56</w:t>
      </w:r>
      <w:r w:rsidRPr="00945295">
        <w:rPr>
          <w:rFonts w:ascii="Arial" w:hAnsi="Arial" w:cs="Arial"/>
        </w:rPr>
        <w:fldChar w:fldCharType="end"/>
      </w:r>
      <w:r w:rsidRPr="00945295">
        <w:rPr>
          <w:rFonts w:ascii="Arial" w:hAnsi="Arial" w:cs="Arial"/>
        </w:rPr>
        <w:t>. Sll1388 is a universal stress protein that is thought to protect the cell from stress as it is expressed in response to toxic concentrations of H</w:t>
      </w:r>
      <w:r w:rsidRPr="00945295">
        <w:rPr>
          <w:rFonts w:ascii="Arial" w:hAnsi="Arial" w:cs="Arial"/>
          <w:vertAlign w:val="subscript"/>
        </w:rPr>
        <w:t>2</w:t>
      </w:r>
      <w:r w:rsidRPr="00945295">
        <w:rPr>
          <w:rFonts w:ascii="Arial" w:hAnsi="Arial" w:cs="Arial"/>
        </w:rPr>
        <w:t>O</w:t>
      </w:r>
      <w:r w:rsidRPr="00945295">
        <w:rPr>
          <w:rFonts w:ascii="Arial" w:hAnsi="Arial" w:cs="Arial"/>
          <w:vertAlign w:val="subscript"/>
        </w:rPr>
        <w:t>2</w:t>
      </w:r>
      <w:r w:rsidRPr="00945295">
        <w:rPr>
          <w:rFonts w:ascii="Arial" w:hAnsi="Arial" w:cs="Arial"/>
        </w:rPr>
        <w:t xml:space="preserve"> in the cyanobacterium </w:t>
      </w:r>
      <w:proofErr w:type="spellStart"/>
      <w:r w:rsidRPr="00945295">
        <w:rPr>
          <w:rFonts w:ascii="Arial" w:hAnsi="Arial" w:cs="Arial"/>
          <w:i/>
        </w:rPr>
        <w:t>Synechocystis</w:t>
      </w:r>
      <w:proofErr w:type="spellEnd"/>
      <w:r w:rsidRPr="00945295">
        <w:rPr>
          <w:rFonts w:ascii="Arial" w:hAnsi="Arial" w:cs="Arial"/>
        </w:rPr>
        <w:t xml:space="preserve"> sp. PCC 6803, however its exact mechanism is unknown </w:t>
      </w:r>
      <w:r w:rsidRPr="00945295">
        <w:rPr>
          <w:rFonts w:ascii="Arial" w:hAnsi="Arial" w:cs="Arial"/>
        </w:rPr>
        <w:fldChar w:fldCharType="begin"/>
      </w:r>
      <w:r>
        <w:rPr>
          <w:rFonts w:ascii="Arial" w:hAnsi="Arial" w:cs="Arial"/>
        </w:rPr>
        <w:instrText xml:space="preserve"> ADDIN ZOTERO_ITEM CSL_CITATION {"citationID":"4lIJK4hR","properties":{"formattedCitation":"\\super 57\\nosupersub{}","plainCitation":"57","noteIndex":0},"citationItems":[{"id":403,"uris":["http://zotero.org/users/11072674/items/5MJSZ8KS"],"itemData":{"id":403,"type":"article-journal","abstract":"The cyanobacterium Synechocystis sp. PCC 6803 is well reported as a potential species for producing valuable bioactive compounds as well as model microorganism for investigating photosynthesis. However, there are a great number of proteins in the genome of this microorganism with unclear functions. To this end, the present study employed numerous bioinformatics techniques in conjunction with experimental validation to describe the function of four hypothetical proteins in cyanobacterium Synechocystis sp. PCC 6803. Four potential proteins, namely sll1388, sll1512 (cytosolic), sll1164, and slr0964 (membrane), were selected for functional annotation. The sll1388 and sll1512 proteins containing adenosine triphosphate (ATP) and deoxyribonucleic acid (DNA) are expected to be induced by toxic concentrations of NaCl and hydrogen peroxide (H2O2). Sll1164 and slr0964 are predicted as membrane proteins involved in cysteine (Cys) and ferrous (Fe2+) transport. The Adaptive Poisson-Boltzmann Solver (APBS) findings suggested negative and positive charges for ligand-binding sites and negative and uncharged residues for predicted pores. Transcript levels of sll1388 and sll1512 increased at high concentrations of NaCl and H2O2. An increase in the expression level of sll1164 and slr0964 was observed under Sulfur (S) and Fe2+ depletion. Transcript analysis along with experimental gene expression research gave us vital indications concerning the function of the above-mentioned hypothetical proteins. The present study used a combination of in silico approaches in conjugation with experimental methods, which finally increased our understanding of the stress tolerance of Synechocystis sp. PCC 6803 as a potential model microorganism with industrial applications.","container-title":"Biocatalysis and Agricultural Biotechnology","DOI":"10.1016/j.bcab.2021.102246","ISSN":"1878-8181","journalAbbreviation":"Biocatalysis and Agricultural Biotechnology","language":"en","page":"102246","source":"ScienceDirect","title":"Functional annotation and evaluation of hypothetical proteins in cyanobacterium Synechocystis sp. PCC 6803","volume":"39","author":[{"family":"Shahbazi","given":"Mehrdad"},{"family":"Tohidfar","given":"Masoud"},{"family":"Azimzadeh Irani","given":"Maryam"},{"family":"Moheb Seraj","given":"Rahele Ghanbari"}],"issued":{"date-parts":[["2022",1,1]]}}}],"schema":"https://github.com/citation-style-language/schema/raw/master/csl-citation.json"} </w:instrText>
      </w:r>
      <w:r w:rsidRPr="00945295">
        <w:rPr>
          <w:rFonts w:ascii="Arial" w:hAnsi="Arial" w:cs="Arial"/>
        </w:rPr>
        <w:fldChar w:fldCharType="separate"/>
      </w:r>
      <w:r w:rsidRPr="00C034B9">
        <w:rPr>
          <w:rFonts w:ascii="Arial" w:hAnsi="Arial" w:cs="Arial"/>
          <w:szCs w:val="24"/>
          <w:vertAlign w:val="superscript"/>
        </w:rPr>
        <w:t>57</w:t>
      </w:r>
      <w:r w:rsidRPr="00945295">
        <w:rPr>
          <w:rFonts w:ascii="Arial" w:hAnsi="Arial" w:cs="Arial"/>
        </w:rPr>
        <w:fldChar w:fldCharType="end"/>
      </w:r>
      <w:r w:rsidRPr="00945295">
        <w:rPr>
          <w:rFonts w:ascii="Arial" w:hAnsi="Arial" w:cs="Arial"/>
        </w:rPr>
        <w:t xml:space="preserve">. </w:t>
      </w:r>
      <w:r>
        <w:rPr>
          <w:rFonts w:ascii="Arial" w:hAnsi="Arial" w:cs="Arial"/>
        </w:rPr>
        <w:t>S</w:t>
      </w:r>
      <w:r w:rsidRPr="00945295">
        <w:rPr>
          <w:rFonts w:ascii="Arial" w:hAnsi="Arial" w:cs="Arial"/>
        </w:rPr>
        <w:t>imilar to what has been seen in other cyanobacteria</w:t>
      </w:r>
      <w:r>
        <w:rPr>
          <w:rFonts w:ascii="Arial" w:hAnsi="Arial" w:cs="Arial"/>
        </w:rPr>
        <w:t xml:space="preserve"> (e.g., </w:t>
      </w:r>
      <w:r>
        <w:rPr>
          <w:rFonts w:ascii="Arial" w:hAnsi="Arial" w:cs="Arial"/>
        </w:rPr>
        <w:fldChar w:fldCharType="begin"/>
      </w:r>
      <w:r>
        <w:rPr>
          <w:rFonts w:ascii="Arial" w:hAnsi="Arial" w:cs="Arial"/>
        </w:rPr>
        <w:instrText xml:space="preserve"> ADDIN ZOTERO_ITEM CSL_CITATION {"citationID":"3lEoB4jF","properties":{"formattedCitation":"\\super 53\\nosupersub{}","plainCitation":"53","noteIndex":0},"citationItems":[{"id":388,"uris":["http://zotero.org/users/11072674/items/B8A6IFG3"],"itemData":{"id":388,"type":"article-journal","abstract":"The N2-fixing cyanobacterium Anabaena sp. PCC7120 showed an inherent capacity for desiccation tolerance. A DNA microarray covering almost the entire genome of Anabaena was used to determine the genome-wide gene expression under desiccation. RNA was extracted from cells at intervals starting from early to late desiccation. The pattern of gene expression in DNA fragments was categorized into seven types, which include four types of up-regulated and three types of down-regulated fragments. Validation of the data was carried out by RT-PCR on selected up-regulated DNA fragments and was consistent with the changes in mRNA levels. Our conclusions regarding desiccation tolerance for Anabaena sp. PCC7120 are as follows: (i) Genes for osmoprotectant metabolisms and the K+ transporting system are up-regulated from early to mid-desiccation; (ii) genes induced by osmotic, salt, and low-temperature stress are up-regulated under desiccation; (iii) genes for heat shock proteins are up-regulated after mid-desiccation; (iv) genes for photosynthesis and the nitrogen-transporting system are down-regulated during early desiccation; and (v) genes for RNA polymerase and ribosomal protein are down-regulated between the early and the middle phase of desiccation. Profiles of gene expression are discussed in relation to desiccation acclimation.","container-title":"Microbial Ecology","DOI":"10.1007/s00248-003-1043-6","ISSN":"1432-184X","issue":"2","journalAbbreviation":"Microb Ecol","language":"en","page":"164-174","source":"Springer Link","title":"Gene Expression in the Cyanobacterium Anabaena sp. PCC7120 under Desiccation","volume":"47","author":[{"family":"Katoh","given":"H."},{"family":"Asthana","given":"R. K."},{"family":"Ohmori","given":"M."}],"issued":{"date-parts":[["2004",2,1]]}}}],"schema":"https://github.com/citation-style-language/schema/raw/master/csl-citation.json"} </w:instrText>
      </w:r>
      <w:r>
        <w:rPr>
          <w:rFonts w:ascii="Arial" w:hAnsi="Arial" w:cs="Arial"/>
        </w:rPr>
        <w:fldChar w:fldCharType="separate"/>
      </w:r>
      <w:r w:rsidRPr="00C034B9">
        <w:rPr>
          <w:rFonts w:ascii="Arial" w:hAnsi="Arial" w:cs="Arial"/>
          <w:szCs w:val="24"/>
          <w:vertAlign w:val="superscript"/>
        </w:rPr>
        <w:t>53</w:t>
      </w:r>
      <w:r>
        <w:rPr>
          <w:rFonts w:ascii="Arial" w:hAnsi="Arial" w:cs="Arial"/>
        </w:rPr>
        <w:fldChar w:fldCharType="end"/>
      </w:r>
      <w:r>
        <w:rPr>
          <w:rFonts w:ascii="Arial" w:hAnsi="Arial" w:cs="Arial"/>
        </w:rPr>
        <w:t>), w</w:t>
      </w:r>
      <w:r w:rsidRPr="00945295">
        <w:rPr>
          <w:rFonts w:ascii="Arial" w:hAnsi="Arial" w:cs="Arial"/>
        </w:rPr>
        <w:t xml:space="preserve">e </w:t>
      </w:r>
      <w:r>
        <w:rPr>
          <w:rFonts w:ascii="Arial" w:hAnsi="Arial" w:cs="Arial"/>
        </w:rPr>
        <w:t>anticipate</w:t>
      </w:r>
      <w:r w:rsidRPr="00945295">
        <w:rPr>
          <w:rFonts w:ascii="Arial" w:hAnsi="Arial" w:cs="Arial"/>
        </w:rPr>
        <w:t xml:space="preserve"> that these stress-related genes </w:t>
      </w:r>
      <w:r>
        <w:rPr>
          <w:rFonts w:ascii="Arial" w:hAnsi="Arial" w:cs="Arial"/>
        </w:rPr>
        <w:t>and catalases may</w:t>
      </w:r>
      <w:r w:rsidRPr="00945295">
        <w:rPr>
          <w:rFonts w:ascii="Arial" w:hAnsi="Arial" w:cs="Arial"/>
        </w:rPr>
        <w:t xml:space="preserve"> be up-regulated in response to desiccation stress in </w:t>
      </w:r>
      <w:r w:rsidRPr="00945295">
        <w:rPr>
          <w:rFonts w:ascii="Arial" w:hAnsi="Arial" w:cs="Arial"/>
          <w:i/>
        </w:rPr>
        <w:t>G. dulcis</w:t>
      </w:r>
      <w:r>
        <w:rPr>
          <w:rFonts w:ascii="Arial" w:hAnsi="Arial" w:cs="Arial"/>
        </w:rPr>
        <w:t>.</w:t>
      </w:r>
    </w:p>
    <w:p w:rsidR="00C73EB1" w:rsidRPr="00C73EB1" w:rsidRDefault="00C73EB1" w:rsidP="00C73EB1">
      <w:pPr>
        <w:spacing w:before="240" w:after="0" w:line="480" w:lineRule="auto"/>
        <w:jc w:val="both"/>
        <w:rPr>
          <w:rFonts w:ascii="Arial" w:hAnsi="Arial" w:cs="Arial"/>
          <w:i/>
          <w:sz w:val="24"/>
          <w:szCs w:val="24"/>
          <w:u w:val="single"/>
        </w:rPr>
      </w:pPr>
      <w:r w:rsidRPr="00C73EB1">
        <w:rPr>
          <w:rFonts w:ascii="Arial" w:hAnsi="Arial" w:cs="Arial"/>
          <w:i/>
          <w:sz w:val="24"/>
          <w:szCs w:val="24"/>
          <w:u w:val="single"/>
        </w:rPr>
        <w:t xml:space="preserve">Metabolic Model Reconstruction </w:t>
      </w:r>
    </w:p>
    <w:p w:rsidR="00C73EB1" w:rsidRDefault="00C73EB1" w:rsidP="00C73EB1">
      <w:pPr>
        <w:spacing w:before="240" w:line="480" w:lineRule="auto"/>
        <w:jc w:val="both"/>
        <w:rPr>
          <w:rFonts w:ascii="Arial" w:hAnsi="Arial" w:cs="Arial"/>
        </w:rPr>
      </w:pPr>
      <w:r>
        <w:rPr>
          <w:rFonts w:ascii="Arial" w:hAnsi="Arial" w:cs="Arial"/>
        </w:rPr>
        <w:t>We found that s</w:t>
      </w:r>
      <w:r w:rsidRPr="00945295">
        <w:rPr>
          <w:rFonts w:ascii="Arial" w:hAnsi="Arial" w:cs="Arial"/>
        </w:rPr>
        <w:t xml:space="preserve">everal reactions in </w:t>
      </w:r>
      <w:r w:rsidRPr="00945295">
        <w:rPr>
          <w:rFonts w:ascii="Arial" w:hAnsi="Arial" w:cs="Arial"/>
          <w:i/>
        </w:rPr>
        <w:t>iGd8</w:t>
      </w:r>
      <w:r>
        <w:rPr>
          <w:rFonts w:ascii="Arial" w:hAnsi="Arial" w:cs="Arial"/>
          <w:i/>
        </w:rPr>
        <w:t>9</w:t>
      </w:r>
      <w:r w:rsidRPr="00945295">
        <w:rPr>
          <w:rFonts w:ascii="Arial" w:hAnsi="Arial" w:cs="Arial"/>
          <w:i/>
        </w:rPr>
        <w:t>5</w:t>
      </w:r>
      <w:r w:rsidRPr="00945295">
        <w:rPr>
          <w:rFonts w:ascii="Arial" w:hAnsi="Arial" w:cs="Arial"/>
        </w:rPr>
        <w:t xml:space="preserve"> were universally blocked</w:t>
      </w:r>
      <w:r>
        <w:rPr>
          <w:rFonts w:ascii="Arial" w:hAnsi="Arial" w:cs="Arial"/>
        </w:rPr>
        <w:t>,</w:t>
      </w:r>
      <w:r w:rsidRPr="00945295">
        <w:rPr>
          <w:rFonts w:ascii="Arial" w:hAnsi="Arial" w:cs="Arial"/>
        </w:rPr>
        <w:t xml:space="preserve"> meaning that they could not carry a flux under any condition (</w:t>
      </w:r>
      <w:r>
        <w:rPr>
          <w:rFonts w:ascii="Arial" w:hAnsi="Arial" w:cs="Arial"/>
          <w:b/>
        </w:rPr>
        <w:t>Table 2</w:t>
      </w:r>
      <w:r w:rsidRPr="00945295">
        <w:rPr>
          <w:rFonts w:ascii="Arial" w:hAnsi="Arial" w:cs="Arial"/>
        </w:rPr>
        <w:t xml:space="preserve">). However, genes representing their associated enzymes were located in the genome for all but 13 of those reactions </w:t>
      </w:r>
      <w:r>
        <w:rPr>
          <w:rFonts w:ascii="Arial" w:hAnsi="Arial" w:cs="Arial"/>
        </w:rPr>
        <w:t>(</w:t>
      </w:r>
      <w:r w:rsidRPr="00945295">
        <w:rPr>
          <w:rFonts w:ascii="Arial" w:hAnsi="Arial" w:cs="Arial"/>
          <w:b/>
        </w:rPr>
        <w:t xml:space="preserve">File </w:t>
      </w:r>
      <w:r>
        <w:rPr>
          <w:rFonts w:ascii="Arial" w:hAnsi="Arial" w:cs="Arial"/>
          <w:b/>
        </w:rPr>
        <w:t>S2</w:t>
      </w:r>
      <w:r w:rsidRPr="00945295">
        <w:rPr>
          <w:rFonts w:ascii="Arial" w:hAnsi="Arial" w:cs="Arial"/>
        </w:rPr>
        <w:t>). Similarly, we identified several orphan and dead-end metabolites (</w:t>
      </w:r>
      <w:r>
        <w:rPr>
          <w:rFonts w:ascii="Arial" w:hAnsi="Arial" w:cs="Arial"/>
          <w:b/>
        </w:rPr>
        <w:t>Table 2</w:t>
      </w:r>
      <w:r w:rsidRPr="00945295">
        <w:rPr>
          <w:rFonts w:ascii="Arial" w:hAnsi="Arial" w:cs="Arial"/>
        </w:rPr>
        <w:t>),</w:t>
      </w:r>
      <w:r>
        <w:rPr>
          <w:rFonts w:ascii="Arial" w:hAnsi="Arial" w:cs="Arial"/>
        </w:rPr>
        <w:t xml:space="preserve"> which were only consumed but not produced or are only produced by not consumed</w:t>
      </w:r>
      <w:r w:rsidRPr="00C8777C">
        <w:rPr>
          <w:rFonts w:ascii="Arial" w:hAnsi="Arial" w:cs="Arial"/>
        </w:rPr>
        <w:t xml:space="preserve"> </w:t>
      </w:r>
      <w:r>
        <w:rPr>
          <w:rFonts w:ascii="Arial" w:hAnsi="Arial" w:cs="Arial"/>
        </w:rPr>
        <w:t>by reactions in the model, respectively.</w:t>
      </w:r>
      <w:r w:rsidRPr="00945295">
        <w:rPr>
          <w:rFonts w:ascii="Arial" w:hAnsi="Arial" w:cs="Arial"/>
        </w:rPr>
        <w:t xml:space="preserve"> </w:t>
      </w:r>
      <w:r>
        <w:rPr>
          <w:rFonts w:ascii="Arial" w:hAnsi="Arial" w:cs="Arial"/>
        </w:rPr>
        <w:t xml:space="preserve">However, </w:t>
      </w:r>
      <w:r w:rsidRPr="00945295">
        <w:rPr>
          <w:rFonts w:ascii="Arial" w:hAnsi="Arial" w:cs="Arial"/>
        </w:rPr>
        <w:t xml:space="preserve">the corresponding reactions for all </w:t>
      </w:r>
      <w:r>
        <w:rPr>
          <w:rFonts w:ascii="Arial" w:hAnsi="Arial" w:cs="Arial"/>
        </w:rPr>
        <w:t>of the metabolites except</w:t>
      </w:r>
      <w:r w:rsidRPr="00945295">
        <w:rPr>
          <w:rFonts w:ascii="Arial" w:hAnsi="Arial" w:cs="Arial"/>
        </w:rPr>
        <w:t xml:space="preserve"> four of th</w:t>
      </w:r>
      <w:r>
        <w:rPr>
          <w:rFonts w:ascii="Arial" w:hAnsi="Arial" w:cs="Arial"/>
        </w:rPr>
        <w:t xml:space="preserve">e dead-end </w:t>
      </w:r>
      <w:r w:rsidRPr="00945295">
        <w:rPr>
          <w:rFonts w:ascii="Arial" w:hAnsi="Arial" w:cs="Arial"/>
        </w:rPr>
        <w:t>metabolites</w:t>
      </w:r>
      <w:r>
        <w:rPr>
          <w:rFonts w:ascii="Arial" w:hAnsi="Arial" w:cs="Arial"/>
        </w:rPr>
        <w:t xml:space="preserve"> </w:t>
      </w:r>
      <w:r w:rsidRPr="00945295">
        <w:rPr>
          <w:rFonts w:ascii="Arial" w:hAnsi="Arial" w:cs="Arial"/>
        </w:rPr>
        <w:t>had known genes associated with them (</w:t>
      </w:r>
      <w:r w:rsidRPr="00945295">
        <w:rPr>
          <w:rFonts w:ascii="Arial" w:hAnsi="Arial" w:cs="Arial"/>
          <w:b/>
        </w:rPr>
        <w:t xml:space="preserve">File </w:t>
      </w:r>
      <w:r>
        <w:rPr>
          <w:rFonts w:ascii="Arial" w:hAnsi="Arial" w:cs="Arial"/>
          <w:b/>
        </w:rPr>
        <w:t>S2</w:t>
      </w:r>
      <w:r w:rsidRPr="00945295">
        <w:rPr>
          <w:rFonts w:ascii="Arial" w:hAnsi="Arial" w:cs="Arial"/>
        </w:rPr>
        <w:t xml:space="preserve">). The existence of these blocked reactions and orphan or dead-end metabolites in </w:t>
      </w:r>
      <w:r>
        <w:rPr>
          <w:rFonts w:ascii="Arial" w:hAnsi="Arial" w:cs="Arial"/>
          <w:i/>
        </w:rPr>
        <w:t>iGd895</w:t>
      </w:r>
      <w:r w:rsidRPr="00945295">
        <w:rPr>
          <w:rFonts w:ascii="Arial" w:hAnsi="Arial" w:cs="Arial"/>
        </w:rPr>
        <w:t xml:space="preserve"> indicated knowledge gaps, as genomic data suggested their potential utilization, yet the mechanisms to connect them with other reactions and enable flux remains unknown. For this reason, none of these reactions or metabolites were removed from the model, however, they did not contribute to the overall flux state. </w:t>
      </w:r>
    </w:p>
    <w:p w:rsidR="004B4B24" w:rsidRPr="004B4B24" w:rsidRDefault="004B4B24" w:rsidP="00C73EB1">
      <w:pPr>
        <w:spacing w:before="240" w:line="480" w:lineRule="auto"/>
        <w:jc w:val="both"/>
        <w:rPr>
          <w:rFonts w:ascii="Arial" w:hAnsi="Arial" w:cs="Arial"/>
          <w:i/>
          <w:sz w:val="24"/>
          <w:szCs w:val="24"/>
          <w:u w:val="single"/>
        </w:rPr>
      </w:pPr>
      <w:r w:rsidRPr="004B4B24">
        <w:rPr>
          <w:rFonts w:ascii="Arial" w:hAnsi="Arial" w:cs="Arial"/>
          <w:i/>
          <w:sz w:val="24"/>
          <w:szCs w:val="24"/>
          <w:u w:val="single"/>
        </w:rPr>
        <w:t>In silico testing of compatible solute synthesis</w:t>
      </w:r>
    </w:p>
    <w:p w:rsidR="004B4B24" w:rsidRDefault="004B4B24" w:rsidP="00F2036B">
      <w:pPr>
        <w:spacing w:line="480" w:lineRule="auto"/>
        <w:jc w:val="both"/>
        <w:rPr>
          <w:rFonts w:ascii="Arial" w:hAnsi="Arial" w:cs="Arial"/>
        </w:rPr>
      </w:pPr>
      <w:r w:rsidRPr="00844761">
        <w:rPr>
          <w:rFonts w:ascii="Arial" w:hAnsi="Arial" w:cs="Arial"/>
        </w:rPr>
        <w:t xml:space="preserve">The synthesis of sucrose in constrained and unconstrained </w:t>
      </w:r>
      <w:r w:rsidRPr="00844761">
        <w:rPr>
          <w:rFonts w:ascii="Arial" w:hAnsi="Arial" w:cs="Arial"/>
          <w:i/>
        </w:rPr>
        <w:t xml:space="preserve">iGd895 </w:t>
      </w:r>
      <w:r w:rsidRPr="00844761">
        <w:rPr>
          <w:rFonts w:ascii="Arial" w:hAnsi="Arial" w:cs="Arial"/>
        </w:rPr>
        <w:t xml:space="preserve">was catalyzed by sucrose phosphorylase (i.e., rxn00577, EC 2.4.1.7). However, this reaction was </w:t>
      </w:r>
      <w:proofErr w:type="spellStart"/>
      <w:r w:rsidRPr="00844761">
        <w:rPr>
          <w:rFonts w:ascii="Arial" w:hAnsi="Arial" w:cs="Arial"/>
        </w:rPr>
        <w:t>gapfilled</w:t>
      </w:r>
      <w:proofErr w:type="spellEnd"/>
      <w:r w:rsidRPr="00844761">
        <w:rPr>
          <w:rFonts w:ascii="Arial" w:hAnsi="Arial" w:cs="Arial"/>
        </w:rPr>
        <w:t xml:space="preserve"> in the</w:t>
      </w:r>
      <w:r w:rsidRPr="00945295">
        <w:rPr>
          <w:rFonts w:ascii="Arial" w:hAnsi="Arial" w:cs="Arial"/>
        </w:rPr>
        <w:t xml:space="preserve"> model to allow for sucrose production. Although the gene and reaction for sucrose synthase was present (i.e., rxn00579), it was not used for sucrose synthesis and </w:t>
      </w:r>
      <w:r>
        <w:rPr>
          <w:rFonts w:ascii="Arial" w:hAnsi="Arial" w:cs="Arial"/>
        </w:rPr>
        <w:t>was not feasible</w:t>
      </w:r>
      <w:r w:rsidRPr="00945295">
        <w:rPr>
          <w:rFonts w:ascii="Arial" w:hAnsi="Arial" w:cs="Arial"/>
        </w:rPr>
        <w:t xml:space="preserve"> as an objective function. This indicate</w:t>
      </w:r>
      <w:r w:rsidR="00A41676">
        <w:rPr>
          <w:rFonts w:ascii="Arial" w:hAnsi="Arial" w:cs="Arial"/>
        </w:rPr>
        <w:t>d</w:t>
      </w:r>
      <w:r w:rsidRPr="00945295">
        <w:rPr>
          <w:rFonts w:ascii="Arial" w:hAnsi="Arial" w:cs="Arial"/>
        </w:rPr>
        <w:t xml:space="preserve"> a knowledge gap in the sucrose metabolism pathways, and further research is needed to elucidate compatible solute synthesis in </w:t>
      </w:r>
      <w:r w:rsidRPr="00945295">
        <w:rPr>
          <w:rFonts w:ascii="Arial" w:hAnsi="Arial" w:cs="Arial"/>
          <w:i/>
        </w:rPr>
        <w:t>G. dulcis</w:t>
      </w:r>
      <w:r w:rsidRPr="00945295">
        <w:rPr>
          <w:rFonts w:ascii="Arial" w:hAnsi="Arial" w:cs="Arial"/>
        </w:rPr>
        <w:t>.</w:t>
      </w:r>
    </w:p>
    <w:p w:rsidR="00F2036B" w:rsidRPr="00F2036B" w:rsidRDefault="00F2036B" w:rsidP="00F2036B">
      <w:pPr>
        <w:spacing w:after="0" w:line="480" w:lineRule="auto"/>
        <w:jc w:val="both"/>
        <w:rPr>
          <w:rFonts w:ascii="Arial" w:hAnsi="Arial" w:cs="Arial"/>
          <w:sz w:val="24"/>
          <w:szCs w:val="24"/>
          <w:u w:val="single"/>
        </w:rPr>
      </w:pPr>
      <w:r w:rsidRPr="00F2036B">
        <w:rPr>
          <w:rFonts w:ascii="Arial" w:hAnsi="Arial" w:cs="Arial"/>
          <w:i/>
          <w:sz w:val="24"/>
          <w:szCs w:val="24"/>
          <w:u w:val="single"/>
        </w:rPr>
        <w:lastRenderedPageBreak/>
        <w:t>In silico</w:t>
      </w:r>
      <w:r w:rsidRPr="00F2036B">
        <w:rPr>
          <w:rFonts w:ascii="Arial" w:hAnsi="Arial" w:cs="Arial"/>
          <w:sz w:val="24"/>
          <w:szCs w:val="24"/>
          <w:u w:val="single"/>
        </w:rPr>
        <w:t xml:space="preserve"> </w:t>
      </w:r>
      <w:r w:rsidRPr="00F2036B">
        <w:rPr>
          <w:rFonts w:ascii="Arial" w:hAnsi="Arial" w:cs="Arial"/>
          <w:i/>
          <w:sz w:val="24"/>
          <w:szCs w:val="24"/>
          <w:u w:val="single"/>
        </w:rPr>
        <w:t xml:space="preserve">analysis of </w:t>
      </w:r>
      <w:r w:rsidRPr="00F2036B">
        <w:rPr>
          <w:rFonts w:ascii="Arial" w:hAnsi="Arial" w:cs="Arial"/>
          <w:i/>
          <w:iCs/>
          <w:sz w:val="24"/>
          <w:szCs w:val="24"/>
          <w:u w:val="single"/>
        </w:rPr>
        <w:t>knockouts and</w:t>
      </w:r>
      <w:r w:rsidRPr="00F2036B">
        <w:rPr>
          <w:rFonts w:ascii="Arial" w:hAnsi="Arial" w:cs="Arial"/>
          <w:i/>
          <w:sz w:val="24"/>
          <w:szCs w:val="24"/>
          <w:u w:val="single"/>
        </w:rPr>
        <w:t xml:space="preserve"> condition-dependent growth </w:t>
      </w:r>
    </w:p>
    <w:p w:rsidR="00F2036B" w:rsidRPr="00F2036B" w:rsidRDefault="00F2036B" w:rsidP="00F2036B">
      <w:pPr>
        <w:spacing w:line="480" w:lineRule="auto"/>
        <w:jc w:val="both"/>
        <w:rPr>
          <w:rFonts w:ascii="Arial" w:hAnsi="Arial" w:cs="Arial"/>
          <w:b/>
          <w:i/>
          <w:sz w:val="24"/>
          <w:szCs w:val="24"/>
        </w:rPr>
      </w:pPr>
      <w:r w:rsidRPr="00945295">
        <w:rPr>
          <w:rFonts w:ascii="Arial" w:hAnsi="Arial" w:cs="Arial"/>
        </w:rPr>
        <w:t>We found 10 inessential reactions that each somewhat lowered the growth rate when knocked out in the constrained model, but not the un</w:t>
      </w:r>
      <w:r>
        <w:rPr>
          <w:rFonts w:ascii="Arial" w:hAnsi="Arial" w:cs="Arial"/>
        </w:rPr>
        <w:t>constrained</w:t>
      </w:r>
      <w:r w:rsidRPr="00945295">
        <w:rPr>
          <w:rFonts w:ascii="Arial" w:hAnsi="Arial" w:cs="Arial"/>
        </w:rPr>
        <w:t xml:space="preserve"> model (</w:t>
      </w:r>
      <w:r>
        <w:rPr>
          <w:rFonts w:ascii="Arial" w:hAnsi="Arial" w:cs="Arial"/>
          <w:b/>
        </w:rPr>
        <w:t>File S4</w:t>
      </w:r>
      <w:r w:rsidRPr="00945295">
        <w:rPr>
          <w:rFonts w:ascii="Arial" w:hAnsi="Arial" w:cs="Arial"/>
        </w:rPr>
        <w:t>). These included environmental exchange and transfer reactions (i.e., in or out of the cell) for oxygen, ammonia, and xanthine. The other inessential reactions were involved in carbon fixation for photosynthetic organisms (i.e., rxn00102 and rxn00785) or glycolysis/gluconeogenesis pathways (i.e., rxn00459 and rxn001106). These inessential reactions may play a role in supporting growth under specific environmental conditions or in providing alternative pathways for energy production, but were not critical for overall growth in the constrained model. Their identification highlight</w:t>
      </w:r>
      <w:r w:rsidR="00506BBE">
        <w:rPr>
          <w:rFonts w:ascii="Arial" w:hAnsi="Arial" w:cs="Arial"/>
        </w:rPr>
        <w:t>ed</w:t>
      </w:r>
      <w:r w:rsidRPr="00945295">
        <w:rPr>
          <w:rFonts w:ascii="Arial" w:hAnsi="Arial" w:cs="Arial"/>
        </w:rPr>
        <w:t xml:space="preserve"> the complexity of metabolic networks in cyanobacteria and the potential for redundancy in certain pathways.</w:t>
      </w:r>
    </w:p>
    <w:p w:rsidR="00451A3E" w:rsidRPr="000C3F12" w:rsidRDefault="00451A3E" w:rsidP="00451A3E">
      <w:pPr>
        <w:spacing w:after="0" w:line="480" w:lineRule="auto"/>
        <w:jc w:val="both"/>
        <w:rPr>
          <w:rFonts w:ascii="Arial" w:hAnsi="Arial" w:cs="Arial"/>
          <w:i/>
          <w:sz w:val="24"/>
          <w:szCs w:val="24"/>
          <w:u w:val="single"/>
        </w:rPr>
      </w:pPr>
      <w:r w:rsidRPr="000C3F12">
        <w:rPr>
          <w:rFonts w:ascii="Arial" w:hAnsi="Arial" w:cs="Arial"/>
          <w:i/>
          <w:sz w:val="24"/>
          <w:szCs w:val="24"/>
          <w:u w:val="single"/>
        </w:rPr>
        <w:t>Comparison of metabolic states with global modules</w:t>
      </w:r>
    </w:p>
    <w:p w:rsidR="007E54FC" w:rsidRPr="00945295" w:rsidRDefault="007E54FC" w:rsidP="007E54FC">
      <w:pPr>
        <w:spacing w:line="480" w:lineRule="auto"/>
        <w:jc w:val="both"/>
        <w:rPr>
          <w:rFonts w:ascii="Arial" w:hAnsi="Arial" w:cs="Arial"/>
        </w:rPr>
      </w:pPr>
      <w:r w:rsidRPr="000C3F12">
        <w:rPr>
          <w:rFonts w:ascii="Arial" w:hAnsi="Arial" w:cs="Arial"/>
          <w:b/>
        </w:rPr>
        <w:t>Figure S3</w:t>
      </w:r>
      <w:r w:rsidRPr="000C3F12">
        <w:rPr>
          <w:rFonts w:ascii="Arial" w:hAnsi="Arial" w:cs="Arial"/>
        </w:rPr>
        <w:t xml:space="preserve"> illustrates the cumulative variance explained by the principal components (PCs) of the flux spaces in both the unconstrained and constrained</w:t>
      </w:r>
      <w:r w:rsidRPr="00945295">
        <w:rPr>
          <w:rFonts w:ascii="Arial" w:hAnsi="Arial" w:cs="Arial"/>
        </w:rPr>
        <w:t xml:space="preserve"> simulations. The first 42 PCs accounted for 99.9% of the flux space variation in both simulations (</w:t>
      </w:r>
      <w:r>
        <w:rPr>
          <w:rFonts w:ascii="Arial" w:hAnsi="Arial" w:cs="Arial"/>
          <w:b/>
        </w:rPr>
        <w:t>Fig. S3</w:t>
      </w:r>
      <w:r w:rsidRPr="00945295">
        <w:rPr>
          <w:rFonts w:ascii="Arial" w:hAnsi="Arial" w:cs="Arial"/>
        </w:rPr>
        <w:t xml:space="preserve">, </w:t>
      </w:r>
      <w:r>
        <w:rPr>
          <w:rFonts w:ascii="Arial" w:hAnsi="Arial" w:cs="Arial"/>
          <w:b/>
        </w:rPr>
        <w:t>File S6</w:t>
      </w:r>
      <w:r w:rsidRPr="00945295">
        <w:rPr>
          <w:rFonts w:ascii="Arial" w:hAnsi="Arial" w:cs="Arial"/>
        </w:rPr>
        <w:t xml:space="preserve">), with </w:t>
      </w:r>
      <w:r w:rsidR="00E96249">
        <w:rPr>
          <w:rFonts w:ascii="Arial" w:hAnsi="Arial" w:cs="Arial"/>
        </w:rPr>
        <w:t xml:space="preserve">a </w:t>
      </w:r>
      <w:r w:rsidRPr="00945295">
        <w:rPr>
          <w:rFonts w:ascii="Arial" w:hAnsi="Arial" w:cs="Arial"/>
        </w:rPr>
        <w:t xml:space="preserve">relatively even distribution of variance among these PCs. Consequently, the lines representing the variance for both simulations appear indistinguishable in </w:t>
      </w:r>
      <w:r w:rsidRPr="00DC2131">
        <w:rPr>
          <w:rFonts w:ascii="Arial" w:hAnsi="Arial" w:cs="Arial"/>
          <w:b/>
        </w:rPr>
        <w:t>Figure S3</w:t>
      </w:r>
      <w:r w:rsidRPr="00945295">
        <w:rPr>
          <w:rFonts w:ascii="Arial" w:hAnsi="Arial" w:cs="Arial"/>
        </w:rPr>
        <w:t xml:space="preserve">. The highest variance explained by a PC was 5.65% for the unconstrained simulation and 5.42% for the constrained simulation. On average, each of the first 42 PCs explained 2.38±0.23% of the variation for both flux spaces (± standard error of the mean). The remaining PCs, 269 and 260 for the unconstrained and constrained simulations, respectively, accounted for less than 1% of the variation. </w:t>
      </w:r>
    </w:p>
    <w:p w:rsidR="007E54FC" w:rsidRPr="00945295" w:rsidRDefault="007E54FC" w:rsidP="007E54FC">
      <w:pPr>
        <w:spacing w:after="0" w:line="480" w:lineRule="auto"/>
        <w:jc w:val="both"/>
        <w:rPr>
          <w:rFonts w:ascii="Arial" w:hAnsi="Arial" w:cs="Arial"/>
        </w:rPr>
      </w:pPr>
      <w:r w:rsidRPr="00945295">
        <w:rPr>
          <w:rFonts w:ascii="Arial" w:hAnsi="Arial" w:cs="Arial"/>
        </w:rPr>
        <w:t xml:space="preserve">As per </w:t>
      </w:r>
      <w:proofErr w:type="spellStart"/>
      <w:r w:rsidRPr="00945295">
        <w:rPr>
          <w:rFonts w:ascii="Arial" w:hAnsi="Arial" w:cs="Arial"/>
        </w:rPr>
        <w:t>Sarathy</w:t>
      </w:r>
      <w:proofErr w:type="spellEnd"/>
      <w:r w:rsidRPr="00945295">
        <w:rPr>
          <w:rFonts w:ascii="Arial" w:hAnsi="Arial" w:cs="Arial"/>
        </w:rPr>
        <w:t xml:space="preserve"> et al., we condensed the reactions within each PC such that only high-loading reactions explained the variance of each PC</w:t>
      </w:r>
      <w:r>
        <w:rPr>
          <w:rFonts w:ascii="Arial" w:hAnsi="Arial" w:cs="Arial"/>
        </w:rPr>
        <w:t xml:space="preserve"> </w:t>
      </w:r>
      <w:r>
        <w:rPr>
          <w:rFonts w:ascii="Arial" w:hAnsi="Arial" w:cs="Arial"/>
        </w:rPr>
        <w:fldChar w:fldCharType="begin"/>
      </w:r>
      <w:r w:rsidR="000C3F12">
        <w:rPr>
          <w:rFonts w:ascii="Arial" w:hAnsi="Arial" w:cs="Arial"/>
        </w:rPr>
        <w:instrText xml:space="preserve"> ADDIN ZOTERO_ITEM CSL_CITATION {"citationID":"WjsCDDIZ","properties":{"formattedCitation":"\\super 2\\nosupersub{}","plainCitation":"2","noteIndex":0},"citationItems":[{"id":328,"uris":["http://zotero.org/users/11072674/items/HASFBH2H"],"itemData":{"id":328,"type":"article-journal","abstract":"Genome-scale metabolic models (GEMs) are comprehensive knowledge bases of cellular metabolism and serve as mathematical tools for studying biological phenotypes and metabolic states or conditions in various organisms and cell types. Given the sheer size and complexity of human metabolism, selecting parameters for existing analysis methods such as metabolic objective functions and model constraints is not straightforward in human GEMs. In particular, comparing several conditions in large GEMs to identify condition- or disease-specific metabolic features is challenging. In this study, we showcase a scalable, model-driven approach for an in-depth investigation and comparison of metabolic states in large GEMs which enables identifying the underlying functional differences. Using a combination of flux space sampling and network analysis, our approach enables extraction and visualisation of metabolically distinct network modules. Importantly, it does not rely on known or assumed objective functions. We apply this novel approach to extract the biochemical differences in adipocytes arising due to unlimited vs blocked uptake of branched-chain amino acids (BCAAs, considered as biomarkers in obesity) using a human adipocyte GEM (iAdipocytes1809). The biological significance of our approach is corroborated by literature reports confirming our identified metabolic processes (TCA cycle and Fatty acid metabolism) to be functionally related to BCAA metabolism. Additionally, our analysis predicts a specific altered uptake and secretion profile indicating a compensation for the unavailability of BCAAs. Taken together, our approach facilitates determining functional differences between any metabolic conditions of interest by offering a versatile platform for analysing and comparing flux spaces of large metabolic networks.","container-title":"PLOS Computational Biology","DOI":"10.1371/journal.pcbi.1009522","ISSN":"1553-7358","issue":"11","journalAbbreviation":"PLOS Computational Biology","language":"en","note":"publisher: Public Library of Science","page":"e1009522","source":"PLoS Journals","title":"Comparison of metabolic states using genome-scale metabolic models","volume":"17","author":[{"family":"Sarathy","given":"Chaitra"},{"family":"Breuer","given":"Marian"},{"family":"Kutmon","given":"Martina"},{"family":"Adriaens","given":"Michiel E."},{"family":"Evelo","given":"Chris T."},{"family":"Arts","given":"Ilja C. W."}],"issued":{"date-parts":[["2021",11,8]]}}}],"schema":"https://github.com/citation-style-language/schema/raw/master/csl-citation.json"} </w:instrText>
      </w:r>
      <w:r>
        <w:rPr>
          <w:rFonts w:ascii="Arial" w:hAnsi="Arial" w:cs="Arial"/>
        </w:rPr>
        <w:fldChar w:fldCharType="separate"/>
      </w:r>
      <w:r w:rsidR="000C3F12" w:rsidRPr="000C3F12">
        <w:rPr>
          <w:rFonts w:ascii="Arial" w:hAnsi="Arial" w:cs="Arial"/>
          <w:szCs w:val="24"/>
          <w:vertAlign w:val="superscript"/>
        </w:rPr>
        <w:t>2</w:t>
      </w:r>
      <w:r>
        <w:rPr>
          <w:rFonts w:ascii="Arial" w:hAnsi="Arial" w:cs="Arial"/>
        </w:rPr>
        <w:fldChar w:fldCharType="end"/>
      </w:r>
      <w:r w:rsidRPr="00945295">
        <w:rPr>
          <w:rFonts w:ascii="Arial" w:hAnsi="Arial" w:cs="Arial"/>
        </w:rPr>
        <w:t xml:space="preserve">. These high-loading reactions formed a "module," and a group of such modules was referred to as a "global module." From a biochemical standpoint, a global module represented the sets of reactions that substantially contributed to the homeostasis of a specific metabolic state. In our study, basis rotation of the PCs resulted in two </w:t>
      </w:r>
      <w:r w:rsidRPr="00945295">
        <w:rPr>
          <w:rFonts w:ascii="Arial" w:hAnsi="Arial" w:cs="Arial"/>
        </w:rPr>
        <w:lastRenderedPageBreak/>
        <w:t>global modules, one for each metabolic network (i.e., the unconstrained and constrained simulations).</w:t>
      </w:r>
    </w:p>
    <w:p w:rsidR="007E54FC" w:rsidRPr="00945295" w:rsidRDefault="007E54FC" w:rsidP="007E54FC">
      <w:pPr>
        <w:spacing w:before="240" w:line="480" w:lineRule="auto"/>
        <w:jc w:val="both"/>
        <w:rPr>
          <w:rFonts w:ascii="Arial" w:hAnsi="Arial" w:cs="Arial"/>
        </w:rPr>
      </w:pPr>
      <w:r w:rsidRPr="00945295">
        <w:rPr>
          <w:rFonts w:ascii="Arial" w:hAnsi="Arial" w:cs="Arial"/>
        </w:rPr>
        <w:t xml:space="preserve">Each global module for </w:t>
      </w:r>
      <w:r w:rsidRPr="00945295">
        <w:rPr>
          <w:rFonts w:ascii="Arial" w:hAnsi="Arial" w:cs="Arial"/>
          <w:i/>
        </w:rPr>
        <w:t>iGd895</w:t>
      </w:r>
      <w:r w:rsidRPr="00945295">
        <w:rPr>
          <w:rFonts w:ascii="Arial" w:hAnsi="Arial" w:cs="Arial"/>
        </w:rPr>
        <w:t xml:space="preserve"> comprised 41 individual modules, which collectively contained a total of 92 and 91 high-loading reactions for the unconstrained and constrained simulations, respectively. All of the modules contained a unique set of reactions, however, several of the reactions took part in more than one module. To illustrate these connections, we used </w:t>
      </w:r>
      <w:proofErr w:type="spellStart"/>
      <w:r w:rsidRPr="00945295">
        <w:rPr>
          <w:rFonts w:ascii="Arial" w:hAnsi="Arial" w:cs="Arial"/>
        </w:rPr>
        <w:t>ComMet</w:t>
      </w:r>
      <w:proofErr w:type="spellEnd"/>
      <w:r w:rsidRPr="00945295">
        <w:rPr>
          <w:rFonts w:ascii="Arial" w:hAnsi="Arial" w:cs="Arial"/>
        </w:rPr>
        <w:t xml:space="preserve"> to construct a reaction map from the reactions within the modules (</w:t>
      </w:r>
      <w:r>
        <w:rPr>
          <w:rFonts w:ascii="Arial" w:hAnsi="Arial" w:cs="Arial"/>
          <w:b/>
        </w:rPr>
        <w:t>Fig. S4</w:t>
      </w:r>
      <w:r w:rsidRPr="00945295">
        <w:rPr>
          <w:rFonts w:ascii="Arial" w:hAnsi="Arial" w:cs="Arial"/>
        </w:rPr>
        <w:t>). The constrained network had 826 edges and four unconnected reactions, while the unconstrained network had 848 edges and only one unconnected reaction. Aside from the unconnected reactions, both networks had one highly connected subset with at least 818 reactions, and one small subset composed of four reactions (</w:t>
      </w:r>
      <w:r>
        <w:rPr>
          <w:rFonts w:ascii="Arial" w:hAnsi="Arial" w:cs="Arial"/>
          <w:b/>
        </w:rPr>
        <w:t>Fig. S4</w:t>
      </w:r>
      <w:r w:rsidRPr="00945295">
        <w:rPr>
          <w:rFonts w:ascii="Arial" w:hAnsi="Arial" w:cs="Arial"/>
        </w:rPr>
        <w:t xml:space="preserve">). </w:t>
      </w:r>
    </w:p>
    <w:p w:rsidR="007E54FC" w:rsidRPr="00945295" w:rsidRDefault="007E54FC" w:rsidP="007E54FC">
      <w:pPr>
        <w:spacing w:before="240" w:line="480" w:lineRule="auto"/>
        <w:jc w:val="both"/>
        <w:rPr>
          <w:rFonts w:ascii="Arial" w:hAnsi="Arial" w:cs="Arial"/>
        </w:rPr>
      </w:pPr>
      <w:r w:rsidRPr="00945295">
        <w:rPr>
          <w:rFonts w:ascii="Arial" w:hAnsi="Arial" w:cs="Arial"/>
        </w:rPr>
        <w:t>We found that the majority of the reactions were involved in a single module, while a small proportion (11-12%) participated in more than one module. In both networks, only around 10 reactions were present in two to a maximum of four modules (</w:t>
      </w:r>
      <w:r>
        <w:rPr>
          <w:rFonts w:ascii="Arial" w:hAnsi="Arial" w:cs="Arial"/>
          <w:b/>
        </w:rPr>
        <w:t>Fig. S4</w:t>
      </w:r>
      <w:r w:rsidRPr="00945295">
        <w:rPr>
          <w:rFonts w:ascii="Arial" w:hAnsi="Arial" w:cs="Arial"/>
        </w:rPr>
        <w:t>). These multi-module reactions contributed to multiple PCs in the flux space, suggesting that they were responsible for regulating multiple aspects of network behavior. This complexity presented a challenge for disentangling their effects. However, the vast majority of reactions regulated only a single aspect of network behavior.</w:t>
      </w:r>
    </w:p>
    <w:p w:rsidR="00E96249" w:rsidRPr="00AD06AD" w:rsidRDefault="007E54FC" w:rsidP="00E4547D">
      <w:pPr>
        <w:spacing w:line="480" w:lineRule="auto"/>
        <w:rPr>
          <w:rFonts w:ascii="Arial" w:hAnsi="Arial" w:cs="Arial"/>
        </w:rPr>
      </w:pPr>
      <w:r w:rsidRPr="00945295">
        <w:rPr>
          <w:rFonts w:ascii="Arial" w:hAnsi="Arial" w:cs="Arial"/>
        </w:rPr>
        <w:t>Although the number of modules and reactions was similar between the networks, the module structure differed between the simulations. In particular, the unconstrained network had a higher percentage of modules representing a single pathway (61%), while nearly all modules in the constrained network (95%) included multiple pathways (</w:t>
      </w:r>
      <w:r>
        <w:rPr>
          <w:rFonts w:ascii="Arial" w:hAnsi="Arial" w:cs="Arial"/>
          <w:b/>
        </w:rPr>
        <w:t>File S7</w:t>
      </w:r>
      <w:r w:rsidRPr="00945295">
        <w:rPr>
          <w:rFonts w:ascii="Arial" w:hAnsi="Arial" w:cs="Arial"/>
          <w:b/>
        </w:rPr>
        <w:t xml:space="preserve"> and </w:t>
      </w:r>
      <w:r>
        <w:rPr>
          <w:rFonts w:ascii="Arial" w:hAnsi="Arial" w:cs="Arial"/>
          <w:b/>
        </w:rPr>
        <w:t>S8</w:t>
      </w:r>
      <w:r w:rsidRPr="00945295">
        <w:rPr>
          <w:rFonts w:ascii="Arial" w:hAnsi="Arial" w:cs="Arial"/>
        </w:rPr>
        <w:t xml:space="preserve">). This indicated that the metabolic network's regulation in response to water limitation involved a change in its modular organization. The greater overlap of pathways within modules in the constrained network </w:t>
      </w:r>
      <w:r w:rsidRPr="00945295">
        <w:rPr>
          <w:rFonts w:ascii="Arial" w:hAnsi="Arial" w:cs="Arial"/>
        </w:rPr>
        <w:lastRenderedPageBreak/>
        <w:t>suggested a higher</w:t>
      </w:r>
      <w:bookmarkStart w:id="0" w:name="_GoBack"/>
      <w:bookmarkEnd w:id="0"/>
      <w:r w:rsidRPr="00945295">
        <w:rPr>
          <w:rFonts w:ascii="Arial" w:hAnsi="Arial" w:cs="Arial"/>
        </w:rPr>
        <w:t xml:space="preserve"> degree of interdependence between pathways in response to water limitation.</w:t>
      </w:r>
    </w:p>
    <w:p w:rsidR="00E96249" w:rsidRPr="00AD06AD" w:rsidRDefault="00E96249" w:rsidP="00E4547D">
      <w:pPr>
        <w:spacing w:line="480" w:lineRule="auto"/>
        <w:rPr>
          <w:rFonts w:ascii="Arial" w:hAnsi="Arial" w:cs="Arial"/>
          <w:b/>
          <w:sz w:val="24"/>
          <w:szCs w:val="24"/>
          <w:u w:val="single"/>
        </w:rPr>
      </w:pPr>
      <w:r w:rsidRPr="00AD06AD">
        <w:rPr>
          <w:rFonts w:ascii="Arial" w:hAnsi="Arial" w:cs="Arial"/>
          <w:b/>
          <w:sz w:val="24"/>
          <w:szCs w:val="24"/>
          <w:u w:val="single"/>
        </w:rPr>
        <w:t>References</w:t>
      </w:r>
    </w:p>
    <w:p w:rsidR="000C3F12" w:rsidRPr="00AD06AD" w:rsidRDefault="00E96249" w:rsidP="000C3F12">
      <w:pPr>
        <w:pStyle w:val="Bibliography"/>
        <w:rPr>
          <w:rFonts w:ascii="Arial" w:hAnsi="Arial" w:cs="Arial"/>
        </w:rPr>
      </w:pPr>
      <w:r w:rsidRPr="00AD06AD">
        <w:rPr>
          <w:rFonts w:ascii="Arial" w:hAnsi="Arial" w:cs="Arial"/>
        </w:rPr>
        <w:fldChar w:fldCharType="begin"/>
      </w:r>
      <w:r w:rsidR="000C3F12" w:rsidRPr="00AD06AD">
        <w:rPr>
          <w:rFonts w:ascii="Arial" w:hAnsi="Arial" w:cs="Arial"/>
        </w:rPr>
        <w:instrText xml:space="preserve"> ADDIN ZOTERO_BIBL {"uncited":[],"omitted":[],"custom":[]} CSL_BIBLIOGRAPHY </w:instrText>
      </w:r>
      <w:r w:rsidRPr="00AD06AD">
        <w:rPr>
          <w:rFonts w:ascii="Arial" w:hAnsi="Arial" w:cs="Arial"/>
        </w:rPr>
        <w:fldChar w:fldCharType="separate"/>
      </w:r>
      <w:r w:rsidR="000C3F12" w:rsidRPr="00AD06AD">
        <w:rPr>
          <w:rFonts w:ascii="Arial" w:hAnsi="Arial" w:cs="Arial"/>
        </w:rPr>
        <w:t>1.</w:t>
      </w:r>
      <w:r w:rsidR="000C3F12" w:rsidRPr="00AD06AD">
        <w:rPr>
          <w:rFonts w:ascii="Arial" w:hAnsi="Arial" w:cs="Arial"/>
        </w:rPr>
        <w:tab/>
        <w:t xml:space="preserve">Dong, M.-J., Luo, H. &amp; Gao, F. Ori-Finder 2022: A Comprehensive Web Server for Prediction and Analysis of Bacterial Replication Origins. </w:t>
      </w:r>
      <w:r w:rsidR="000C3F12" w:rsidRPr="00AD06AD">
        <w:rPr>
          <w:rFonts w:ascii="Arial" w:hAnsi="Arial" w:cs="Arial"/>
          <w:i/>
          <w:iCs/>
        </w:rPr>
        <w:t>Genomics Proteomics Bioinformatics</w:t>
      </w:r>
      <w:r w:rsidR="000C3F12" w:rsidRPr="00AD06AD">
        <w:rPr>
          <w:rFonts w:ascii="Arial" w:hAnsi="Arial" w:cs="Arial"/>
        </w:rPr>
        <w:t xml:space="preserve"> (2022) </w:t>
      </w:r>
      <w:proofErr w:type="gramStart"/>
      <w:r w:rsidR="000C3F12" w:rsidRPr="00AD06AD">
        <w:rPr>
          <w:rFonts w:ascii="Arial" w:hAnsi="Arial" w:cs="Arial"/>
        </w:rPr>
        <w:t>doi:10.1016/j.gpb</w:t>
      </w:r>
      <w:proofErr w:type="gramEnd"/>
      <w:r w:rsidR="000C3F12" w:rsidRPr="00AD06AD">
        <w:rPr>
          <w:rFonts w:ascii="Arial" w:hAnsi="Arial" w:cs="Arial"/>
        </w:rPr>
        <w:t>.2022.10.002.</w:t>
      </w:r>
    </w:p>
    <w:p w:rsidR="000C3F12" w:rsidRPr="00AD06AD" w:rsidRDefault="000C3F12" w:rsidP="000C3F12">
      <w:pPr>
        <w:pStyle w:val="Bibliography"/>
        <w:rPr>
          <w:rFonts w:ascii="Arial" w:hAnsi="Arial" w:cs="Arial"/>
        </w:rPr>
      </w:pPr>
      <w:r w:rsidRPr="00AD06AD">
        <w:rPr>
          <w:rFonts w:ascii="Arial" w:hAnsi="Arial" w:cs="Arial"/>
        </w:rPr>
        <w:t>2.</w:t>
      </w:r>
      <w:r w:rsidRPr="00AD06AD">
        <w:rPr>
          <w:rFonts w:ascii="Arial" w:hAnsi="Arial" w:cs="Arial"/>
        </w:rPr>
        <w:tab/>
        <w:t xml:space="preserve">Sarathy, C. </w:t>
      </w:r>
      <w:r w:rsidRPr="00AD06AD">
        <w:rPr>
          <w:rFonts w:ascii="Arial" w:hAnsi="Arial" w:cs="Arial"/>
          <w:i/>
          <w:iCs/>
        </w:rPr>
        <w:t>et al.</w:t>
      </w:r>
      <w:r w:rsidRPr="00AD06AD">
        <w:rPr>
          <w:rFonts w:ascii="Arial" w:hAnsi="Arial" w:cs="Arial"/>
        </w:rPr>
        <w:t xml:space="preserve"> Comparison of metabolic states using genome-scale metabolic models. </w:t>
      </w:r>
      <w:r w:rsidRPr="00AD06AD">
        <w:rPr>
          <w:rFonts w:ascii="Arial" w:hAnsi="Arial" w:cs="Arial"/>
          <w:i/>
          <w:iCs/>
        </w:rPr>
        <w:t>PLOS Comput. Biol.</w:t>
      </w:r>
      <w:r w:rsidRPr="00AD06AD">
        <w:rPr>
          <w:rFonts w:ascii="Arial" w:hAnsi="Arial" w:cs="Arial"/>
        </w:rPr>
        <w:t xml:space="preserve"> </w:t>
      </w:r>
      <w:r w:rsidRPr="00AD06AD">
        <w:rPr>
          <w:rFonts w:ascii="Arial" w:hAnsi="Arial" w:cs="Arial"/>
          <w:b/>
          <w:bCs/>
        </w:rPr>
        <w:t>17</w:t>
      </w:r>
      <w:r w:rsidRPr="00AD06AD">
        <w:rPr>
          <w:rFonts w:ascii="Arial" w:hAnsi="Arial" w:cs="Arial"/>
        </w:rPr>
        <w:t>, e1009522 (2021).</w:t>
      </w:r>
    </w:p>
    <w:p w:rsidR="00E96249" w:rsidRDefault="00E96249" w:rsidP="00E4547D">
      <w:pPr>
        <w:spacing w:line="480" w:lineRule="auto"/>
      </w:pPr>
      <w:r w:rsidRPr="00AD06AD">
        <w:rPr>
          <w:rFonts w:ascii="Arial" w:hAnsi="Arial" w:cs="Arial"/>
        </w:rPr>
        <w:fldChar w:fldCharType="end"/>
      </w:r>
    </w:p>
    <w:sectPr w:rsidR="00E96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FC"/>
    <w:rsid w:val="00000DD2"/>
    <w:rsid w:val="000C3F12"/>
    <w:rsid w:val="00235AD2"/>
    <w:rsid w:val="002418F7"/>
    <w:rsid w:val="00293F2A"/>
    <w:rsid w:val="003E10B8"/>
    <w:rsid w:val="00451A3E"/>
    <w:rsid w:val="004B4B24"/>
    <w:rsid w:val="00506BBE"/>
    <w:rsid w:val="006F149B"/>
    <w:rsid w:val="007E54FC"/>
    <w:rsid w:val="00811FAD"/>
    <w:rsid w:val="00A41676"/>
    <w:rsid w:val="00AD06AD"/>
    <w:rsid w:val="00B037E5"/>
    <w:rsid w:val="00C73EB1"/>
    <w:rsid w:val="00E4547D"/>
    <w:rsid w:val="00E96249"/>
    <w:rsid w:val="00EC09C8"/>
    <w:rsid w:val="00F2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01BD"/>
  <w15:chartTrackingRefBased/>
  <w15:docId w15:val="{9E940BD1-C63A-4E93-B215-BD325705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54FC"/>
    <w:rPr>
      <w:sz w:val="16"/>
      <w:szCs w:val="16"/>
    </w:rPr>
  </w:style>
  <w:style w:type="paragraph" w:styleId="CommentText">
    <w:name w:val="annotation text"/>
    <w:basedOn w:val="Normal"/>
    <w:link w:val="CommentTextChar"/>
    <w:uiPriority w:val="99"/>
    <w:unhideWhenUsed/>
    <w:rsid w:val="007E54FC"/>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7E54FC"/>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E54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4FC"/>
    <w:rPr>
      <w:rFonts w:ascii="Segoe UI" w:hAnsi="Segoe UI" w:cs="Segoe UI"/>
      <w:sz w:val="18"/>
      <w:szCs w:val="18"/>
    </w:rPr>
  </w:style>
  <w:style w:type="paragraph" w:styleId="Bibliography">
    <w:name w:val="Bibliography"/>
    <w:basedOn w:val="Normal"/>
    <w:next w:val="Normal"/>
    <w:uiPriority w:val="37"/>
    <w:unhideWhenUsed/>
    <w:rsid w:val="00E96249"/>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5015</Words>
  <Characters>28288</Characters>
  <Application>Microsoft Office Word</Application>
  <DocSecurity>0</DocSecurity>
  <Lines>377</Lines>
  <Paragraphs>81</Paragraphs>
  <ScaleCrop>false</ScaleCrop>
  <HeadingPairs>
    <vt:vector size="2" baseType="variant">
      <vt:variant>
        <vt:lpstr>Title</vt:lpstr>
      </vt:variant>
      <vt:variant>
        <vt:i4>1</vt:i4>
      </vt:variant>
    </vt:vector>
  </HeadingPairs>
  <TitlesOfParts>
    <vt:vector size="1" baseType="lpstr">
      <vt:lpstr/>
    </vt:vector>
  </TitlesOfParts>
  <Company>Georgia Institute of Technology</Company>
  <LinksUpToDate>false</LinksUpToDate>
  <CharactersWithSpaces>33222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Rachel A</dc:creator>
  <cp:keywords/>
  <dc:description/>
  <cp:lastModifiedBy>Moore, Rachel A</cp:lastModifiedBy>
  <cp:revision>14</cp:revision>
  <dcterms:created xsi:type="dcterms:W3CDTF">2023-05-05T15:15:00Z</dcterms:created>
  <dcterms:modified xsi:type="dcterms:W3CDTF">2023-06-14T14:47:00Z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e78bed4a-7f08-43e0-a689-b9450eb17993</vt:lpwstr>
  </property>
  <property fmtid="{D5CDD505-2E9C-101B-9397-08002B2CF9AE}" pid="3" name="ZOTERO_PREF_1">
    <vt:lpwstr>&lt;data data-version="3" zotero-version="6.0.26"&gt;&lt;session id="AJ3R0GBs"/&gt;&lt;style id="http://www.zotero.org/styles/nature" hasBibliography="1" bibliographyStyleHasBeenSet="1"/&gt;&lt;prefs&gt;&lt;pref name="fieldType" value="Field"/&gt;&lt;pref name="automaticJournalAbbreviati</vt:lpwstr>
  </property>
  <property fmtid="{D5CDD505-2E9C-101B-9397-08002B2CF9AE}" pid="4" name="ZOTERO_PREF_2">
    <vt:lpwstr>ons" value="true"/&gt;&lt;/prefs&gt;&lt;/data&gt;</vt:lpwstr>
  </property>
</Properties>
</file>