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75AB9" w14:textId="77777777" w:rsidR="00B26327" w:rsidRDefault="00B26327" w:rsidP="00B26327">
      <w:pPr>
        <w:rPr>
          <w:b/>
          <w:bCs/>
          <w:iCs/>
          <w:lang w:val="en-US"/>
        </w:rPr>
      </w:pPr>
      <w:r>
        <w:rPr>
          <w:b/>
          <w:bCs/>
          <w:iCs/>
          <w:lang w:val="en-US"/>
        </w:rPr>
        <w:t>Supplementary References</w:t>
      </w:r>
    </w:p>
    <w:p w14:paraId="10302834" w14:textId="77777777" w:rsidR="00B26327" w:rsidRDefault="00B26327" w:rsidP="00B26327">
      <w:pPr>
        <w:rPr>
          <w:b/>
          <w:bCs/>
          <w:i/>
          <w:lang w:val="en-US"/>
        </w:rPr>
      </w:pPr>
    </w:p>
    <w:p w14:paraId="228300D3" w14:textId="77777777" w:rsidR="00B26327" w:rsidRDefault="00B26327" w:rsidP="00B26327">
      <w:pPr>
        <w:rPr>
          <w:color w:val="000000"/>
          <w:lang w:val="en-US"/>
        </w:rPr>
      </w:pPr>
      <w:r>
        <w:rPr>
          <w:color w:val="000000"/>
          <w:lang w:val="en-US"/>
        </w:rPr>
        <w:t xml:space="preserve">R1. Zavada, J., et al. Launch of a checklist for reporting longitudinal observational drug studies in rheumatology: a EULAR extension of STROBE guidelines based on experience from biologics registries. </w:t>
      </w:r>
      <w:r>
        <w:rPr>
          <w:i/>
          <w:iCs/>
          <w:color w:val="000000"/>
          <w:lang w:val="en-US"/>
        </w:rPr>
        <w:t>Ann Rheum Dis</w:t>
      </w:r>
      <w:r>
        <w:rPr>
          <w:color w:val="000000"/>
          <w:lang w:val="en-US"/>
        </w:rPr>
        <w:t xml:space="preserve"> </w:t>
      </w:r>
      <w:r>
        <w:rPr>
          <w:b/>
          <w:bCs/>
          <w:color w:val="000000"/>
          <w:lang w:val="en-US"/>
        </w:rPr>
        <w:t>73</w:t>
      </w:r>
      <w:r>
        <w:rPr>
          <w:color w:val="000000"/>
          <w:lang w:val="en-US"/>
        </w:rPr>
        <w:t xml:space="preserve">, 628 (2014). </w:t>
      </w:r>
    </w:p>
    <w:p w14:paraId="16C35F65" w14:textId="77777777" w:rsidR="00B26327" w:rsidRDefault="00B26327" w:rsidP="00B26327">
      <w:pPr>
        <w:rPr>
          <w:color w:val="000000"/>
          <w:lang w:val="en-US"/>
        </w:rPr>
      </w:pPr>
    </w:p>
    <w:p w14:paraId="602F56C5" w14:textId="77777777" w:rsidR="00B26327" w:rsidRDefault="00B26327" w:rsidP="00B26327">
      <w:pPr>
        <w:rPr>
          <w:color w:val="000000"/>
          <w:lang w:val="en-US"/>
        </w:rPr>
      </w:pPr>
      <w:r>
        <w:rPr>
          <w:color w:val="000000"/>
        </w:rPr>
        <w:t xml:space="preserve">R2. Kramer, CM, et al. </w:t>
      </w:r>
      <w:r>
        <w:rPr>
          <w:color w:val="000000"/>
          <w:lang w:val="en-US"/>
        </w:rPr>
        <w:t xml:space="preserve">Standardized cardiovascular magnetic resonance imaging (CMR) protocols: 2020 update. J of Cardiovasc Magn Reson </w:t>
      </w:r>
      <w:r>
        <w:rPr>
          <w:b/>
          <w:bCs/>
          <w:color w:val="000000"/>
          <w:lang w:val="en-US"/>
        </w:rPr>
        <w:t>22</w:t>
      </w:r>
      <w:r>
        <w:rPr>
          <w:color w:val="000000"/>
          <w:lang w:val="en-US"/>
        </w:rPr>
        <w:t>, 17 (2020)</w:t>
      </w:r>
    </w:p>
    <w:p w14:paraId="13209C6F" w14:textId="77777777" w:rsidR="00B26327" w:rsidRDefault="00B26327" w:rsidP="00B26327">
      <w:pPr>
        <w:rPr>
          <w:color w:val="000000"/>
          <w:lang w:val="en-US"/>
        </w:rPr>
      </w:pPr>
    </w:p>
    <w:p w14:paraId="651E1222" w14:textId="77777777" w:rsidR="00B26327" w:rsidRDefault="00B26327" w:rsidP="00B26327">
      <w:pPr>
        <w:rPr>
          <w:color w:val="000000"/>
          <w:lang w:val="en-US"/>
        </w:rPr>
      </w:pPr>
      <w:r>
        <w:rPr>
          <w:color w:val="000000"/>
          <w:lang w:val="en-US"/>
        </w:rPr>
        <w:t xml:space="preserve">R3. Schulz-Menger, J. et al. Standardized image interpretation and post-processing in cardiovascular magnetic resonance - 2020 update. J of Cardiovasc Magn Reson </w:t>
      </w:r>
      <w:r>
        <w:rPr>
          <w:b/>
          <w:bCs/>
          <w:color w:val="000000"/>
          <w:lang w:val="en-US"/>
        </w:rPr>
        <w:t>22</w:t>
      </w:r>
      <w:r>
        <w:rPr>
          <w:color w:val="000000"/>
          <w:lang w:val="en-US"/>
        </w:rPr>
        <w:t>, 19 (2020)</w:t>
      </w:r>
    </w:p>
    <w:p w14:paraId="4DAA8AF3" w14:textId="77777777" w:rsidR="00B26327" w:rsidRDefault="00B26327" w:rsidP="00B26327">
      <w:pPr>
        <w:rPr>
          <w:color w:val="000000"/>
          <w:lang w:val="en-US"/>
        </w:rPr>
      </w:pPr>
    </w:p>
    <w:p w14:paraId="22A17BFF" w14:textId="77777777" w:rsidR="00B26327" w:rsidRDefault="00B26327" w:rsidP="00B26327">
      <w:pPr>
        <w:rPr>
          <w:color w:val="000000"/>
          <w:lang w:val="en-US"/>
        </w:rPr>
      </w:pPr>
      <w:r>
        <w:rPr>
          <w:color w:val="000000"/>
          <w:lang w:val="en-US"/>
        </w:rPr>
        <w:t>R4. Kammerlander, A. et al. T1 Mapping by CMR Imaging: From Histological Validation to Clinical Implication. JACC Cardiovasc Imaging</w:t>
      </w:r>
    </w:p>
    <w:p w14:paraId="281EB8CF" w14:textId="77777777" w:rsidR="00B26327" w:rsidRDefault="00B26327" w:rsidP="00B26327">
      <w:pPr>
        <w:rPr>
          <w:b/>
          <w:bCs/>
          <w:i/>
          <w:lang w:val="en-US"/>
        </w:rPr>
      </w:pPr>
      <w:r>
        <w:rPr>
          <w:b/>
          <w:bCs/>
          <w:color w:val="000000"/>
          <w:lang w:val="en-US"/>
        </w:rPr>
        <w:t>9</w:t>
      </w:r>
      <w:r>
        <w:rPr>
          <w:color w:val="000000"/>
          <w:lang w:val="en-US"/>
        </w:rPr>
        <w:t>, 14-23 (2016)</w:t>
      </w:r>
      <w:r>
        <w:rPr>
          <w:lang w:val="en-US"/>
        </w:rPr>
        <w:br w:type="page"/>
      </w:r>
    </w:p>
    <w:p w14:paraId="3DA4A881" w14:textId="77777777" w:rsidR="00B26327" w:rsidRDefault="00B26327" w:rsidP="00B26327">
      <w:pPr>
        <w:spacing w:line="360" w:lineRule="auto"/>
        <w:jc w:val="both"/>
        <w:rPr>
          <w:lang w:val="en-US"/>
        </w:rPr>
      </w:pPr>
    </w:p>
    <w:p w14:paraId="70E12564" w14:textId="77777777" w:rsidR="00B26327" w:rsidRDefault="00B26327" w:rsidP="00B26327">
      <w:pPr>
        <w:spacing w:line="360" w:lineRule="auto"/>
        <w:jc w:val="both"/>
        <w:rPr>
          <w:lang w:val="en-US"/>
        </w:rPr>
      </w:pPr>
    </w:p>
    <w:p w14:paraId="086466F1" w14:textId="14E78A49" w:rsidR="00B26327" w:rsidRDefault="00B26327" w:rsidP="00B26327">
      <w:pPr>
        <w:spacing w:line="360" w:lineRule="auto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11E599B" wp14:editId="71BA58A4">
            <wp:extent cx="5753100" cy="3238500"/>
            <wp:effectExtent l="19050" t="19050" r="19050" b="190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ECDD789" w14:textId="77777777" w:rsidR="00B26327" w:rsidRDefault="00B26327" w:rsidP="00B26327">
      <w:pPr>
        <w:spacing w:line="360" w:lineRule="auto"/>
        <w:jc w:val="both"/>
        <w:rPr>
          <w:lang w:val="en-US"/>
        </w:rPr>
      </w:pPr>
    </w:p>
    <w:p w14:paraId="09D26E27" w14:textId="77777777" w:rsidR="00B26327" w:rsidRDefault="00B26327" w:rsidP="00B26327">
      <w:pPr>
        <w:spacing w:line="360" w:lineRule="auto"/>
        <w:jc w:val="both"/>
        <w:rPr>
          <w:lang w:val="en-US"/>
        </w:rPr>
      </w:pPr>
    </w:p>
    <w:p w14:paraId="68D8774D" w14:textId="43F37D86" w:rsidR="00B26327" w:rsidRDefault="00B26327" w:rsidP="00B26327">
      <w:pPr>
        <w:spacing w:line="360" w:lineRule="auto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4603F56" wp14:editId="326E139F">
            <wp:extent cx="5753100" cy="3238500"/>
            <wp:effectExtent l="19050" t="19050" r="19050" b="190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365BA76" w14:textId="77777777" w:rsidR="00B26327" w:rsidRDefault="00B26327" w:rsidP="00B26327">
      <w:pPr>
        <w:spacing w:line="360" w:lineRule="auto"/>
        <w:jc w:val="both"/>
        <w:rPr>
          <w:lang w:val="en-US"/>
        </w:rPr>
      </w:pPr>
    </w:p>
    <w:p w14:paraId="00AF1384" w14:textId="77777777" w:rsidR="00B26327" w:rsidRDefault="00B26327" w:rsidP="00B26327">
      <w:pPr>
        <w:spacing w:line="360" w:lineRule="auto"/>
        <w:jc w:val="both"/>
        <w:rPr>
          <w:lang w:val="en-US"/>
        </w:rPr>
      </w:pPr>
    </w:p>
    <w:p w14:paraId="578C6FD7" w14:textId="3743112B" w:rsidR="00B26327" w:rsidRDefault="00B26327" w:rsidP="00B26327">
      <w:pPr>
        <w:spacing w:line="360" w:lineRule="auto"/>
        <w:jc w:val="both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B6AB0A5" wp14:editId="6F8AB4B2">
            <wp:extent cx="5753100" cy="3238500"/>
            <wp:effectExtent l="19050" t="19050" r="19050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1AB707C" w14:textId="77777777" w:rsidR="00B26327" w:rsidRDefault="00B26327" w:rsidP="00B26327">
      <w:pPr>
        <w:spacing w:line="360" w:lineRule="auto"/>
        <w:jc w:val="both"/>
        <w:rPr>
          <w:lang w:val="en-US"/>
        </w:rPr>
      </w:pPr>
    </w:p>
    <w:p w14:paraId="69072122" w14:textId="77777777" w:rsidR="00B26327" w:rsidRDefault="00B26327" w:rsidP="00B26327">
      <w:pPr>
        <w:spacing w:line="360" w:lineRule="auto"/>
        <w:jc w:val="both"/>
        <w:rPr>
          <w:lang w:val="en-US"/>
        </w:rPr>
      </w:pPr>
    </w:p>
    <w:p w14:paraId="518EF842" w14:textId="77777777" w:rsidR="00B26327" w:rsidRDefault="00B26327" w:rsidP="00B26327">
      <w:pPr>
        <w:spacing w:line="360" w:lineRule="auto"/>
        <w:jc w:val="both"/>
        <w:rPr>
          <w:lang w:val="en-US"/>
        </w:rPr>
      </w:pPr>
    </w:p>
    <w:p w14:paraId="74D6CCD2" w14:textId="77777777" w:rsidR="00B26327" w:rsidRDefault="00B26327" w:rsidP="00B26327">
      <w:pPr>
        <w:spacing w:line="360" w:lineRule="auto"/>
        <w:jc w:val="both"/>
        <w:rPr>
          <w:b/>
          <w:bCs/>
          <w:lang w:val="en-US"/>
        </w:rPr>
      </w:pPr>
    </w:p>
    <w:p w14:paraId="757E1C3C" w14:textId="77777777" w:rsidR="001760E5" w:rsidRDefault="00B26327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327"/>
    <w:rsid w:val="006E225C"/>
    <w:rsid w:val="008A3324"/>
    <w:rsid w:val="0096107C"/>
    <w:rsid w:val="00996CDB"/>
    <w:rsid w:val="009B6A41"/>
    <w:rsid w:val="00B26327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7043A"/>
  <w15:chartTrackingRefBased/>
  <w15:docId w15:val="{AD3ED178-C575-4FAB-ADB0-74C4D94A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3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2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</Words>
  <Characters>642</Characters>
  <Application>Microsoft Office Word</Application>
  <DocSecurity>0</DocSecurity>
  <Lines>5</Lines>
  <Paragraphs>1</Paragraphs>
  <ScaleCrop>false</ScaleCrop>
  <Company>Springer Nature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2023-06-23T03:55:00Z</dcterms:created>
  <dcterms:modified xsi:type="dcterms:W3CDTF">2023-06-23T03:56:00Z</dcterms:modified>
</cp:coreProperties>
</file>