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E265E" w14:textId="5E342490" w:rsidR="009419E2" w:rsidRPr="009419E2" w:rsidRDefault="009419E2" w:rsidP="009419E2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b/>
          <w:bCs/>
          <w:color w:val="414246"/>
          <w:sz w:val="24"/>
          <w:szCs w:val="24"/>
          <w:shd w:val="clear" w:color="auto" w:fill="FFFFFF"/>
        </w:rPr>
      </w:pPr>
      <w:r w:rsidRPr="009419E2">
        <w:rPr>
          <w:rFonts w:ascii="Times New Roman" w:hAnsi="Times New Roman" w:cs="Times New Roman"/>
          <w:b/>
          <w:bCs/>
          <w:sz w:val="24"/>
          <w:szCs w:val="24"/>
        </w:rPr>
        <w:t>CNV landscape of adenocarcinoma</w:t>
      </w:r>
      <w:r w:rsidR="00F372FE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F372FE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F372FE">
        <w:rPr>
          <w:rFonts w:ascii="Times New Roman" w:hAnsi="Times New Roman" w:cs="Times New Roman"/>
          <w:b/>
          <w:bCs/>
          <w:sz w:val="24"/>
          <w:szCs w:val="24"/>
        </w:rPr>
        <w:t>DC)</w:t>
      </w:r>
      <w:r w:rsidRPr="009419E2">
        <w:rPr>
          <w:rFonts w:ascii="Times New Roman" w:hAnsi="Times New Roman" w:cs="Times New Roman"/>
          <w:b/>
          <w:bCs/>
          <w:sz w:val="24"/>
          <w:szCs w:val="24"/>
        </w:rPr>
        <w:t xml:space="preserve"> and squamous cell carcinoma</w:t>
      </w:r>
      <w:r w:rsidR="00F372FE">
        <w:rPr>
          <w:rFonts w:ascii="Times New Roman" w:hAnsi="Times New Roman" w:cs="Times New Roman"/>
          <w:b/>
          <w:bCs/>
          <w:sz w:val="24"/>
          <w:szCs w:val="24"/>
        </w:rPr>
        <w:t xml:space="preserve"> (SQCC)</w:t>
      </w:r>
      <w:r w:rsidRPr="009419E2">
        <w:rPr>
          <w:rFonts w:ascii="Times New Roman" w:hAnsi="Times New Roman" w:cs="Times New Roman"/>
          <w:b/>
          <w:bCs/>
          <w:sz w:val="24"/>
          <w:szCs w:val="24"/>
        </w:rPr>
        <w:t xml:space="preserve"> lesions </w:t>
      </w:r>
    </w:p>
    <w:p w14:paraId="71D93A01" w14:textId="5CB39C27" w:rsidR="0030308F" w:rsidRPr="0030308F" w:rsidRDefault="0030308F" w:rsidP="00D00AA7">
      <w:pPr>
        <w:spacing w:line="36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CE02A6">
        <w:rPr>
          <w:rFonts w:ascii="Times New Roman" w:hAnsi="Times New Roman" w:cs="Times New Roman"/>
          <w:sz w:val="24"/>
          <w:szCs w:val="24"/>
        </w:rPr>
        <w:t>CNVs (copy number variants) refer to changes in the number of copies of a region on a chromosome.</w:t>
      </w:r>
      <w:r>
        <w:rPr>
          <w:rFonts w:ascii="Times New Roman" w:hAnsi="Times New Roman" w:cs="Times New Roman"/>
          <w:sz w:val="24"/>
          <w:szCs w:val="24"/>
        </w:rPr>
        <w:t xml:space="preserve"> Figure S1 shows the CNV landscape of ADC and SQCC patients. </w:t>
      </w:r>
      <w:r w:rsidRPr="00A468F6">
        <w:rPr>
          <w:rFonts w:ascii="Times New Roman" w:hAnsi="Times New Roman" w:cs="Times New Roman"/>
          <w:sz w:val="24"/>
          <w:szCs w:val="24"/>
        </w:rPr>
        <w:t>The genes with the most significant copy number changes in the ADC group were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0B15">
        <w:rPr>
          <w:rFonts w:ascii="Times New Roman" w:hAnsi="Times New Roman" w:cs="Times New Roman"/>
          <w:i/>
          <w:iCs/>
          <w:sz w:val="24"/>
          <w:szCs w:val="24"/>
        </w:rPr>
        <w:t>CELF4</w:t>
      </w:r>
      <w:r w:rsidR="00D00AA7">
        <w:rPr>
          <w:rFonts w:ascii="Times New Roman" w:hAnsi="Times New Roman" w:cs="Times New Roman"/>
          <w:sz w:val="24"/>
          <w:szCs w:val="24"/>
        </w:rPr>
        <w:t xml:space="preserve">, </w:t>
      </w:r>
      <w:r w:rsidR="00D00AA7" w:rsidRPr="00050B15">
        <w:rPr>
          <w:rFonts w:ascii="Times New Roman" w:hAnsi="Times New Roman" w:cs="Times New Roman"/>
          <w:i/>
          <w:iCs/>
          <w:sz w:val="24"/>
          <w:szCs w:val="24"/>
        </w:rPr>
        <w:t>GUSBP16</w:t>
      </w:r>
      <w:r w:rsidR="00D00AA7">
        <w:rPr>
          <w:rFonts w:ascii="Times New Roman" w:hAnsi="Times New Roman" w:cs="Times New Roman"/>
          <w:sz w:val="24"/>
          <w:szCs w:val="24"/>
        </w:rPr>
        <w:t xml:space="preserve">, </w:t>
      </w:r>
      <w:r w:rsidRPr="00050B15">
        <w:rPr>
          <w:rFonts w:ascii="Times New Roman" w:hAnsi="Times New Roman" w:cs="Times New Roman"/>
          <w:i/>
          <w:iCs/>
          <w:sz w:val="24"/>
          <w:szCs w:val="24"/>
        </w:rPr>
        <w:t>CGB7</w:t>
      </w:r>
      <w:r w:rsidR="00D00AA7">
        <w:rPr>
          <w:rFonts w:ascii="Times New Roman" w:hAnsi="Times New Roman" w:cs="Times New Roman"/>
          <w:sz w:val="24"/>
          <w:szCs w:val="24"/>
        </w:rPr>
        <w:t xml:space="preserve">, </w:t>
      </w:r>
      <w:r w:rsidR="00D00AA7" w:rsidRPr="00050B15">
        <w:rPr>
          <w:rFonts w:ascii="Times New Roman" w:hAnsi="Times New Roman" w:cs="Times New Roman"/>
          <w:i/>
          <w:iCs/>
          <w:sz w:val="24"/>
          <w:szCs w:val="24"/>
        </w:rPr>
        <w:t>EGFL7</w:t>
      </w:r>
      <w:r w:rsidR="00D00AA7">
        <w:rPr>
          <w:rFonts w:ascii="Times New Roman" w:hAnsi="Times New Roman" w:cs="Times New Roman"/>
          <w:sz w:val="24"/>
          <w:szCs w:val="24"/>
        </w:rPr>
        <w:t xml:space="preserve">, </w:t>
      </w:r>
      <w:r w:rsidR="00D00AA7" w:rsidRPr="00050B15">
        <w:rPr>
          <w:rFonts w:ascii="Times New Roman" w:hAnsi="Times New Roman" w:cs="Times New Roman"/>
          <w:i/>
          <w:iCs/>
          <w:sz w:val="24"/>
          <w:szCs w:val="24"/>
        </w:rPr>
        <w:t>NEU4</w:t>
      </w:r>
      <w:r w:rsidR="00D00AA7">
        <w:rPr>
          <w:rFonts w:ascii="Times New Roman" w:hAnsi="Times New Roman" w:cs="Times New Roman"/>
          <w:sz w:val="24"/>
          <w:szCs w:val="24"/>
        </w:rPr>
        <w:t xml:space="preserve">, </w:t>
      </w:r>
      <w:r w:rsidR="00D00AA7" w:rsidRPr="00050B15">
        <w:rPr>
          <w:rFonts w:ascii="Times New Roman" w:hAnsi="Times New Roman" w:cs="Times New Roman"/>
          <w:i/>
          <w:iCs/>
          <w:sz w:val="24"/>
          <w:szCs w:val="24"/>
        </w:rPr>
        <w:t>GUSBP16</w:t>
      </w:r>
      <w:r w:rsidR="00D00AA7" w:rsidRPr="00D00AA7">
        <w:rPr>
          <w:rFonts w:ascii="Times New Roman" w:hAnsi="Times New Roman" w:cs="Times New Roman"/>
          <w:sz w:val="24"/>
          <w:szCs w:val="24"/>
        </w:rPr>
        <w:t>,</w:t>
      </w:r>
      <w:r w:rsidR="00D00AA7">
        <w:rPr>
          <w:rFonts w:ascii="Times New Roman" w:hAnsi="Times New Roman" w:cs="Times New Roman"/>
          <w:sz w:val="24"/>
          <w:szCs w:val="24"/>
        </w:rPr>
        <w:t xml:space="preserve"> </w:t>
      </w:r>
      <w:r w:rsidR="00D00AA7" w:rsidRPr="00050B15">
        <w:rPr>
          <w:rFonts w:ascii="Times New Roman" w:hAnsi="Times New Roman" w:cs="Times New Roman"/>
          <w:i/>
          <w:iCs/>
          <w:sz w:val="24"/>
          <w:szCs w:val="24"/>
        </w:rPr>
        <w:t>LOC101929599</w:t>
      </w:r>
      <w:r w:rsidR="00D00AA7">
        <w:rPr>
          <w:rFonts w:ascii="Times New Roman" w:hAnsi="Times New Roman" w:cs="Times New Roman"/>
          <w:sz w:val="24"/>
          <w:szCs w:val="24"/>
        </w:rPr>
        <w:t xml:space="preserve">, </w:t>
      </w:r>
      <w:r w:rsidR="00D00AA7" w:rsidRPr="00050B15">
        <w:rPr>
          <w:rFonts w:ascii="Times New Roman" w:hAnsi="Times New Roman" w:cs="Times New Roman"/>
          <w:i/>
          <w:iCs/>
          <w:sz w:val="24"/>
          <w:szCs w:val="24"/>
        </w:rPr>
        <w:t>GUSBP3</w:t>
      </w:r>
      <w:r w:rsidR="00D00AA7" w:rsidRPr="00D00AA7">
        <w:rPr>
          <w:rFonts w:ascii="Times New Roman" w:hAnsi="Times New Roman" w:cs="Times New Roman"/>
          <w:sz w:val="24"/>
          <w:szCs w:val="24"/>
        </w:rPr>
        <w:t>,</w:t>
      </w:r>
      <w:r w:rsidR="00D00AA7">
        <w:rPr>
          <w:rFonts w:ascii="Times New Roman" w:hAnsi="Times New Roman" w:cs="Times New Roman"/>
          <w:sz w:val="24"/>
          <w:szCs w:val="24"/>
        </w:rPr>
        <w:t xml:space="preserve"> </w:t>
      </w:r>
      <w:r w:rsidR="00D00AA7" w:rsidRPr="00050B15">
        <w:rPr>
          <w:rFonts w:ascii="Times New Roman" w:hAnsi="Times New Roman" w:cs="Times New Roman"/>
          <w:i/>
          <w:iCs/>
          <w:sz w:val="24"/>
          <w:szCs w:val="24"/>
        </w:rPr>
        <w:t>GUSBP15</w:t>
      </w:r>
      <w:r w:rsidR="00D00AA7" w:rsidRPr="00D00AA7">
        <w:rPr>
          <w:rFonts w:ascii="Times New Roman" w:hAnsi="Times New Roman" w:cs="Times New Roman"/>
          <w:sz w:val="24"/>
          <w:szCs w:val="24"/>
        </w:rPr>
        <w:t>,</w:t>
      </w:r>
      <w:r w:rsidR="00D00AA7">
        <w:rPr>
          <w:rFonts w:ascii="Times New Roman" w:hAnsi="Times New Roman" w:cs="Times New Roman"/>
          <w:sz w:val="24"/>
          <w:szCs w:val="24"/>
        </w:rPr>
        <w:t xml:space="preserve"> </w:t>
      </w:r>
      <w:r w:rsidR="00D00AA7" w:rsidRPr="00050B15">
        <w:rPr>
          <w:rFonts w:ascii="Times New Roman" w:hAnsi="Times New Roman" w:cs="Times New Roman"/>
          <w:i/>
          <w:iCs/>
          <w:sz w:val="24"/>
          <w:szCs w:val="24"/>
        </w:rPr>
        <w:t>GUSBP17</w:t>
      </w:r>
      <w:r w:rsidR="00D00AA7">
        <w:rPr>
          <w:rFonts w:ascii="Times New Roman" w:hAnsi="Times New Roman" w:cs="Times New Roman"/>
          <w:sz w:val="24"/>
          <w:szCs w:val="24"/>
        </w:rPr>
        <w:t xml:space="preserve">, </w:t>
      </w:r>
      <w:r w:rsidR="00D00AA7" w:rsidRPr="00050B15">
        <w:rPr>
          <w:rFonts w:ascii="Times New Roman" w:hAnsi="Times New Roman" w:cs="Times New Roman"/>
          <w:i/>
          <w:iCs/>
          <w:sz w:val="24"/>
          <w:szCs w:val="24"/>
        </w:rPr>
        <w:t>KLC3</w:t>
      </w:r>
      <w:r w:rsidR="00D00AA7">
        <w:rPr>
          <w:rFonts w:ascii="Times New Roman" w:hAnsi="Times New Roman" w:cs="Times New Roman"/>
          <w:sz w:val="24"/>
          <w:szCs w:val="24"/>
        </w:rPr>
        <w:t xml:space="preserve">, </w:t>
      </w:r>
      <w:r w:rsidR="00D00AA7" w:rsidRPr="00050B15">
        <w:rPr>
          <w:rFonts w:ascii="Times New Roman" w:hAnsi="Times New Roman" w:cs="Times New Roman"/>
          <w:i/>
          <w:iCs/>
          <w:sz w:val="24"/>
          <w:szCs w:val="24"/>
        </w:rPr>
        <w:t>GUSBP3</w:t>
      </w:r>
      <w:r>
        <w:rPr>
          <w:rFonts w:ascii="Times New Roman" w:hAnsi="Times New Roman" w:cs="Times New Roman"/>
          <w:sz w:val="24"/>
          <w:szCs w:val="24"/>
        </w:rPr>
        <w:t xml:space="preserve"> (Figure S1A, </w:t>
      </w:r>
      <w:r w:rsidRPr="00A468F6">
        <w:rPr>
          <w:rFonts w:ascii="Times New Roman" w:hAnsi="Times New Roman" w:cs="Times New Roman"/>
          <w:sz w:val="24"/>
          <w:szCs w:val="24"/>
        </w:rPr>
        <w:t>mutation frequency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0AA7">
        <w:rPr>
          <w:rFonts w:ascii="Times New Roman" w:hAnsi="Times New Roman" w:cs="Times New Roman"/>
          <w:sz w:val="24"/>
          <w:szCs w:val="24"/>
        </w:rPr>
        <w:t>= 4</w:t>
      </w:r>
      <w:r>
        <w:rPr>
          <w:rFonts w:ascii="Times New Roman" w:hAnsi="Times New Roman" w:cs="Times New Roman"/>
          <w:sz w:val="24"/>
          <w:szCs w:val="24"/>
        </w:rPr>
        <w:t xml:space="preserve">0%), and </w:t>
      </w:r>
      <w:r w:rsidRPr="00050B15">
        <w:rPr>
          <w:rFonts w:ascii="Times New Roman" w:hAnsi="Times New Roman" w:cs="Times New Roman"/>
          <w:i/>
          <w:iCs/>
          <w:sz w:val="24"/>
          <w:szCs w:val="24"/>
        </w:rPr>
        <w:t>LMNTD2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50B15">
        <w:rPr>
          <w:rFonts w:ascii="Times New Roman" w:hAnsi="Times New Roman" w:cs="Times New Roman"/>
          <w:i/>
          <w:iCs/>
          <w:sz w:val="24"/>
          <w:szCs w:val="24"/>
        </w:rPr>
        <w:t>DUSP8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050B15">
        <w:rPr>
          <w:rFonts w:ascii="Times New Roman" w:hAnsi="Times New Roman" w:cs="Times New Roman"/>
          <w:i/>
          <w:iCs/>
          <w:sz w:val="24"/>
          <w:szCs w:val="24"/>
        </w:rPr>
        <w:t>LIX1</w:t>
      </w:r>
      <w:r w:rsidR="00F353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(Figure S1B, </w:t>
      </w:r>
      <w:r w:rsidRPr="00A468F6">
        <w:rPr>
          <w:rFonts w:ascii="Times New Roman" w:hAnsi="Times New Roman" w:cs="Times New Roman"/>
          <w:sz w:val="24"/>
          <w:szCs w:val="24"/>
        </w:rPr>
        <w:t>mutation frequency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0AA7">
        <w:rPr>
          <w:rFonts w:ascii="Times New Roman" w:hAnsi="Times New Roman" w:cs="Times New Roman"/>
          <w:sz w:val="24"/>
          <w:szCs w:val="24"/>
        </w:rPr>
        <w:t>=</w:t>
      </w:r>
      <w:r w:rsidR="00F353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60%) in SQCC group, </w:t>
      </w:r>
      <w:r w:rsidRPr="00A468F6">
        <w:rPr>
          <w:rFonts w:ascii="Times New Roman" w:hAnsi="Times New Roman" w:cs="Times New Roman"/>
          <w:sz w:val="24"/>
          <w:szCs w:val="24"/>
        </w:rPr>
        <w:t>respectively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9DEE133" w14:textId="0702DE7A" w:rsidR="0030308F" w:rsidRDefault="00D00AA7" w:rsidP="0030308F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41D92F7" wp14:editId="3143E9C1">
            <wp:extent cx="5274310" cy="7460615"/>
            <wp:effectExtent l="19050" t="19050" r="21590" b="26035"/>
            <wp:docPr id="4059255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925593" name="图片 40592559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9F72DA" w14:textId="40A31DEE" w:rsidR="009419E2" w:rsidRPr="000E238C" w:rsidRDefault="009419E2" w:rsidP="009419E2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b/>
          <w:bCs/>
          <w:color w:val="414246"/>
          <w:sz w:val="24"/>
          <w:szCs w:val="24"/>
          <w:shd w:val="clear" w:color="auto" w:fill="FFFFFF"/>
        </w:rPr>
      </w:pPr>
      <w:r>
        <w:rPr>
          <w:rFonts w:ascii="Times New Roman" w:eastAsia="宋体" w:hAnsi="Times New Roman" w:cs="Times New Roman"/>
          <w:b/>
          <w:bCs/>
          <w:color w:val="414246"/>
          <w:sz w:val="24"/>
          <w:szCs w:val="24"/>
          <w:shd w:val="clear" w:color="auto" w:fill="FFFFFF"/>
        </w:rPr>
        <w:t>Figure S1</w:t>
      </w:r>
      <w:r w:rsidRPr="000E238C">
        <w:rPr>
          <w:rFonts w:ascii="Times New Roman" w:eastAsia="宋体" w:hAnsi="Times New Roman" w:cs="Times New Roman"/>
          <w:b/>
          <w:bCs/>
          <w:color w:val="414246"/>
          <w:sz w:val="24"/>
          <w:szCs w:val="24"/>
          <w:shd w:val="clear" w:color="auto" w:fill="FFFFFF"/>
        </w:rPr>
        <w:t xml:space="preserve">. </w:t>
      </w:r>
      <w:r w:rsidRPr="009419E2">
        <w:rPr>
          <w:rFonts w:ascii="Times New Roman" w:eastAsia="宋体" w:hAnsi="Times New Roman" w:cs="Times New Roman"/>
          <w:b/>
          <w:bCs/>
          <w:color w:val="414246"/>
          <w:sz w:val="24"/>
          <w:szCs w:val="24"/>
          <w:shd w:val="clear" w:color="auto" w:fill="FFFFFF"/>
        </w:rPr>
        <w:t xml:space="preserve">CNV landscape of </w:t>
      </w:r>
      <w:r w:rsidR="00F372FE">
        <w:rPr>
          <w:rFonts w:ascii="Times New Roman" w:eastAsia="宋体" w:hAnsi="Times New Roman" w:cs="Times New Roman"/>
          <w:b/>
          <w:bCs/>
          <w:color w:val="414246"/>
          <w:sz w:val="24"/>
          <w:szCs w:val="24"/>
          <w:shd w:val="clear" w:color="auto" w:fill="FFFFFF"/>
        </w:rPr>
        <w:t>ADC</w:t>
      </w:r>
      <w:r w:rsidRPr="009419E2">
        <w:rPr>
          <w:rFonts w:ascii="Times New Roman" w:eastAsia="宋体" w:hAnsi="Times New Roman" w:cs="Times New Roman"/>
          <w:b/>
          <w:bCs/>
          <w:color w:val="414246"/>
          <w:sz w:val="24"/>
          <w:szCs w:val="24"/>
          <w:shd w:val="clear" w:color="auto" w:fill="FFFFFF"/>
        </w:rPr>
        <w:t xml:space="preserve"> and </w:t>
      </w:r>
      <w:r w:rsidR="00F372FE">
        <w:rPr>
          <w:rFonts w:ascii="Times New Roman" w:eastAsia="宋体" w:hAnsi="Times New Roman" w:cs="Times New Roman"/>
          <w:b/>
          <w:bCs/>
          <w:color w:val="414246"/>
          <w:sz w:val="24"/>
          <w:szCs w:val="24"/>
          <w:shd w:val="clear" w:color="auto" w:fill="FFFFFF"/>
        </w:rPr>
        <w:t>SQCC lesions</w:t>
      </w:r>
      <w:r w:rsidRPr="009419E2">
        <w:rPr>
          <w:rFonts w:ascii="Times New Roman" w:eastAsia="宋体" w:hAnsi="Times New Roman" w:cs="Times New Roman"/>
          <w:b/>
          <w:bCs/>
          <w:color w:val="414246"/>
          <w:sz w:val="24"/>
          <w:szCs w:val="24"/>
          <w:shd w:val="clear" w:color="auto" w:fill="FFFFFF"/>
        </w:rPr>
        <w:t>.</w:t>
      </w:r>
      <w:r w:rsidRPr="000E238C">
        <w:rPr>
          <w:rFonts w:ascii="Times New Roman" w:eastAsia="宋体" w:hAnsi="Times New Roman" w:cs="Times New Roman"/>
          <w:b/>
          <w:bCs/>
          <w:color w:val="414246"/>
          <w:sz w:val="24"/>
          <w:szCs w:val="24"/>
          <w:shd w:val="clear" w:color="auto" w:fill="FFFFFF"/>
        </w:rPr>
        <w:t xml:space="preserve"> </w:t>
      </w:r>
    </w:p>
    <w:p w14:paraId="090003F1" w14:textId="67D4B079" w:rsidR="0030308F" w:rsidRDefault="009419E2" w:rsidP="009419E2">
      <w:pPr>
        <w:autoSpaceDE w:val="0"/>
        <w:autoSpaceDN w:val="0"/>
        <w:adjustRightInd w:val="0"/>
        <w:spacing w:line="360" w:lineRule="auto"/>
        <w:jc w:val="left"/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</w:pPr>
      <w:r w:rsidRPr="000E238C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A, </w:t>
      </w:r>
      <w:r w:rsidRPr="009419E2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CNV landscape of </w:t>
      </w:r>
      <w:r w:rsidR="00F372FE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>5</w:t>
      </w:r>
      <w:r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 lesions in </w:t>
      </w:r>
      <w:r w:rsidR="00F372FE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>ADC</w:t>
      </w:r>
      <w:r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 group</w:t>
      </w:r>
      <w:r w:rsidRPr="000E238C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; </w:t>
      </w:r>
      <w:r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>B</w:t>
      </w:r>
      <w:r w:rsidRPr="000E238C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, </w:t>
      </w:r>
      <w:r w:rsidRPr="009419E2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CNV landscape of </w:t>
      </w:r>
      <w:r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5 lesions in </w:t>
      </w:r>
      <w:r w:rsidR="00F372FE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>SQCC</w:t>
      </w:r>
      <w:r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 group.</w:t>
      </w:r>
    </w:p>
    <w:p w14:paraId="2DAFF33D" w14:textId="77777777" w:rsidR="009419E2" w:rsidRPr="009419E2" w:rsidRDefault="009419E2" w:rsidP="009419E2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270FBCAD" w14:textId="090E73B3" w:rsidR="00376847" w:rsidRPr="000E238C" w:rsidRDefault="00376847" w:rsidP="00376847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0E238C">
        <w:rPr>
          <w:rFonts w:ascii="Times New Roman" w:hAnsi="Times New Roman" w:cs="Times New Roman"/>
          <w:b/>
          <w:bCs/>
          <w:sz w:val="24"/>
          <w:szCs w:val="24"/>
        </w:rPr>
        <w:t xml:space="preserve">Exhausted CD8+ T cell-associated genes expression between MPLC </w:t>
      </w:r>
      <w:r w:rsidR="00F372FE">
        <w:rPr>
          <w:rFonts w:ascii="Times New Roman" w:hAnsi="Times New Roman" w:cs="Times New Roman"/>
          <w:b/>
          <w:bCs/>
          <w:sz w:val="24"/>
          <w:szCs w:val="24"/>
        </w:rPr>
        <w:t>ADC</w:t>
      </w:r>
      <w:r w:rsidRPr="000E238C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r w:rsidR="00F372FE">
        <w:rPr>
          <w:rFonts w:ascii="Times New Roman" w:hAnsi="Times New Roman" w:cs="Times New Roman"/>
          <w:b/>
          <w:bCs/>
          <w:sz w:val="24"/>
          <w:szCs w:val="24"/>
        </w:rPr>
        <w:lastRenderedPageBreak/>
        <w:t>SQCC</w:t>
      </w:r>
      <w:r w:rsidRPr="000E238C">
        <w:rPr>
          <w:rFonts w:ascii="Times New Roman" w:hAnsi="Times New Roman" w:cs="Times New Roman"/>
          <w:b/>
          <w:bCs/>
          <w:sz w:val="24"/>
          <w:szCs w:val="24"/>
        </w:rPr>
        <w:t xml:space="preserve"> lesions</w:t>
      </w:r>
    </w:p>
    <w:p w14:paraId="21C5FB9C" w14:textId="49A69990" w:rsidR="00376847" w:rsidRPr="000E238C" w:rsidRDefault="00376847" w:rsidP="00376847">
      <w:pPr>
        <w:autoSpaceDE w:val="0"/>
        <w:autoSpaceDN w:val="0"/>
        <w:adjustRightInd w:val="0"/>
        <w:spacing w:line="360" w:lineRule="auto"/>
        <w:ind w:firstLine="420"/>
        <w:jc w:val="left"/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</w:pPr>
      <w:r w:rsidRPr="007C7807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>In cancer, depleted CD8+ is hyporesponsive to tumor cells</w:t>
      </w:r>
      <w:r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fldChar w:fldCharType="begin"/>
      </w:r>
      <w:r w:rsidR="00FE65B3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instrText xml:space="preserve"> ADDIN NE.Ref.{E5F1E6E8-98CD-46C3-BB89-3D55BF6C2971}</w:instrText>
      </w:r>
      <w:r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fldChar w:fldCharType="separate"/>
      </w:r>
      <w:r w:rsidR="00FE65B3"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</w:rPr>
        <w:t>[1]</w:t>
      </w:r>
      <w:r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fldChar w:fldCharType="end"/>
      </w:r>
      <w:r w:rsidRPr="007C7807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. </w:t>
      </w:r>
      <w:bookmarkStart w:id="0" w:name="_Hlk134295543"/>
      <w:r w:rsidRPr="007C7807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We analyzed the markers and suppressors </w:t>
      </w:r>
      <w:r w:rsidR="00E51B5A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expression </w:t>
      </w:r>
      <w:r w:rsidRPr="007C7807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>associated with depleted CD8+ T cells between SQCC and ADC lesions</w:t>
      </w:r>
      <w:r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fldChar w:fldCharType="begin"/>
      </w:r>
      <w:r w:rsidR="00FE65B3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instrText xml:space="preserve"> ADDIN NE.Ref.{6BF7D609-9B71-4318-B933-C51AAD1425C3}</w:instrText>
      </w:r>
      <w:r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fldChar w:fldCharType="separate"/>
      </w:r>
      <w:r w:rsidR="00FE65B3"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</w:rPr>
        <w:t>[2]</w:t>
      </w:r>
      <w:r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fldChar w:fldCharType="end"/>
      </w:r>
      <w:r w:rsidRPr="007C7807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>. The analysis showed (</w:t>
      </w:r>
      <w:r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Figure </w:t>
      </w:r>
      <w:r w:rsidR="00076C50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>S2</w:t>
      </w:r>
      <w:r w:rsidRPr="007C7807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A) that the overall trend of depleted CD8+ T cell-related marker expression was </w:t>
      </w:r>
      <w:r w:rsidR="00076C50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>more obvious</w:t>
      </w:r>
      <w:r w:rsidRPr="007C7807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 in the ADC group; the analysis of specific group differences (</w:t>
      </w:r>
      <w:r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Figure </w:t>
      </w:r>
      <w:r w:rsidR="00076C50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>S2</w:t>
      </w:r>
      <w:r w:rsidRPr="007C7807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>B) showed that in the ADC group CD244</w:t>
      </w:r>
      <w:r w:rsidR="00076C50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 (</w:t>
      </w:r>
      <w:r w:rsidR="00076C50" w:rsidRPr="006D31B6">
        <w:rPr>
          <w:rFonts w:ascii="Times New Roman" w:eastAsia="宋体" w:hAnsi="Times New Roman" w:cs="Times New Roman"/>
          <w:i/>
          <w:iCs/>
          <w:color w:val="414246"/>
          <w:sz w:val="24"/>
          <w:szCs w:val="24"/>
          <w:shd w:val="clear" w:color="auto" w:fill="FFFFFF"/>
        </w:rPr>
        <w:t>p</w:t>
      </w:r>
      <w:r w:rsidR="006D31B6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 </w:t>
      </w:r>
      <w:r w:rsidR="00076C50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>=</w:t>
      </w:r>
      <w:r w:rsidR="006D31B6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 </w:t>
      </w:r>
      <w:r w:rsidR="00076C50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>0.094)</w:t>
      </w:r>
      <w:r w:rsidRPr="007C7807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>, PTGER4 (Prostaglandin E 2 receptor 4)</w:t>
      </w:r>
      <w:r w:rsidR="00076C50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 (</w:t>
      </w:r>
      <w:r w:rsidR="00076C50" w:rsidRPr="006D31B6">
        <w:rPr>
          <w:rFonts w:ascii="Times New Roman" w:eastAsia="宋体" w:hAnsi="Times New Roman" w:cs="Times New Roman"/>
          <w:i/>
          <w:iCs/>
          <w:color w:val="414246"/>
          <w:sz w:val="24"/>
          <w:szCs w:val="24"/>
          <w:shd w:val="clear" w:color="auto" w:fill="FFFFFF"/>
        </w:rPr>
        <w:t>p</w:t>
      </w:r>
      <w:r w:rsidR="006D31B6">
        <w:rPr>
          <w:rFonts w:ascii="Times New Roman" w:eastAsia="宋体" w:hAnsi="Times New Roman" w:cs="Times New Roman"/>
          <w:i/>
          <w:iCs/>
          <w:color w:val="414246"/>
          <w:sz w:val="24"/>
          <w:szCs w:val="24"/>
          <w:shd w:val="clear" w:color="auto" w:fill="FFFFFF"/>
        </w:rPr>
        <w:t xml:space="preserve"> </w:t>
      </w:r>
      <w:r w:rsidR="00076C50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>=</w:t>
      </w:r>
      <w:r w:rsidR="006D31B6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 </w:t>
      </w:r>
      <w:r w:rsidR="00076C50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>0.338)</w:t>
      </w:r>
      <w:r w:rsidRPr="007C7807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>, PDCD1 (</w:t>
      </w:r>
      <w:bookmarkStart w:id="1" w:name="_Hlk134295725"/>
      <w:r w:rsidRPr="007C7807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>PD-1)</w:t>
      </w:r>
      <w:r w:rsidR="00076C50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 (</w:t>
      </w:r>
      <w:r w:rsidR="00076C50" w:rsidRPr="006D31B6">
        <w:rPr>
          <w:rFonts w:ascii="Times New Roman" w:eastAsia="宋体" w:hAnsi="Times New Roman" w:cs="Times New Roman"/>
          <w:i/>
          <w:iCs/>
          <w:color w:val="414246"/>
          <w:sz w:val="24"/>
          <w:szCs w:val="24"/>
          <w:shd w:val="clear" w:color="auto" w:fill="FFFFFF"/>
        </w:rPr>
        <w:t>p</w:t>
      </w:r>
      <w:r w:rsidR="006D31B6">
        <w:rPr>
          <w:rFonts w:ascii="Times New Roman" w:eastAsia="宋体" w:hAnsi="Times New Roman" w:cs="Times New Roman"/>
          <w:i/>
          <w:iCs/>
          <w:color w:val="414246"/>
          <w:sz w:val="24"/>
          <w:szCs w:val="24"/>
          <w:shd w:val="clear" w:color="auto" w:fill="FFFFFF"/>
        </w:rPr>
        <w:t xml:space="preserve"> </w:t>
      </w:r>
      <w:r w:rsidR="00076C50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>=</w:t>
      </w:r>
      <w:r w:rsidR="006D31B6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 </w:t>
      </w:r>
      <w:r w:rsidR="00076C50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>0.105),</w:t>
      </w:r>
      <w:r w:rsidRPr="007C7807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 CD274 (PD-L1</w:t>
      </w:r>
      <w:bookmarkEnd w:id="1"/>
      <w:r w:rsidRPr="007C7807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>)</w:t>
      </w:r>
      <w:r w:rsidR="00076C50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 (</w:t>
      </w:r>
      <w:r w:rsidR="00076C50" w:rsidRPr="006D31B6">
        <w:rPr>
          <w:rFonts w:ascii="Times New Roman" w:eastAsia="宋体" w:hAnsi="Times New Roman" w:cs="Times New Roman"/>
          <w:i/>
          <w:iCs/>
          <w:color w:val="414246"/>
          <w:sz w:val="24"/>
          <w:szCs w:val="24"/>
          <w:shd w:val="clear" w:color="auto" w:fill="FFFFFF"/>
        </w:rPr>
        <w:t>p</w:t>
      </w:r>
      <w:r w:rsidR="006D31B6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 </w:t>
      </w:r>
      <w:r w:rsidR="00076C50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>=</w:t>
      </w:r>
      <w:r w:rsidR="006D31B6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 </w:t>
      </w:r>
      <w:r w:rsidR="00076C50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>0.096)</w:t>
      </w:r>
      <w:r w:rsidRPr="007C7807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>, EOMES</w:t>
      </w:r>
      <w:r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 (</w:t>
      </w:r>
      <w:proofErr w:type="spellStart"/>
      <w:r w:rsidRPr="0081461E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>Eomesodermin</w:t>
      </w:r>
      <w:proofErr w:type="spellEnd"/>
      <w:r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>)</w:t>
      </w:r>
      <w:r w:rsidR="00076C50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 (</w:t>
      </w:r>
      <w:r w:rsidR="00076C50" w:rsidRPr="006D31B6">
        <w:rPr>
          <w:rFonts w:ascii="Times New Roman" w:eastAsia="宋体" w:hAnsi="Times New Roman" w:cs="Times New Roman"/>
          <w:i/>
          <w:iCs/>
          <w:color w:val="414246"/>
          <w:sz w:val="24"/>
          <w:szCs w:val="24"/>
          <w:shd w:val="clear" w:color="auto" w:fill="FFFFFF"/>
        </w:rPr>
        <w:t>p</w:t>
      </w:r>
      <w:r w:rsidR="006D31B6">
        <w:rPr>
          <w:rFonts w:ascii="Times New Roman" w:eastAsia="宋体" w:hAnsi="Times New Roman" w:cs="Times New Roman"/>
          <w:i/>
          <w:iCs/>
          <w:color w:val="414246"/>
          <w:sz w:val="24"/>
          <w:szCs w:val="24"/>
          <w:shd w:val="clear" w:color="auto" w:fill="FFFFFF"/>
        </w:rPr>
        <w:t xml:space="preserve"> </w:t>
      </w:r>
      <w:r w:rsidR="00076C50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>=</w:t>
      </w:r>
      <w:r w:rsidR="006D31B6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 </w:t>
      </w:r>
      <w:r w:rsidR="00076C50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>0.108)</w:t>
      </w:r>
      <w:r w:rsidRPr="007C7807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>, and LAG3</w:t>
      </w:r>
      <w:r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 (</w:t>
      </w:r>
      <w:r w:rsidRPr="0081461E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>Lymphocyte activation gene 3</w:t>
      </w:r>
      <w:r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>)</w:t>
      </w:r>
      <w:r w:rsidR="00076C50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 (</w:t>
      </w:r>
      <w:r w:rsidR="00076C50" w:rsidRPr="006D31B6">
        <w:rPr>
          <w:rFonts w:ascii="Times New Roman" w:eastAsia="宋体" w:hAnsi="Times New Roman" w:cs="Times New Roman"/>
          <w:i/>
          <w:iCs/>
          <w:color w:val="414246"/>
          <w:sz w:val="24"/>
          <w:szCs w:val="24"/>
          <w:shd w:val="clear" w:color="auto" w:fill="FFFFFF"/>
        </w:rPr>
        <w:t>p</w:t>
      </w:r>
      <w:r w:rsidR="006D31B6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 </w:t>
      </w:r>
      <w:r w:rsidR="00076C50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>=</w:t>
      </w:r>
      <w:r w:rsidR="006D31B6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 </w:t>
      </w:r>
      <w:r w:rsidR="00076C50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>0.161)</w:t>
      </w:r>
      <w:r w:rsidRPr="0081461E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 </w:t>
      </w:r>
      <w:r w:rsidRPr="007C7807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>were higher than those in the SQCC group, but the differences were not significant (</w:t>
      </w:r>
      <w:r w:rsidRPr="006D31B6">
        <w:rPr>
          <w:rFonts w:ascii="Times New Roman" w:eastAsia="宋体" w:hAnsi="Times New Roman" w:cs="Times New Roman"/>
          <w:i/>
          <w:iCs/>
          <w:color w:val="414246"/>
          <w:sz w:val="24"/>
          <w:szCs w:val="24"/>
          <w:shd w:val="clear" w:color="auto" w:fill="FFFFFF"/>
        </w:rPr>
        <w:t>p</w:t>
      </w:r>
      <w:r w:rsidRPr="007C7807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 &gt; 0.05).</w:t>
      </w:r>
      <w:bookmarkEnd w:id="0"/>
      <w:r w:rsidRPr="007C7807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 This suggests that the abundance of depleted CD8+ T cells and their depletion </w:t>
      </w:r>
      <w:r w:rsidR="00076C50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>may</w:t>
      </w:r>
      <w:r w:rsidRPr="007C7807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 be higher in ADC than in SQCC</w:t>
      </w:r>
      <w:r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, thus ADC </w:t>
      </w:r>
      <w:r w:rsidR="00076C50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>may be</w:t>
      </w:r>
      <w:r w:rsidRPr="007C7807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 more likely to benefit from immune checkpoint inhibitor therapy.</w:t>
      </w:r>
    </w:p>
    <w:p w14:paraId="43526371" w14:textId="1601E1B6" w:rsidR="00376847" w:rsidRDefault="00D00AA7" w:rsidP="00376847">
      <w:pPr>
        <w:autoSpaceDE w:val="0"/>
        <w:autoSpaceDN w:val="0"/>
        <w:adjustRightInd w:val="0"/>
        <w:jc w:val="center"/>
      </w:pPr>
      <w:r>
        <w:rPr>
          <w:noProof/>
        </w:rPr>
        <w:lastRenderedPageBreak/>
        <w:drawing>
          <wp:inline distT="0" distB="0" distL="0" distR="0" wp14:anchorId="613CC02F" wp14:editId="0636FBB6">
            <wp:extent cx="5274310" cy="5020236"/>
            <wp:effectExtent l="19050" t="19050" r="21590" b="28575"/>
            <wp:docPr id="125938687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386870" name="图片 1259386870"/>
                    <pic:cNvPicPr/>
                  </pic:nvPicPr>
                  <pic:blipFill rotWithShape="1">
                    <a:blip r:embed="rId7"/>
                    <a:srcRect b="32710"/>
                    <a:stretch/>
                  </pic:blipFill>
                  <pic:spPr bwMode="auto">
                    <a:xfrm>
                      <a:off x="0" y="0"/>
                      <a:ext cx="5274310" cy="502023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DC2BD" w14:textId="1991D6B7" w:rsidR="00376847" w:rsidRPr="000E238C" w:rsidRDefault="00376847" w:rsidP="00376847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b/>
          <w:bCs/>
          <w:color w:val="414246"/>
          <w:sz w:val="24"/>
          <w:szCs w:val="24"/>
          <w:shd w:val="clear" w:color="auto" w:fill="FFFFFF"/>
        </w:rPr>
      </w:pPr>
      <w:r>
        <w:rPr>
          <w:rFonts w:ascii="Times New Roman" w:eastAsia="宋体" w:hAnsi="Times New Roman" w:cs="Times New Roman"/>
          <w:b/>
          <w:bCs/>
          <w:color w:val="414246"/>
          <w:sz w:val="24"/>
          <w:szCs w:val="24"/>
          <w:shd w:val="clear" w:color="auto" w:fill="FFFFFF"/>
        </w:rPr>
        <w:t xml:space="preserve">Figure </w:t>
      </w:r>
      <w:r w:rsidR="00076C50">
        <w:rPr>
          <w:rFonts w:ascii="Times New Roman" w:eastAsia="宋体" w:hAnsi="Times New Roman" w:cs="Times New Roman"/>
          <w:b/>
          <w:bCs/>
          <w:color w:val="414246"/>
          <w:sz w:val="24"/>
          <w:szCs w:val="24"/>
          <w:shd w:val="clear" w:color="auto" w:fill="FFFFFF"/>
        </w:rPr>
        <w:t>S2</w:t>
      </w:r>
      <w:r w:rsidRPr="000E238C">
        <w:rPr>
          <w:rFonts w:ascii="Times New Roman" w:eastAsia="宋体" w:hAnsi="Times New Roman" w:cs="Times New Roman"/>
          <w:b/>
          <w:bCs/>
          <w:color w:val="414246"/>
          <w:sz w:val="24"/>
          <w:szCs w:val="24"/>
          <w:shd w:val="clear" w:color="auto" w:fill="FFFFFF"/>
        </w:rPr>
        <w:t xml:space="preserve">. Expression analysis of exhausted CD8+ T cell-associated genes between groups of MPLC </w:t>
      </w:r>
      <w:r w:rsidR="00F372FE">
        <w:rPr>
          <w:rFonts w:ascii="Times New Roman" w:eastAsia="宋体" w:hAnsi="Times New Roman" w:cs="Times New Roman"/>
          <w:b/>
          <w:bCs/>
          <w:color w:val="414246"/>
          <w:sz w:val="24"/>
          <w:szCs w:val="24"/>
          <w:shd w:val="clear" w:color="auto" w:fill="FFFFFF"/>
        </w:rPr>
        <w:t>ADC</w:t>
      </w:r>
      <w:r w:rsidRPr="000E238C">
        <w:rPr>
          <w:rFonts w:ascii="Times New Roman" w:eastAsia="宋体" w:hAnsi="Times New Roman" w:cs="Times New Roman"/>
          <w:b/>
          <w:bCs/>
          <w:color w:val="414246"/>
          <w:sz w:val="24"/>
          <w:szCs w:val="24"/>
          <w:shd w:val="clear" w:color="auto" w:fill="FFFFFF"/>
        </w:rPr>
        <w:t xml:space="preserve"> and </w:t>
      </w:r>
      <w:r w:rsidR="00F372FE">
        <w:rPr>
          <w:rFonts w:ascii="Times New Roman" w:eastAsia="宋体" w:hAnsi="Times New Roman" w:cs="Times New Roman"/>
          <w:b/>
          <w:bCs/>
          <w:color w:val="414246"/>
          <w:sz w:val="24"/>
          <w:szCs w:val="24"/>
          <w:shd w:val="clear" w:color="auto" w:fill="FFFFFF"/>
        </w:rPr>
        <w:t>SQCC</w:t>
      </w:r>
      <w:r w:rsidRPr="000E238C">
        <w:rPr>
          <w:rFonts w:ascii="Times New Roman" w:eastAsia="宋体" w:hAnsi="Times New Roman" w:cs="Times New Roman"/>
          <w:b/>
          <w:bCs/>
          <w:color w:val="414246"/>
          <w:sz w:val="24"/>
          <w:szCs w:val="24"/>
          <w:shd w:val="clear" w:color="auto" w:fill="FFFFFF"/>
        </w:rPr>
        <w:t xml:space="preserve"> </w:t>
      </w:r>
      <w:r w:rsidR="00F372FE">
        <w:rPr>
          <w:rFonts w:ascii="Times New Roman" w:eastAsia="宋体" w:hAnsi="Times New Roman" w:cs="Times New Roman"/>
          <w:b/>
          <w:bCs/>
          <w:color w:val="414246"/>
          <w:sz w:val="24"/>
          <w:szCs w:val="24"/>
          <w:shd w:val="clear" w:color="auto" w:fill="FFFFFF"/>
        </w:rPr>
        <w:t>lesion</w:t>
      </w:r>
      <w:r w:rsidRPr="000E238C">
        <w:rPr>
          <w:rFonts w:ascii="Times New Roman" w:eastAsia="宋体" w:hAnsi="Times New Roman" w:cs="Times New Roman"/>
          <w:b/>
          <w:bCs/>
          <w:color w:val="414246"/>
          <w:sz w:val="24"/>
          <w:szCs w:val="24"/>
          <w:shd w:val="clear" w:color="auto" w:fill="FFFFFF"/>
        </w:rPr>
        <w:t xml:space="preserve">s. </w:t>
      </w:r>
    </w:p>
    <w:p w14:paraId="6CE49A95" w14:textId="1DB2A4FA" w:rsidR="00376847" w:rsidRPr="000E238C" w:rsidRDefault="00376847" w:rsidP="00376847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</w:pPr>
      <w:r w:rsidRPr="000E238C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>A, heat map</w:t>
      </w:r>
      <w:r w:rsidR="009419E2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 </w:t>
      </w:r>
      <w:r w:rsidR="009419E2" w:rsidRPr="009419E2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of exhausted CD8+ T cell-associated genes </w:t>
      </w:r>
      <w:r w:rsidR="009419E2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expression </w:t>
      </w:r>
      <w:r w:rsidR="009419E2" w:rsidRPr="009419E2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between </w:t>
      </w:r>
      <w:r w:rsidR="009419E2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two </w:t>
      </w:r>
      <w:r w:rsidR="009419E2" w:rsidRPr="009419E2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>groups</w:t>
      </w:r>
      <w:r w:rsidRPr="000E238C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>; B, paired scatter-link plot</w:t>
      </w:r>
      <w:r w:rsidR="0030308F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 of </w:t>
      </w:r>
      <w:r w:rsidR="0030308F" w:rsidRPr="007C7807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>CD244, PTGER4 (Prostaglandin E 2 receptor 4), PDCD1 (PD-1)</w:t>
      </w:r>
      <w:r w:rsidR="0030308F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>,</w:t>
      </w:r>
      <w:r w:rsidR="0030308F" w:rsidRPr="007C7807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 CD274 (PD-L1), EOMES</w:t>
      </w:r>
      <w:r w:rsidR="0030308F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 (</w:t>
      </w:r>
      <w:proofErr w:type="spellStart"/>
      <w:r w:rsidR="0030308F" w:rsidRPr="0081461E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>Eomesodermin</w:t>
      </w:r>
      <w:proofErr w:type="spellEnd"/>
      <w:r w:rsidR="0030308F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>)</w:t>
      </w:r>
      <w:r w:rsidR="0030308F" w:rsidRPr="007C7807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>, and LAG3</w:t>
      </w:r>
      <w:r w:rsidR="0030308F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 (</w:t>
      </w:r>
      <w:r w:rsidR="0030308F" w:rsidRPr="0081461E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>Lymphocyte activation gene 3</w:t>
      </w:r>
      <w:r w:rsidR="0030308F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) </w:t>
      </w:r>
      <w:r w:rsidR="009419E2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expression </w:t>
      </w:r>
      <w:r w:rsidR="009419E2" w:rsidRPr="009419E2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between </w:t>
      </w:r>
      <w:r w:rsidR="009419E2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 xml:space="preserve">two </w:t>
      </w:r>
      <w:r w:rsidR="009419E2" w:rsidRPr="009419E2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>groups</w:t>
      </w:r>
      <w:r w:rsidR="009419E2">
        <w:rPr>
          <w:rFonts w:ascii="Times New Roman" w:eastAsia="宋体" w:hAnsi="Times New Roman" w:cs="Times New Roman"/>
          <w:color w:val="414246"/>
          <w:sz w:val="24"/>
          <w:szCs w:val="24"/>
          <w:shd w:val="clear" w:color="auto" w:fill="FFFFFF"/>
        </w:rPr>
        <w:t>.</w:t>
      </w:r>
    </w:p>
    <w:p w14:paraId="7AB119DA" w14:textId="77777777" w:rsidR="00FE65B3" w:rsidRDefault="00FE65B3" w:rsidP="00FE65B3">
      <w:pPr>
        <w:autoSpaceDE w:val="0"/>
        <w:autoSpaceDN w:val="0"/>
        <w:adjustRightInd w:val="0"/>
        <w:jc w:val="left"/>
      </w:pPr>
    </w:p>
    <w:p w14:paraId="7DAAF9F8" w14:textId="77777777" w:rsidR="00FE65B3" w:rsidRDefault="00FE65B3" w:rsidP="00FE65B3">
      <w:pPr>
        <w:autoSpaceDE w:val="0"/>
        <w:autoSpaceDN w:val="0"/>
        <w:adjustRightInd w:val="0"/>
        <w:jc w:val="left"/>
      </w:pPr>
    </w:p>
    <w:p w14:paraId="185592BE" w14:textId="77777777" w:rsidR="00FE65B3" w:rsidRDefault="00FE65B3" w:rsidP="00FE65B3">
      <w:pPr>
        <w:autoSpaceDE w:val="0"/>
        <w:autoSpaceDN w:val="0"/>
        <w:adjustRightInd w:val="0"/>
        <w:jc w:val="left"/>
      </w:pPr>
    </w:p>
    <w:p w14:paraId="56F5DFAD" w14:textId="23449003" w:rsidR="00FE65B3" w:rsidRDefault="00FE65B3" w:rsidP="00FE65B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fldChar w:fldCharType="begin"/>
      </w:r>
      <w:r>
        <w:instrText xml:space="preserve"> ADDIN NE.Bib</w:instrText>
      </w:r>
      <w:r>
        <w:fldChar w:fldCharType="separate"/>
      </w:r>
    </w:p>
    <w:p w14:paraId="3192C531" w14:textId="77777777" w:rsidR="00FE65B3" w:rsidRDefault="00FE65B3" w:rsidP="00FE65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kern w:val="0"/>
          <w:sz w:val="40"/>
          <w:szCs w:val="40"/>
        </w:rPr>
        <w:t>References:</w:t>
      </w:r>
    </w:p>
    <w:p w14:paraId="66A3BE5E" w14:textId="77777777" w:rsidR="00FE65B3" w:rsidRDefault="00FE65B3" w:rsidP="00FE65B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/>
          <w:kern w:val="0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color w:val="000000"/>
          <w:kern w:val="0"/>
          <w:sz w:val="20"/>
          <w:szCs w:val="20"/>
        </w:rPr>
        <w:tab/>
        <w:t xml:space="preserve">Budimir, N., Thomas, G. D., Dolina, J. S. &amp; </w:t>
      </w:r>
      <w:proofErr w:type="spellStart"/>
      <w:r>
        <w:rPr>
          <w:rFonts w:ascii="Times New Roman" w:hAnsi="Times New Roman" w:cs="Times New Roman"/>
          <w:color w:val="000000"/>
          <w:kern w:val="0"/>
          <w:sz w:val="20"/>
          <w:szCs w:val="20"/>
        </w:rPr>
        <w:t>Salek-Ardakani</w:t>
      </w:r>
      <w:proofErr w:type="spellEnd"/>
      <w:r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, S., Reversing T-cell Exhaustion in Cancer: Lessons Learned from PD-1/PD-L1 </w:t>
      </w:r>
      <w:proofErr w:type="gramStart"/>
      <w:r>
        <w:rPr>
          <w:rFonts w:ascii="Times New Roman" w:hAnsi="Times New Roman" w:cs="Times New Roman"/>
          <w:color w:val="000000"/>
          <w:kern w:val="0"/>
          <w:sz w:val="20"/>
          <w:szCs w:val="20"/>
        </w:rPr>
        <w:t>Immune  Checkpoint</w:t>
      </w:r>
      <w:proofErr w:type="gramEnd"/>
      <w:r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 Blockade. </w:t>
      </w:r>
      <w:r>
        <w:rPr>
          <w:rFonts w:ascii="Times New Roman" w:hAnsi="Times New Roman" w:cs="Times New Roman"/>
          <w:i/>
          <w:iCs/>
          <w:color w:val="000000"/>
          <w:kern w:val="0"/>
          <w:sz w:val="20"/>
          <w:szCs w:val="20"/>
        </w:rPr>
        <w:t>CANCER IMMUNOL RES</w:t>
      </w:r>
      <w:r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kern w:val="0"/>
          <w:sz w:val="20"/>
          <w:szCs w:val="20"/>
        </w:rPr>
        <w:t>10</w:t>
      </w:r>
      <w:r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 146 (2022).</w:t>
      </w:r>
    </w:p>
    <w:p w14:paraId="32CB069F" w14:textId="77777777" w:rsidR="00FE65B3" w:rsidRDefault="00FE65B3" w:rsidP="00FE65B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/>
          <w:kern w:val="0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color w:val="000000"/>
          <w:kern w:val="0"/>
          <w:sz w:val="20"/>
          <w:szCs w:val="20"/>
        </w:rPr>
        <w:tab/>
        <w:t>Hsu, C. L.</w:t>
      </w:r>
      <w:r>
        <w:rPr>
          <w:rFonts w:ascii="Times New Roman" w:hAnsi="Times New Roman" w:cs="Times New Roman"/>
          <w:i/>
          <w:iCs/>
          <w:color w:val="000000"/>
          <w:kern w:val="0"/>
          <w:sz w:val="20"/>
          <w:szCs w:val="20"/>
        </w:rPr>
        <w:t xml:space="preserve"> et al.</w:t>
      </w:r>
      <w:r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, Exploring Markers of Exhausted CD8 T Cells to Predict Response to </w:t>
      </w:r>
      <w:proofErr w:type="gramStart"/>
      <w:r>
        <w:rPr>
          <w:rFonts w:ascii="Times New Roman" w:hAnsi="Times New Roman" w:cs="Times New Roman"/>
          <w:color w:val="000000"/>
          <w:kern w:val="0"/>
          <w:sz w:val="20"/>
          <w:szCs w:val="20"/>
        </w:rPr>
        <w:t>Immune  Checkpoint</w:t>
      </w:r>
      <w:proofErr w:type="gramEnd"/>
      <w:r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 Inhibitor Therapy for Hepatocellular Carcinoma. </w:t>
      </w:r>
      <w:r>
        <w:rPr>
          <w:rFonts w:ascii="Times New Roman" w:hAnsi="Times New Roman" w:cs="Times New Roman"/>
          <w:i/>
          <w:iCs/>
          <w:color w:val="000000"/>
          <w:kern w:val="0"/>
          <w:sz w:val="20"/>
          <w:szCs w:val="20"/>
        </w:rPr>
        <w:t>Liver Cancer</w:t>
      </w:r>
      <w:r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kern w:val="0"/>
          <w:sz w:val="20"/>
          <w:szCs w:val="20"/>
        </w:rPr>
        <w:t>10</w:t>
      </w:r>
      <w:r>
        <w:rPr>
          <w:rFonts w:ascii="Times New Roman" w:hAnsi="Times New Roman" w:cs="Times New Roman"/>
          <w:color w:val="000000"/>
          <w:kern w:val="0"/>
          <w:sz w:val="20"/>
          <w:szCs w:val="20"/>
        </w:rPr>
        <w:t xml:space="preserve"> 346 (2021).</w:t>
      </w:r>
    </w:p>
    <w:p w14:paraId="32FA4BD1" w14:textId="6EB9D82B" w:rsidR="003549A0" w:rsidRPr="00FE65B3" w:rsidRDefault="00FE65B3" w:rsidP="00FE65B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fldChar w:fldCharType="end"/>
      </w:r>
      <w:r>
        <w:fldChar w:fldCharType="begin"/>
      </w:r>
      <w:r>
        <w:instrText xml:space="preserve"> ADDIN NE.Rep</w:instrText>
      </w:r>
      <w:r>
        <w:fldChar w:fldCharType="separate"/>
      </w:r>
      <w:r>
        <w:fldChar w:fldCharType="end"/>
      </w:r>
    </w:p>
    <w:sectPr w:rsidR="003549A0" w:rsidRPr="00FE65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8FB8A1" w14:textId="77777777" w:rsidR="004C6852" w:rsidRDefault="004C6852" w:rsidP="00433F2E">
      <w:r>
        <w:separator/>
      </w:r>
    </w:p>
  </w:endnote>
  <w:endnote w:type="continuationSeparator" w:id="0">
    <w:p w14:paraId="76ADA7BA" w14:textId="77777777" w:rsidR="004C6852" w:rsidRDefault="004C6852" w:rsidP="00433F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60B47" w14:textId="77777777" w:rsidR="004C6852" w:rsidRDefault="004C6852" w:rsidP="00433F2E">
      <w:r>
        <w:separator/>
      </w:r>
    </w:p>
  </w:footnote>
  <w:footnote w:type="continuationSeparator" w:id="0">
    <w:p w14:paraId="4DAF7B99" w14:textId="77777777" w:rsidR="004C6852" w:rsidRDefault="004C6852" w:rsidP="00433F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NE.Ref{6BF7D609-9B71-4318-B933-C51AAD1425C3}" w:val=" ADDIN NE.Ref.{6BF7D609-9B71-4318-B933-C51AAD1425C3}&lt;Citation&gt;&lt;Group&gt;&lt;References&gt;&lt;Item&gt;&lt;ID&gt;985&lt;/ID&gt;&lt;UID&gt;{2EF49D1B-18E8-4B38-8486-B9CE29472015}&lt;/UID&gt;&lt;Title&gt;Exploring Markers of Exhausted CD8 T Cells to Predict Response to Immune  Checkpoint Inhibitor Therapy for Hepatocellular Carcinoma&lt;/Title&gt;&lt;Template&gt;Journal Article&lt;/Template&gt;&lt;Star&gt;0&lt;/Star&gt;&lt;Tag&gt;0&lt;/Tag&gt;&lt;Author&gt;Hsu, C L; Ou, D L; Bai, L Y; Chen, C W; Lin, L; Huang, S F; Cheng, A L; Jeng, Y M; Hsu, C&lt;/Author&gt;&lt;Year&gt;2021&lt;/Year&gt;&lt;Details&gt;&lt;_accession_num&gt;34414122&lt;/_accession_num&gt;&lt;_author_adr&gt;Department of Medical Research, National Taiwan University Hospital, Taipei,  Taiwan.; Graduate Institute of Oncology, National Taiwan University College of Medicine,  Taipei, Taiwan.; Graduate Institute of Medical Genomics and Proteomics, National Taiwan University  College of Medicine, Taipei, Taiwan.; Graduate Institute of Oncology, National Taiwan University College of Medicine,  Taipei, Taiwan.; Division of Hematology and Oncology, Department of Internal Medicine, China  Medical University Hospital and China Medical University, Taichung, Taiwan.; Graduate Institute of Oncology, National Taiwan University College of Medicine,  Taipei, Taiwan.; Graduate Institute of Oncology, National Taiwan University College of Medicine,  Taipei, Taiwan.; Institute of Molecular and Genomic Medicine, National Health Research Institutes,  Miaoli, Taiwan.; National Taiwan University Cancer Center, Taipei, Taiwan.; Department of Oncology, National Taiwan University Hospital, Taipei, Taiwan.; Department of Internal Medicine, National Taiwan University Hospital, Taipei,  Taiwan.; Department of Pathology, National Taiwan University Hospital, Taipei, Taiwan.; Graduate Institute of Oncology, National Taiwan University College of Medicine,  Taipei, Taiwan.; National Taiwan University Cancer Center, Taipei, Taiwan.; Department of Oncology, National Taiwan University Hospital, Taipei, Taiwan.&lt;/_author_adr&gt;&lt;_created&gt;64813812&lt;/_created&gt;&lt;_date&gt;2021-07-01&lt;/_date&gt;&lt;_date_display&gt;2021 Jul&lt;/_date_display&gt;&lt;_db_updated&gt;PubMed&lt;/_db_updated&gt;&lt;_doi&gt;10.1159/000515305&lt;/_doi&gt;&lt;_impact_factor&gt;  11.740&lt;/_impact_factor&gt;&lt;_isbn&gt;2235-1795 (Print); 1664-5553 (Electronic); 1664-5553 (Linking)&lt;/_isbn&gt;&lt;_issue&gt;4&lt;/_issue&gt;&lt;_journal&gt;Liver Cancer&lt;/_journal&gt;&lt;_keywords&gt;Anti-PD-1; Anti-PD-L1; Immune checkpoint inhibitor; T-cell exhaustion; Tumor microenvironment&lt;/_keywords&gt;&lt;_language&gt;eng&lt;/_language&gt;&lt;_modified&gt;64813812&lt;/_modified&gt;&lt;_ori_publication&gt;Copyright (c) 2021 by S. Karger AG, Basel.&lt;/_ori_publication&gt;&lt;_pages&gt;346-359&lt;/_pages&gt;&lt;_tertiary_title&gt;Liver cancer&lt;/_tertiary_title&gt;&lt;_type_work&gt;Journal Article&lt;/_type_work&gt;&lt;_url&gt;http://www.ncbi.nlm.nih.gov/entrez/query.fcgi?cmd=Retrieve&amp;amp;db=pubmed&amp;amp;dopt=Abstract&amp;amp;list_uids=34414122&amp;amp;query_hl=1&lt;/_url&gt;&lt;_volume&gt;10&lt;/_volume&gt;&lt;/Details&gt;&lt;Extra&gt;&lt;DBUID&gt;{F96A950B-833F-4880-A151-76DA2D6A2879}&lt;/DBUID&gt;&lt;/Extra&gt;&lt;/Item&gt;&lt;/References&gt;&lt;/Group&gt;&lt;/Citation&gt;_x000a_"/>
    <w:docVar w:name="NE.Ref{7D32D2FD-AE7E-4BA4-9175-18E0539453EB}" w:val=" ADDIN NE.Ref.{7D32D2FD-AE7E-4BA4-9175-18E0539453EB} ADDIN NE.Ref.{7D32D2FD-AE7E-4BA4-9175-18E0539453EB}&lt;Citation&gt;&lt;Group&gt;&lt;References&gt;&lt;Item&gt;&lt;ID&gt;930&lt;/ID&gt;&lt;UID&gt;{FFDE9DA8-7243-4BDC-ACE2-69B1CB970E88}&lt;/UID&gt;&lt;Title&gt;HLA class I antigen downregulation in human cancers: T-cell immunotherapy revives  an old story&lt;/Title&gt;&lt;Template&gt;Journal Article&lt;/Template&gt;&lt;Star&gt;0&lt;/Star&gt;&lt;Tag&gt;0&lt;/Tag&gt;&lt;Author&gt;Hicklin, D J; Marincola, F M; Ferrone, S&lt;/Author&gt;&lt;Year&gt;1999&lt;/Year&gt;&lt;Details&gt;&lt;_accession_num&gt;10203751&lt;/_accession_num&gt;&lt;_author_adr&gt;Dept of Immunology, ImClone Systems Incorporated, New York, NY 10014, USA.&lt;/_author_adr&gt;&lt;_created&gt;64765634&lt;/_created&gt;&lt;_date&gt;1999-04-01&lt;/_date&gt;&lt;_date_display&gt;1999 Apr&lt;/_date_display&gt;&lt;_db_updated&gt;PubMed&lt;/_db_updated&gt;&lt;_doi&gt;10.1016/s1357-4310(99)01451-3&lt;/_doi&gt;&lt;_isbn&gt;1357-4310 (Print); 1357-4310 (Linking)&lt;/_isbn&gt;&lt;_issue&gt;4&lt;/_issue&gt;&lt;_journal&gt;Mol Med Today&lt;/_journal&gt;&lt;_language&gt;eng&lt;/_language&gt;&lt;_modified&gt;64765634&lt;/_modified&gt;&lt;_pages&gt;178-86&lt;/_pages&gt;&lt;_subject_headings&gt;Down-Regulation; *Gene Expression Regulation, Neoplastic; HLA Antigens/*genetics; Humans; Immunotherapy; Neoplasms/genetics/*immunology/therapy; T-Lymphocytes/*immunology&lt;/_subject_headings&gt;&lt;_tertiary_title&gt;Molecular medicine today&lt;/_tertiary_title&gt;&lt;_type_work&gt;Journal Article; Research Support, U.S. Gov&amp;apos;t, P.H.S.; Review&lt;/_type_work&gt;&lt;_url&gt;http://www.ncbi.nlm.nih.gov/entrez/query.fcgi?cmd=Retrieve&amp;amp;db=pubmed&amp;amp;dopt=Abstract&amp;amp;list_uids=10203751&amp;amp;query_hl=1&lt;/_url&gt;&lt;_volume&gt;5&lt;/_volume&gt;&lt;/Details&gt;&lt;Extra&gt;&lt;DBUID&gt;{F96A950B-833F-4880-A151-76DA2D6A2879}&lt;/DBUID&gt;&lt;/Extra&gt;&lt;/Item&gt;&lt;/References&gt;&lt;/Group&gt;&lt;/Citation&gt;_x000a_"/>
    <w:docVar w:name="NE.Ref{81F5FC1D-EEC2-4C57-A5B5-F0D6358E5973}" w:val=" ADDIN NE.Ref.{81F5FC1D-EEC2-4C57-A5B5-F0D6358E5973} ADDIN NE.Ref.{81F5FC1D-EEC2-4C57-A5B5-F0D6358E5973}&lt;Citation&gt;&lt;Group&gt;&lt;References&gt;&lt;Item&gt;&lt;ID&gt;929&lt;/ID&gt;&lt;UID&gt;{FF3EAB73-AC28-41FE-8B72-41D88E00E714}&lt;/UID&gt;&lt;Title&gt;Patient HLA class I genotype influences cancer response to checkpoint blockade  immunotherapy&lt;/Title&gt;&lt;Template&gt;Journal Article&lt;/Template&gt;&lt;Star&gt;0&lt;/Star&gt;&lt;Tag&gt;0&lt;/Tag&gt;&lt;Author&gt;Chowell, D; Morris, LGT; Grigg, C M; Weber, J K; Samstein, R M; Makarov, V; Kuo, F; Kendall, S M; Requena, D; Riaz, N; Greenbaum, B; Carroll, J; Garon, E; Hyman, D M; Zehir, A; Solit, D; Berger, M; Zhou, R; Rizvi, N A; Chan, T A&lt;/Author&gt;&lt;Year&gt;2018&lt;/Year&gt;&lt;Details&gt;&lt;_accession_num&gt;29217585&lt;/_accession_num&gt;&lt;_author_adr&gt;Human Oncology and Pathogenesis Program, Memorial Sloan Kettering Cancer Center,  New York, NY 10065, USA.; Immunogenomics and Precision Oncology Platform, Memorial Sloan Kettering Cancer  Center, New York, NY 10065, USA.; Immunogenomics and Precision Oncology Platform, Memorial Sloan Kettering Cancer  Center, New York, NY 10065, USA.; Department of Surgery, Memorial Sloan Kettering Cancer Center, New York, NY  10065, USA.; NewYork-Presbyterian/Columbia University Medical Center, 177 Fort Washington  Avenue, New York, NY 10032, USA.; IBM Thomas J. Watson Research Center, Yorktown Heights, NY 10598, USA.; Human Oncology and Pathogenesis Program, Memorial Sloan Kettering Cancer Center,  New York, NY 10065, USA.; Immunogenomics and Precision Oncology Platform, Memorial Sloan Kettering Cancer  Center, New York, NY 10065, USA.; Human Oncology and Pathogenesis Program, Memorial Sloan Kettering Cancer Center,  New York, NY 10065, USA.; Immunogenomics and Precision Oncology Platform, Memorial Sloan Kettering Cancer  Center, New York, NY 10065, USA.; Human Oncology and Pathogenesis Program, Memorial Sloan Kettering Cancer Center,  New York, NY 10065, USA.; Immunogenomics and Precision Oncology Platform, Memorial Sloan Kettering Cancer  Center, New York, NY 10065, USA.; Human Oncology and Pathogenesis Program, Memorial Sloan Kettering Cancer Center,  New York, NY 10065, USA.; Immunogenomics and Precision Oncology Platform, Memorial Sloan Kettering Cancer  Center, New York, NY 10065, USA.; Laboratory of Cellular Biophysics, The Rockefeller University, New York, NY  10065, USA.; Human Oncology and Pathogenesis Program, Memorial Sloan Kettering Cancer Center,  New York, NY 10065, USA.; Immunogenomics and Precision Oncology Platform, Memorial Sloan Kettering Cancer  Center, New York, NY 10065, USA.; Department of Radiation Oncology, Memorial Sloan Kettering Cancer Center, New  York, NY 10065, USA.; Tisch Cancer Institute, Departments of Medicine, Oncological Sciences, and  Pathology, Icahn School of Medicine at Mount Sinai, New York, NY 10029, USA.; David Geffen School of Medicine, University of California, Los Angeles, 2825  Santa Monica Boulevard, Suite 200, Santa Monica, CA 90404, USA.; David Geffen School of Medicine, University of California, Los Angeles, 2825  Santa Monica Boulevard, Suite 200, Santa Monica, CA 90404, USA.; Department of Medicine, Memorial Sloan Kettering Cancer Center, New York, NY  10065, USA.; Weill Cornell School of Medicine, New York, NY 10065, USA.; Department of Pathology, Memorial Sloan Kettering Cancer Center, New York, NY  10065, USA.; Human Oncology and Pathogenesis Program, Memorial Sloan Kettering Cancer Center,  New York, NY 10065, USA.; Department of Medicine, Memorial Sloan Kettering Cancer Center, New York, NY  10065, USA.; Marie-Josee and Henry R. Kravis Center for Molecular Oncology, Memorial Sloan  Kettering Cancer Center, New York, NY 10065, USA.; Human Oncology and Pathogenesis Program, Memorial Sloan Kettering Cancer Center,  New York, NY 10065, USA.; Department of Pathology, Memorial Sloan Kettering Cancer Center, New York, NY  10065, USA.; Marie-Josee and Henry R. Kravis Center for Molecular Oncology, Memorial Sloan  Kettering Cancer Center, New York, NY 10065, USA.; IBM Thomas J. Watson Research Center, Yorktown Heights, NY 10598, USA.; Department of Chemistry, Columbia University, New York, NY 10027, USA.; NewYork-Presbyterian/Columbia University Medical Center, 177 Fort Washington  Avenue, New York, NY 10032, USA. chant@mskcc.org nar2144@cumc.columbia.edu.; Human Oncology and Pathogenesis Program, Memorial Sloan Kettering Cancer Center,  New York, NY 10065, USA. chant@mskcc.org nar2144@cumc.columbia.edu.; Immunogenomics and Precision Oncology Platform, Memorial Sloan Kettering Cancer  Center, New York, NY 10065, USA.; Department of Radiation Oncology, Memorial Sloan Kettering Cancer Center, New  York, NY 10065, USA.; Weill Cornell School of Medicine, New York, NY 10065, USA.&lt;/_author_adr&gt;&lt;_collection_scope&gt;SCI;SCIE&lt;/_collection_scope&gt;&lt;_created&gt;64765617&lt;/_created&gt;&lt;_date&gt;2018-02-02&lt;/_date&gt;&lt;_date_display&gt;2018 Feb 2&lt;/_date_display&gt;&lt;_db_updated&gt;PubMed&lt;/_db_updated&gt;&lt;_doi&gt;10.1126/science.aao4572&lt;/_doi&gt;&lt;_impact_factor&gt;  47.728&lt;/_impact_factor&gt;&lt;_isbn&gt;1095-9203 (Electronic); 0036-8075 (Print); 0036-8075 (Linking)&lt;/_isbn&gt;&lt;_issue&gt;6375&lt;/_issue&gt;&lt;_journal&gt;Science&lt;/_journal&gt;&lt;_language&gt;eng&lt;/_language&gt;&lt;_modified&gt;64765617&lt;/_modified&gt;&lt;_ori_publication&gt;Copyright (c) 2018 The Authors, some rights reserved; exclusive licensee American _x000d__x000a_      Association for the Advancement of Science. No claim to original U.S. Government _x000d__x000a_      Works.&lt;/_ori_publication&gt;&lt;_pages&gt;582-587&lt;/_pages&gt;&lt;_subject_headings&gt;Adult; Aged; Antigen Presentation; Antigens, Neoplasm/immunology; CD8-Positive T-Lymphocytes/immunology; CTLA-4 Antigen/*antagonists &amp;amp; inhibitors; Cancer Vaccines/immunology/therapeutic use; Cohort Studies; Genetic Carrier Screening; Histocompatibility Antigens Class I/chemistry/*genetics; Humans; Immunotherapy/*methods; Melanoma/genetics/*immunology/mortality/*therapy; Middle Aged; Programmed Cell Death 1 Receptor/*antagonists &amp;amp; inhibitors; Protein Conformation; Skin Neoplasms/genetics/*immunology/mortality/*therapy; Treatment Outcome; Young Adult&lt;/_subject_headings&gt;&lt;_tertiary_title&gt;Science (New York, N.Y.)&lt;/_tertiary_title&gt;&lt;_type_work&gt;Journal Article; Research Support, N.I.H., Extramural&lt;/_type_work&gt;&lt;_url&gt;http://www.ncbi.nlm.nih.gov/entrez/query.fcgi?cmd=Retrieve&amp;amp;db=pubmed&amp;amp;dopt=Abstract&amp;amp;list_uids=29217585&amp;amp;query_hl=1&lt;/_url&gt;&lt;_volume&gt;359&lt;/_volume&gt;&lt;/Details&gt;&lt;Extra&gt;&lt;DBUID&gt;{F96A950B-833F-4880-A151-76DA2D6A2879}&lt;/DBUID&gt;&lt;/Extra&gt;&lt;/Item&gt;&lt;/References&gt;&lt;/Group&gt;&lt;/Citation&gt;_x000a_"/>
    <w:docVar w:name="NE.Ref{BB628655-1554-4523-9986-05DCD4B85960}" w:val=" ADDIN NE.Ref.{BB628655-1554-4523-9986-05DCD4B85960} ADDIN NE.Ref.{BB628655-1554-4523-9986-05DCD4B85960}&lt;Citation&gt;&lt;Group&gt;&lt;References&gt;&lt;Item&gt;&lt;ID&gt;929&lt;/ID&gt;&lt;UID&gt;{FF3EAB73-AC28-41FE-8B72-41D88E00E714}&lt;/UID&gt;&lt;Title&gt;Patient HLA class I genotype influences cancer response to checkpoint blockade  immunotherapy&lt;/Title&gt;&lt;Template&gt;Journal Article&lt;/Template&gt;&lt;Star&gt;0&lt;/Star&gt;&lt;Tag&gt;0&lt;/Tag&gt;&lt;Author&gt;Chowell, D; Morris, LGT; Grigg, C M; Weber, J K; Samstein, R M; Makarov, V; Kuo, F; Kendall, S M; Requena, D; Riaz, N; Greenbaum, B; Carroll, J; Garon, E; Hyman, D M; Zehir, A; Solit, D; Berger, M; Zhou, R; Rizvi, N A; Chan, T A&lt;/Author&gt;&lt;Year&gt;2018&lt;/Year&gt;&lt;Details&gt;&lt;_accession_num&gt;29217585&lt;/_accession_num&gt;&lt;_author_adr&gt;Human Oncology and Pathogenesis Program, Memorial Sloan Kettering Cancer Center,  New York, NY 10065, USA.; Immunogenomics and Precision Oncology Platform, Memorial Sloan Kettering Cancer  Center, New York, NY 10065, USA.; Immunogenomics and Precision Oncology Platform, Memorial Sloan Kettering Cancer  Center, New York, NY 10065, USA.; Department of Surgery, Memorial Sloan Kettering Cancer Center, New York, NY  10065, USA.; NewYork-Presbyterian/Columbia University Medical Center, 177 Fort Washington  Avenue, New York, NY 10032, USA.; IBM Thomas J. Watson Research Center, Yorktown Heights, NY 10598, USA.; Human Oncology and Pathogenesis Program, Memorial Sloan Kettering Cancer Center,  New York, NY 10065, USA.; Immunogenomics and Precision Oncology Platform, Memorial Sloan Kettering Cancer  Center, New York, NY 10065, USA.; Human Oncology and Pathogenesis Program, Memorial Sloan Kettering Cancer Center,  New York, NY 10065, USA.; Immunogenomics and Precision Oncology Platform, Memorial Sloan Kettering Cancer  Center, New York, NY 10065, USA.; Human Oncology and Pathogenesis Program, Memorial Sloan Kettering Cancer Center,  New York, NY 10065, USA.; Immunogenomics and Precision Oncology Platform, Memorial Sloan Kettering Cancer  Center, New York, NY 10065, USA.; Human Oncology and Pathogenesis Program, Memorial Sloan Kettering Cancer Center,  New York, NY 10065, USA.; Immunogenomics and Precision Oncology Platform, Memorial Sloan Kettering Cancer  Center, New York, NY 10065, USA.; Laboratory of Cellular Biophysics, The Rockefeller University, New York, NY  10065, USA.; Human Oncology and Pathogenesis Program, Memorial Sloan Kettering Cancer Center,  New York, NY 10065, USA.; Immunogenomics and Precision Oncology Platform, Memorial Sloan Kettering Cancer  Center, New York, NY 10065, USA.; Department of Radiation Oncology, Memorial Sloan Kettering Cancer Center, New  York, NY 10065, USA.; Tisch Cancer Institute, Departments of Medicine, Oncological Sciences, and  Pathology, Icahn School of Medicine at Mount Sinai, New York, NY 10029, USA.; David Geffen School of Medicine, University of California, Los Angeles, 2825  Santa Monica Boulevard, Suite 200, Santa Monica, CA 90404, USA.; David Geffen School of Medicine, University of California, Los Angeles, 2825  Santa Monica Boulevard, Suite 200, Santa Monica, CA 90404, USA.; Department of Medicine, Memorial Sloan Kettering Cancer Center, New York, NY  10065, USA.; Weill Cornell School of Medicine, New York, NY 10065, USA.; Department of Pathology, Memorial Sloan Kettering Cancer Center, New York, NY  10065, USA.; Human Oncology and Pathogenesis Program, Memorial Sloan Kettering Cancer Center,  New York, NY 10065, USA.; Department of Medicine, Memorial Sloan Kettering Cancer Center, New York, NY  10065, USA.; Marie-Josee and Henry R. Kravis Center for Molecular Oncology, Memorial Sloan  Kettering Cancer Center, New York, NY 10065, USA.; Human Oncology and Pathogenesis Program, Memorial Sloan Kettering Cancer Center,  New York, NY 10065, USA.; Department of Pathology, Memorial Sloan Kettering Cancer Center, New York, NY  10065, USA.; Marie-Josee and Henry R. Kravis Center for Molecular Oncology, Memorial Sloan  Kettering Cancer Center, New York, NY 10065, USA.; IBM Thomas J. Watson Research Center, Yorktown Heights, NY 10598, USA.; Department of Chemistry, Columbia University, New York, NY 10027, USA.; NewYork-Presbyterian/Columbia University Medical Center, 177 Fort Washington  Avenue, New York, NY 10032, USA. chant@mskcc.org nar2144@cumc.columbia.edu.; Human Oncology and Pathogenesis Program, Memorial Sloan Kettering Cancer Center,  New York, NY 10065, USA. chant@mskcc.org nar2144@cumc.columbia.edu.; Immunogenomics and Precision Oncology Platform, Memorial Sloan Kettering Cancer  Center, New York, NY 10065, USA.; Department of Radiation Oncology, Memorial Sloan Kettering Cancer Center, New  York, NY 10065, USA.; Weill Cornell School of Medicine, New York, NY 10065, USA.&lt;/_author_adr&gt;&lt;_collection_scope&gt;SCI;SCIE&lt;/_collection_scope&gt;&lt;_created&gt;64765617&lt;/_created&gt;&lt;_date&gt;2018-02-02&lt;/_date&gt;&lt;_date_display&gt;2018 Feb 2&lt;/_date_display&gt;&lt;_db_updated&gt;PubMed&lt;/_db_updated&gt;&lt;_doi&gt;10.1126/science.aao4572&lt;/_doi&gt;&lt;_impact_factor&gt;  47.728&lt;/_impact_factor&gt;&lt;_isbn&gt;1095-9203 (Electronic); 0036-8075 (Print); 0036-8075 (Linking)&lt;/_isbn&gt;&lt;_issue&gt;6375&lt;/_issue&gt;&lt;_journal&gt;Science&lt;/_journal&gt;&lt;_language&gt;eng&lt;/_language&gt;&lt;_modified&gt;64765617&lt;/_modified&gt;&lt;_ori_publication&gt;Copyright (c) 2018 The Authors, some rights reserved; exclusive licensee American _x000d__x000a_      Association for the Advancement of Science. No claim to original U.S. Government _x000d__x000a_      Works.&lt;/_ori_publication&gt;&lt;_pages&gt;582-587&lt;/_pages&gt;&lt;_subject_headings&gt;Adult; Aged; Antigen Presentation; Antigens, Neoplasm/immunology; CD8-Positive T-Lymphocytes/immunology; CTLA-4 Antigen/*antagonists &amp;amp; inhibitors; Cancer Vaccines/immunology/therapeutic use; Cohort Studies; Genetic Carrier Screening; Histocompatibility Antigens Class I/chemistry/*genetics; Humans; Immunotherapy/*methods; Melanoma/genetics/*immunology/mortality/*therapy; Middle Aged; Programmed Cell Death 1 Receptor/*antagonists &amp;amp; inhibitors; Protein Conformation; Skin Neoplasms/genetics/*immunology/mortality/*therapy; Treatment Outcome; Young Adult&lt;/_subject_headings&gt;&lt;_tertiary_title&gt;Science (New York, N.Y.)&lt;/_tertiary_title&gt;&lt;_type_work&gt;Journal Article; Research Support, N.I.H., Extramural&lt;/_type_work&gt;&lt;_url&gt;http://www.ncbi.nlm.nih.gov/entrez/query.fcgi?cmd=Retrieve&amp;amp;db=pubmed&amp;amp;dopt=Abstract&amp;amp;list_uids=29217585&amp;amp;query_hl=1&lt;/_url&gt;&lt;_volume&gt;359&lt;/_volume&gt;&lt;/Details&gt;&lt;Extra&gt;&lt;DBUID&gt;{F96A950B-833F-4880-A151-76DA2D6A2879}&lt;/DBUID&gt;&lt;/Extra&gt;&lt;/Item&gt;&lt;/References&gt;&lt;/Group&gt;&lt;/Citation&gt;_x000a_"/>
    <w:docVar w:name="NE.Ref{E5F1E6E8-98CD-46C3-BB89-3D55BF6C2971}" w:val=" ADDIN NE.Ref.{E5F1E6E8-98CD-46C3-BB89-3D55BF6C2971}&lt;Citation&gt;&lt;Group&gt;&lt;References&gt;&lt;Item&gt;&lt;ID&gt;944&lt;/ID&gt;&lt;UID&gt;{7249FABB-32F0-4361-BDF2-4B3D812854AD}&lt;/UID&gt;&lt;Title&gt;Reversing T-cell Exhaustion in Cancer: Lessons Learned from PD-1/PD-L1 Immune  Checkpoint Blockade&lt;/Title&gt;&lt;Template&gt;Journal Article&lt;/Template&gt;&lt;Star&gt;0&lt;/Star&gt;&lt;Tag&gt;0&lt;/Tag&gt;&lt;Author&gt;Budimir, N; Thomas, G D; Dolina, J S; Salek-Ardakani, S&lt;/Author&gt;&lt;Year&gt;2022&lt;/Year&gt;&lt;Details&gt;&lt;_accession_num&gt;34937730&lt;/_accession_num&gt;&lt;_author_adr&gt;Cancer Immunology Discovery, Pfizer Inc., San Diego, California.  ssalekardakani@gmail.com natalija.budimir@gmail.com graham.thomas@pfizer.com.; Cancer Immunology Discovery, Pfizer Inc., San Diego, California.  ssalekardakani@gmail.com natalija.budimir@gmail.com graham.thomas@pfizer.com.; Cancer Immunology Discovery, Pfizer Inc., San Diego, California.; Cancer Immunology Discovery, Pfizer Inc., San Diego, California.  ssalekardakani@gmail.com natalija.budimir@gmail.com graham.thomas@pfizer.com.&lt;/_author_adr&gt;&lt;_collection_scope&gt;SCIE&lt;/_collection_scope&gt;&lt;_created&gt;64766502&lt;/_created&gt;&lt;_date&gt;2022-02-01&lt;/_date&gt;&lt;_date_display&gt;2022 Feb&lt;/_date_display&gt;&lt;_db_updated&gt;PubMed&lt;/_db_updated&gt;&lt;_doi&gt;10.1158/2326-6066.CIR-21-0515&lt;/_doi&gt;&lt;_impact_factor&gt;  11.151&lt;/_impact_factor&gt;&lt;_isbn&gt;2326-6074 (Electronic); 2326-6066 (Linking)&lt;/_isbn&gt;&lt;_issue&gt;2&lt;/_issue&gt;&lt;_journal&gt;Cancer Immunol Res&lt;/_journal&gt;&lt;_language&gt;eng&lt;/_language&gt;&lt;_modified&gt;64766502&lt;/_modified&gt;&lt;_ori_publication&gt;(c)2021 American Association for Cancer Research.&lt;/_ori_publication&gt;&lt;_pages&gt;146-153&lt;/_pages&gt;&lt;_subject_headings&gt;B7-H1 Antigen/pharmacology; CD8-Positive T-Lymphocytes; Humans; *Immune Checkpoint Inhibitors/pharmacology/therapeutic use; *Neoplasms/drug therapy; Programmed Cell Death 1 Receptor; Tumor Microenvironment&lt;/_subject_headings&gt;&lt;_tertiary_title&gt;Cancer immunology research&lt;/_tertiary_title&gt;&lt;_type_work&gt;Journal Article; Research Support, Non-U.S. Gov&amp;apos;t; Review&lt;/_type_work&gt;&lt;_url&gt;http://www.ncbi.nlm.nih.gov/entrez/query.fcgi?cmd=Retrieve&amp;amp;db=pubmed&amp;amp;dopt=Abstract&amp;amp;list_uids=34937730&amp;amp;query_hl=1&lt;/_url&gt;&lt;_volume&gt;10&lt;/_volume&gt;&lt;/Details&gt;&lt;Extra&gt;&lt;DBUID&gt;{F96A950B-833F-4880-A151-76DA2D6A2879}&lt;/DBUID&gt;&lt;/Extra&gt;&lt;/Item&gt;&lt;/References&gt;&lt;/Group&gt;&lt;/Citation&gt;_x000a_"/>
    <w:docVar w:name="NE.Ref{F247D1B2-B11B-41EA-9F0E-890BF771CEDF}" w:val=" ADDIN NE.Ref.{F247D1B2-B11B-41EA-9F0E-890BF771CEDF} ADDIN NE.Ref.{F247D1B2-B11B-41EA-9F0E-890BF771CEDF}&lt;Citation&gt;&lt;Group&gt;&lt;References&gt;&lt;Item&gt;&lt;ID&gt;968&lt;/ID&gt;&lt;UID&gt;{A4A75F4C-DE28-4B2D-BBB5-D75D93D73161}&lt;/UID&gt;&lt;Title&gt;Allele-Specific HLA Loss and Immune Escape in Lung Cancer Evolution&lt;/Title&gt;&lt;Template&gt;Journal Article&lt;/Template&gt;&lt;Star&gt;0&lt;/Star&gt;&lt;Tag&gt;0&lt;/Tag&gt;&lt;Author&gt;McGranahan, N; Rosenthal, R; Hiley, C T; Rowan, A J; Watkins, TBK; Wilson, G A; Birkbak, N J; Veeriah, S; Van Loo, P; Herrero, J; Swanton, C&lt;/Author&gt;&lt;Year&gt;2017&lt;/Year&gt;&lt;Details&gt;&lt;_accession_num&gt;29107330&lt;/_accession_num&gt;&lt;_author_adr&gt;Cancer Research UK Lung Cancer Centre of Excellence, University College London  Cancer Institute, Paul O&amp;apos;Gorman Building, 72 Huntley Street, London WC1E 6BT, UK.  Electronic address: nicholas.mcgranahan.10@ucl.ac.uk.; Cancer Research UK Lung Cancer Centre of Excellence, University College London  Cancer Institute, Paul O&amp;apos;Gorman Building, 72 Huntley Street, London WC1E 6BT, UK.; Cancer Research UK Lung Cancer Centre of Excellence, University College London  Cancer Institute, Paul O&amp;apos;Gorman Building, 72 Huntley Street, London WC1E 6BT, UK;  Division of Cancer Studies, King&amp;apos;s College London, Guy&amp;apos;s Campus, London SE1 1UL,  UK.; Translational Cancer Therapeutics Laboratory, The Francis Crick Institute, 1  Midland Rd, London NW1 1AT, UK.; Translational Cancer Therapeutics Laboratory, The Francis Crick Institute, 1  Midland Rd, London NW1 1AT, UK.; Cancer Research UK Lung Cancer Centre of Excellence, University College London  Cancer Institute, Paul O&amp;apos;Gorman Building, 72 Huntley Street, London WC1E 6BT, UK;  Translational Cancer Therapeutics Laboratory, The Francis Crick Institute, 1  Midland Rd, London NW1 1AT, UK.; Cancer Research UK Lung Cancer Centre of Excellence, University College London  Cancer Institute, Paul O&amp;apos;Gorman Building, 72 Huntley Street, London WC1E 6BT, UK;  Translational Cancer Therapeutics Laboratory, The Francis Crick Institute, 1  Midland Rd, London NW1 1AT, UK.; Cancer Research UK Lung Cancer Centre of Excellence, University College London  Cancer Institute, Paul O&amp;apos;Gorman Building, 72 Huntley Street, London WC1E 6BT, UK.; Cancer Genomics Laboratory, The Francis Crick Institute, 1 Midland Rd, London NW1  1AT, UK; Department of Human Genetics, University of Leuven, 3000 BE Leuven,  Belgium.; Bill Lyons Informatics Centre, University College London Cancer Institute, Paul  O&amp;apos;Gorman Building, 72 Huntley Street, London WC1E 6BT, UK.; Cancer Research UK Lung Cancer Centre of Excellence, University College London  Cancer Institute, Paul O&amp;apos;Gorman Building, 72 Huntley Street, London WC1E 6BT, UK;  Translational Cancer Therapeutics Laboratory, The Francis Crick Institute, 1  Midland Rd, London NW1 1AT, UK. Electronic address: charles.swanton@crick.ac.uk.&lt;/_author_adr&gt;&lt;_date_display&gt;2017 Nov 30&lt;/_date_display&gt;&lt;_date&gt;2017-11-30&lt;/_date&gt;&lt;_doi&gt;10.1016/j.cell.2017.10.001&lt;/_doi&gt;&lt;_isbn&gt;1097-4172 (Electronic); 0092-8674 (Print); 0092-8674 (Linking)&lt;/_isbn&gt;&lt;_issue&gt;6&lt;/_issue&gt;&lt;_journal&gt;Cell&lt;/_journal&gt;&lt;_keywords&gt;bioinformatics; cancer evolution; chromosomal instability; copy number; heterogeneity; immune-editing; immune-escape; loss of heterozygosity; lung cancer; neoantigen&lt;/_keywords&gt;&lt;_language&gt;eng&lt;/_language&gt;&lt;_ori_publication&gt;Copyright (c) 2017 The Francis Crick Institute. Published by Elsevier Inc. All _x000d__x000a_      rights reserved.&lt;/_ori_publication&gt;&lt;_pages&gt;1259-1271.e11&lt;/_pages&gt;&lt;_subject_headings&gt;Adult; Aged; Aged, 80 and over; Antigen Presentation; Carcinoma, Non-Small-Cell Lung/genetics/*immunology/pathology/therapy; Cohort Studies; Female; HLA Antigens/*genetics/immunology; Humans; Loss of Heterozygosity; Lung Neoplasms/genetics/*immunology/pathology/therapy; Male; Middle Aged; Mutation; Polymorphism, Single Nucleotide; *Tumor Escape&lt;/_subject_headings&gt;&lt;_tertiary_title&gt;Cell&lt;/_tertiary_title&gt;&lt;_type_work&gt;Journal Article&lt;/_type_work&gt;&lt;_url&gt;http://www.ncbi.nlm.nih.gov/entrez/query.fcgi?cmd=Retrieve&amp;amp;db=pubmed&amp;amp;dopt=Abstract&amp;amp;list_uids=29107330&amp;amp;query_hl=1&lt;/_url&gt;&lt;_volume&gt;171&lt;/_volume&gt;&lt;_created&gt;64813719&lt;/_created&gt;&lt;_modified&gt;64813719&lt;/_modified&gt;&lt;_db_updated&gt;PubMed&lt;/_db_updated&gt;&lt;_impact_factor&gt;  41.584&lt;/_impact_factor&gt;&lt;_collection_scope&gt;SCI;SCIE&lt;/_collection_scope&gt;&lt;/Details&gt;&lt;Extra&gt;&lt;DBUID&gt;{F96A950B-833F-4880-A151-76DA2D6A2879}&lt;/DBUID&gt;&lt;/Extra&gt;&lt;/Item&gt;&lt;/References&gt;&lt;/Group&gt;&lt;/Citation&gt;_x000a_"/>
    <w:docVar w:name="ne_stylename" w:val="Nature zjh"/>
  </w:docVars>
  <w:rsids>
    <w:rsidRoot w:val="00F92542"/>
    <w:rsid w:val="00050B15"/>
    <w:rsid w:val="00076C50"/>
    <w:rsid w:val="000830F4"/>
    <w:rsid w:val="0023661F"/>
    <w:rsid w:val="0030308F"/>
    <w:rsid w:val="0032161C"/>
    <w:rsid w:val="003549A0"/>
    <w:rsid w:val="00376847"/>
    <w:rsid w:val="00433F2E"/>
    <w:rsid w:val="004C6852"/>
    <w:rsid w:val="00505B32"/>
    <w:rsid w:val="006D31B6"/>
    <w:rsid w:val="006E3341"/>
    <w:rsid w:val="00901D78"/>
    <w:rsid w:val="009419E2"/>
    <w:rsid w:val="00A467DA"/>
    <w:rsid w:val="00A81791"/>
    <w:rsid w:val="00C976F0"/>
    <w:rsid w:val="00CB3899"/>
    <w:rsid w:val="00CF3636"/>
    <w:rsid w:val="00D00AA7"/>
    <w:rsid w:val="00E51B5A"/>
    <w:rsid w:val="00E97A8C"/>
    <w:rsid w:val="00F3536D"/>
    <w:rsid w:val="00F372FE"/>
    <w:rsid w:val="00F92542"/>
    <w:rsid w:val="00FE6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9096616"/>
  <w14:defaultImageDpi w14:val="330"/>
  <w15:chartTrackingRefBased/>
  <w15:docId w15:val="{D4580598-6E27-49DE-AE2C-6FAE6D10E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254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3F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33F2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33F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33F2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392</Words>
  <Characters>2240</Characters>
  <Application>Microsoft Office Word</Application>
  <DocSecurity>0</DocSecurity>
  <Lines>18</Lines>
  <Paragraphs>5</Paragraphs>
  <ScaleCrop>false</ScaleCrop>
  <Company/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zhangjiahao135@126.com</dc:creator>
  <cp:keywords/>
  <dc:description>NE.Rep</dc:description>
  <cp:lastModifiedBy>zhangjiahao135@126.com</cp:lastModifiedBy>
  <cp:revision>6</cp:revision>
  <dcterms:created xsi:type="dcterms:W3CDTF">2023-06-09T03:22:00Z</dcterms:created>
  <dcterms:modified xsi:type="dcterms:W3CDTF">2023-06-17T08:57:00Z</dcterms:modified>
</cp:coreProperties>
</file>