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91A52" w14:textId="77777777" w:rsidR="0086288C" w:rsidRPr="00E57C79" w:rsidRDefault="0086288C" w:rsidP="0086288C">
      <w:pPr>
        <w:spacing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E57C7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Extended Data Fig. 1 Band inversion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in mechanical spring models depicted through polyyne and oligoynes.</w:t>
      </w:r>
    </w:p>
    <w:p w14:paraId="585389CA" w14:textId="77777777" w:rsidR="0086288C" w:rsidRPr="000A65B0" w:rsidRDefault="0086288C" w:rsidP="0086288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>
        <w:rPr>
          <w:rFonts w:ascii="Arial" w:hAnsi="Arial" w:cs="Arial"/>
          <w:noProof/>
          <w:color w:val="000000" w:themeColor="text1"/>
          <w:sz w:val="22"/>
          <w:szCs w:val="22"/>
          <w:lang w:val="en-GB"/>
        </w:rPr>
        <w:drawing>
          <wp:inline distT="0" distB="0" distL="0" distR="0" wp14:anchorId="1D968A90" wp14:editId="334E6FB5">
            <wp:extent cx="5400000" cy="4104237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20" t="5755" r="19992" b="5723"/>
                    <a:stretch/>
                  </pic:blipFill>
                  <pic:spPr bwMode="auto">
                    <a:xfrm>
                      <a:off x="0" y="0"/>
                      <a:ext cx="5400000" cy="4104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D9E799" w14:textId="77777777" w:rsidR="0086288C" w:rsidRDefault="0086288C" w:rsidP="0086288C">
      <w:pPr>
        <w:spacing w:after="120" w:line="360" w:lineRule="auto"/>
        <w:jc w:val="both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9714D3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a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Trivial case of the SSH model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(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>trivial polymer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)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consists of monomers of two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triple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bonded carbon atoms that are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single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bonded to their neighbours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>In the trivial band structure, bands can be classified as optical and acoustic in terms of the inner product between vibrational displacement in one unit-cell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When the inner product is positive, the atoms move in-phase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while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otherwise the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y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move out-of-phase. For the trivial polymer, the lower energy vibrations move in-phase (acoustic branch), while the higher energy vibrations move out-of-phase (optical branch).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9714D3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b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The t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opological case of the SSH model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(topological polymer) 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>occurs by exchanging the strong and weak springs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>which produces an inversion in the phase of the branches along the unit cell wavevector, without affecting the vibrational spectrum.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he outer-most in-phase vibration is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shifted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to a higher energy and, at the same time the outer-most out-of-phase vibration is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shifted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to lower energies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The net effect is that the phase of both branches is inverted when spanning the symmetrical wavelength interval </w:t>
      </w:r>
      <m:oMath>
        <m:d>
          <m:dPr>
            <m:begChr m:val="["/>
            <m:endChr m:val="]"/>
            <m:ctrlPr>
              <w:rPr>
                <w:rFonts w:ascii="Cambria Math" w:hAnsi="Cambria Math" w:cs="Arial"/>
                <w:i/>
                <w:color w:val="000000" w:themeColor="text1"/>
                <w:sz w:val="22"/>
                <w:szCs w:val="22"/>
                <w:lang w:val="en-GB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2"/>
                    <w:szCs w:val="22"/>
                    <w:lang w:val="en-GB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2"/>
                    <w:szCs w:val="22"/>
                    <w:lang w:val="en-GB"/>
                  </w:rPr>
                  <m:t>π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2"/>
                    <w:szCs w:val="22"/>
                    <w:lang w:val="en-GB"/>
                  </w:rPr>
                  <m:t>a</m:t>
                </m:r>
              </m:den>
            </m:f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GB"/>
              </w:rPr>
              <m:t xml:space="preserve"> , </m:t>
            </m:r>
            <m:f>
              <m:fPr>
                <m:ctrlPr>
                  <w:rPr>
                    <w:rFonts w:ascii="Cambria Math" w:hAnsi="Cambria Math" w:cs="Arial"/>
                    <w:i/>
                    <w:color w:val="000000" w:themeColor="text1"/>
                    <w:sz w:val="22"/>
                    <w:szCs w:val="22"/>
                    <w:lang w:val="en-GB"/>
                  </w:rPr>
                </m:ctrlPr>
              </m:fPr>
              <m:num>
                <m:r>
                  <w:rPr>
                    <w:rFonts w:ascii="Cambria Math" w:hAnsi="Cambria Math" w:cs="Arial"/>
                    <w:color w:val="000000" w:themeColor="text1"/>
                    <w:sz w:val="22"/>
                    <w:szCs w:val="22"/>
                    <w:lang w:val="en-GB"/>
                  </w:rPr>
                  <m:t>π</m:t>
                </m:r>
              </m:num>
              <m:den>
                <m:r>
                  <w:rPr>
                    <w:rFonts w:ascii="Cambria Math" w:hAnsi="Cambria Math" w:cs="Arial"/>
                    <w:color w:val="000000" w:themeColor="text1"/>
                    <w:sz w:val="22"/>
                    <w:szCs w:val="22"/>
                    <w:lang w:val="en-GB"/>
                  </w:rPr>
                  <m:t>a</m:t>
                </m:r>
              </m:den>
            </m:f>
          </m:e>
        </m:d>
      </m:oMath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or first Brillouin zone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, with associated 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>winding number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>(</w:t>
      </w:r>
      <w:r w:rsidRPr="000A65B0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Supplementary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0A65B0"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 xml:space="preserve">Figure </w:t>
      </w:r>
      <w:r>
        <w:rPr>
          <w:rFonts w:ascii="Arial" w:hAnsi="Arial" w:cs="Arial"/>
          <w:b/>
          <w:color w:val="000000" w:themeColor="text1"/>
          <w:sz w:val="22"/>
          <w:szCs w:val="22"/>
          <w:lang w:val="en-GB"/>
        </w:rPr>
        <w:t>1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>)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>.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</w:t>
      </w:r>
      <w:r w:rsidRPr="009714D3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c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.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Band inversion explained without band theory: The spectrum of finite spring chains which can be understood as a mechanical oligoyne is obtained upon 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switching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values of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2"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GB"/>
              </w:rPr>
              <m:t>κ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GB"/>
              </w:rPr>
              <m:t>1</m:t>
            </m:r>
          </m:sub>
        </m:sSub>
      </m:oMath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and </w:t>
      </w:r>
      <m:oMath>
        <m:sSub>
          <m:sSubPr>
            <m:ctrlPr>
              <w:rPr>
                <w:rFonts w:ascii="Cambria Math" w:hAnsi="Cambria Math" w:cs="Arial"/>
                <w:i/>
                <w:color w:val="000000" w:themeColor="text1"/>
                <w:sz w:val="22"/>
                <w:szCs w:val="22"/>
                <w:lang w:val="en-GB"/>
              </w:rPr>
            </m:ctrlPr>
          </m:sSubPr>
          <m:e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GB"/>
              </w:rPr>
              <m:t>κ</m:t>
            </m:r>
          </m:e>
          <m:sub>
            <m:r>
              <w:rPr>
                <w:rFonts w:ascii="Cambria Math" w:hAnsi="Cambria Math" w:cs="Arial"/>
                <w:color w:val="000000" w:themeColor="text1"/>
                <w:sz w:val="22"/>
                <w:szCs w:val="22"/>
                <w:lang w:val="en-GB"/>
              </w:rPr>
              <m:t>2</m:t>
            </m:r>
          </m:sub>
        </m:sSub>
      </m:oMath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from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lastRenderedPageBreak/>
        <w:t xml:space="preserve">10 to 1 in a periodic system of </w:t>
      </w:r>
      <w:r w:rsidRPr="000A65B0"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12 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masses results in the inversion of one eigenmode. </w:t>
      </w:r>
      <w:r w:rsidRPr="009714D3">
        <w:rPr>
          <w:rFonts w:ascii="Arial" w:hAnsi="Arial" w:cs="Arial"/>
          <w:color w:val="000000" w:themeColor="text1"/>
          <w:sz w:val="22"/>
          <w:szCs w:val="22"/>
          <w:lang w:val="en-GB"/>
        </w:rPr>
        <w:t>The inset images show the (real space) displacement vectors for the eigenmode transported from low to high frequency</w:t>
      </w:r>
      <w:r>
        <w:rPr>
          <w:rFonts w:ascii="Arial" w:hAnsi="Arial" w:cs="Arial"/>
          <w:color w:val="000000" w:themeColor="text1"/>
          <w:sz w:val="22"/>
          <w:szCs w:val="22"/>
          <w:lang w:val="en-GB"/>
        </w:rPr>
        <w:t xml:space="preserve"> (blue line). </w:t>
      </w:r>
    </w:p>
    <w:p w14:paraId="3DD64BAF" w14:textId="77777777" w:rsidR="002F0F5E" w:rsidRDefault="0086288C"/>
    <w:sectPr w:rsidR="002F0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8C"/>
    <w:rsid w:val="0021090F"/>
    <w:rsid w:val="003A76DF"/>
    <w:rsid w:val="0086288C"/>
    <w:rsid w:val="00C52827"/>
    <w:rsid w:val="00DB1091"/>
    <w:rsid w:val="00F6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3EAFB"/>
  <w15:chartTrackingRefBased/>
  <w15:docId w15:val="{200165D5-0BDE-401A-8095-F8D03F97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>Springer Nature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2023-09-29T06:13:00Z</dcterms:created>
  <dcterms:modified xsi:type="dcterms:W3CDTF">2023-09-29T06:14:00Z</dcterms:modified>
</cp:coreProperties>
</file>