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4A2C2" w14:textId="77777777" w:rsidR="00076170" w:rsidRPr="007833AC" w:rsidRDefault="00076170" w:rsidP="00CD7E56">
      <w:pPr>
        <w:kinsoku w:val="0"/>
        <w:overflowPunct w:val="0"/>
        <w:autoSpaceDE w:val="0"/>
        <w:autoSpaceDN w:val="0"/>
        <w:adjustRightInd w:val="0"/>
        <w:snapToGrid w:val="0"/>
        <w:spacing w:line="360" w:lineRule="auto"/>
        <w:rPr>
          <w:rFonts w:ascii="Times New Roman" w:hAnsi="Times New Roman" w:cs="Times New Roman"/>
          <w:b/>
          <w:sz w:val="32"/>
          <w:szCs w:val="28"/>
        </w:rPr>
      </w:pPr>
      <w:r>
        <w:rPr>
          <w:rFonts w:ascii="Times New Roman" w:hAnsi="Times New Roman" w:cs="Times New Roman"/>
          <w:b/>
          <w:sz w:val="32"/>
          <w:szCs w:val="28"/>
        </w:rPr>
        <w:t>SUPPLEMENTARY</w:t>
      </w:r>
      <w:r w:rsidRPr="008B3FC6">
        <w:rPr>
          <w:rFonts w:ascii="Times New Roman" w:hAnsi="Times New Roman" w:cs="Times New Roman"/>
          <w:b/>
          <w:sz w:val="32"/>
          <w:szCs w:val="28"/>
        </w:rPr>
        <w:t xml:space="preserve"> INFO</w:t>
      </w:r>
      <w:r w:rsidR="00731936">
        <w:rPr>
          <w:rFonts w:ascii="Times New Roman" w:hAnsi="Times New Roman" w:cs="Times New Roman"/>
          <w:b/>
          <w:sz w:val="32"/>
          <w:szCs w:val="28"/>
        </w:rPr>
        <w:t>R</w:t>
      </w:r>
      <w:r w:rsidRPr="008B3FC6">
        <w:rPr>
          <w:rFonts w:ascii="Times New Roman" w:hAnsi="Times New Roman" w:cs="Times New Roman"/>
          <w:b/>
          <w:sz w:val="32"/>
          <w:szCs w:val="28"/>
        </w:rPr>
        <w:t>MATION</w:t>
      </w:r>
    </w:p>
    <w:p w14:paraId="2B951A44" w14:textId="121D5F53" w:rsidR="00CD7E56" w:rsidRPr="00CD7E56" w:rsidRDefault="00CD7E56" w:rsidP="00CD7E56">
      <w:pPr>
        <w:pStyle w:val="BATitle"/>
        <w:kinsoku w:val="0"/>
        <w:overflowPunct w:val="0"/>
        <w:autoSpaceDE w:val="0"/>
        <w:autoSpaceDN w:val="0"/>
        <w:rPr>
          <w:rFonts w:ascii="Times New Roman" w:hAnsi="Times New Roman"/>
        </w:rPr>
      </w:pPr>
      <w:r w:rsidRPr="00CD7E56">
        <w:rPr>
          <w:rFonts w:ascii="Times New Roman" w:hAnsi="Times New Roman"/>
        </w:rPr>
        <w:t>Deciphering the Ages of Saline Water in the Baltic Sea by Anthropogenic Radiotracers</w:t>
      </w:r>
    </w:p>
    <w:p w14:paraId="470DF394" w14:textId="77777777" w:rsidR="00CD7E56" w:rsidRDefault="00CD7E56" w:rsidP="00CD7E56">
      <w:pPr>
        <w:pStyle w:val="Paragraph"/>
        <w:shd w:val="clear" w:color="auto" w:fill="FFFFFF"/>
        <w:tabs>
          <w:tab w:val="right" w:pos="9026"/>
        </w:tabs>
        <w:spacing w:before="100" w:beforeAutospacing="1" w:after="100" w:afterAutospacing="1" w:line="360" w:lineRule="auto"/>
        <w:ind w:firstLine="0"/>
        <w:jc w:val="both"/>
      </w:pPr>
      <w:bookmarkStart w:id="0" w:name="_GoBack"/>
      <w:bookmarkEnd w:id="0"/>
    </w:p>
    <w:p w14:paraId="0EBDD0EA" w14:textId="77777777" w:rsidR="00CD7E56" w:rsidRDefault="00CD7E56" w:rsidP="00CD7E56">
      <w:pPr>
        <w:pStyle w:val="Paragraph"/>
        <w:shd w:val="clear" w:color="auto" w:fill="FFFFFF"/>
        <w:tabs>
          <w:tab w:val="right" w:pos="9026"/>
        </w:tabs>
        <w:spacing w:before="100" w:beforeAutospacing="1" w:after="100" w:afterAutospacing="1" w:line="360" w:lineRule="auto"/>
        <w:ind w:firstLine="0"/>
        <w:jc w:val="both"/>
      </w:pPr>
    </w:p>
    <w:p w14:paraId="269E8EAD" w14:textId="77777777" w:rsidR="00CD7E56" w:rsidRDefault="00CD7E56" w:rsidP="00CD7E56">
      <w:pPr>
        <w:pStyle w:val="Paragraph"/>
        <w:shd w:val="clear" w:color="auto" w:fill="FFFFFF"/>
        <w:tabs>
          <w:tab w:val="right" w:pos="9026"/>
        </w:tabs>
        <w:spacing w:before="100" w:beforeAutospacing="1" w:after="100" w:afterAutospacing="1" w:line="360" w:lineRule="auto"/>
        <w:ind w:firstLine="0"/>
        <w:jc w:val="both"/>
      </w:pPr>
    </w:p>
    <w:p w14:paraId="3CF15F84" w14:textId="77777777" w:rsidR="00CD7E56" w:rsidRDefault="00CD7E56" w:rsidP="00CD7E56">
      <w:pPr>
        <w:pStyle w:val="Paragraph"/>
        <w:shd w:val="clear" w:color="auto" w:fill="FFFFFF"/>
        <w:tabs>
          <w:tab w:val="right" w:pos="9026"/>
        </w:tabs>
        <w:spacing w:before="100" w:beforeAutospacing="1" w:after="100" w:afterAutospacing="1" w:line="360" w:lineRule="auto"/>
        <w:ind w:firstLine="0"/>
        <w:jc w:val="both"/>
      </w:pPr>
    </w:p>
    <w:p w14:paraId="13D32BFB" w14:textId="6F4CE297" w:rsidR="00CD7E56" w:rsidRPr="00CD7E56" w:rsidRDefault="00CD7E56" w:rsidP="00CD7E56">
      <w:pPr>
        <w:pStyle w:val="Paragraph"/>
        <w:shd w:val="clear" w:color="auto" w:fill="FFFFFF"/>
        <w:adjustRightInd w:val="0"/>
        <w:snapToGrid w:val="0"/>
        <w:spacing w:before="100" w:beforeAutospacing="1" w:after="100" w:afterAutospacing="1" w:line="360" w:lineRule="auto"/>
        <w:ind w:firstLine="0"/>
        <w:jc w:val="both"/>
        <w:rPr>
          <w:sz w:val="22"/>
          <w:szCs w:val="22"/>
        </w:rPr>
      </w:pPr>
      <w:r w:rsidRPr="00CD7E56">
        <w:rPr>
          <w:sz w:val="22"/>
          <w:szCs w:val="22"/>
        </w:rPr>
        <w:t xml:space="preserve">This </w:t>
      </w:r>
      <w:r>
        <w:rPr>
          <w:sz w:val="22"/>
          <w:szCs w:val="22"/>
        </w:rPr>
        <w:t>9</w:t>
      </w:r>
      <w:r w:rsidRPr="00CD7E56">
        <w:rPr>
          <w:sz w:val="22"/>
          <w:szCs w:val="22"/>
        </w:rPr>
        <w:t xml:space="preserve">-page Supporting Information file includes supplementary text for </w:t>
      </w:r>
      <w:r>
        <w:rPr>
          <w:sz w:val="22"/>
          <w:szCs w:val="22"/>
        </w:rPr>
        <w:t>2</w:t>
      </w:r>
      <w:r w:rsidRPr="00CD7E56">
        <w:rPr>
          <w:sz w:val="22"/>
          <w:szCs w:val="22"/>
        </w:rPr>
        <w:t xml:space="preserve"> figures, </w:t>
      </w:r>
      <w:r>
        <w:rPr>
          <w:sz w:val="22"/>
          <w:szCs w:val="22"/>
        </w:rPr>
        <w:t>3</w:t>
      </w:r>
      <w:r w:rsidRPr="00CD7E56">
        <w:rPr>
          <w:sz w:val="22"/>
          <w:szCs w:val="22"/>
        </w:rPr>
        <w:t xml:space="preserve"> tables, and SI references.</w:t>
      </w:r>
    </w:p>
    <w:p w14:paraId="03097EDA" w14:textId="77777777" w:rsidR="00CD7E56" w:rsidRDefault="00CD7E56" w:rsidP="00CD7E56">
      <w:pPr>
        <w:pStyle w:val="Paragraph"/>
        <w:shd w:val="clear" w:color="auto" w:fill="FFFFFF"/>
        <w:adjustRightInd w:val="0"/>
        <w:snapToGrid w:val="0"/>
        <w:spacing w:before="100" w:beforeAutospacing="1" w:after="100" w:afterAutospacing="1" w:line="360" w:lineRule="auto"/>
        <w:ind w:firstLine="0"/>
        <w:jc w:val="both"/>
      </w:pPr>
      <w:r>
        <w:br w:type="page"/>
      </w:r>
    </w:p>
    <w:p w14:paraId="76D18BC5" w14:textId="1D4C0972" w:rsidR="004A0D65" w:rsidRPr="00CD7E56" w:rsidRDefault="00EA5C67" w:rsidP="00CD7E56">
      <w:r>
        <w:rPr>
          <w:rFonts w:ascii="Times New Roman" w:hAnsi="Times New Roman" w:cs="Times New Roman"/>
          <w:b/>
          <w:sz w:val="28"/>
          <w:szCs w:val="28"/>
        </w:rPr>
        <w:lastRenderedPageBreak/>
        <w:t>Supplementary</w:t>
      </w:r>
      <w:r w:rsidR="004A0D65" w:rsidRPr="004A0D65">
        <w:rPr>
          <w:rFonts w:ascii="Times New Roman" w:hAnsi="Times New Roman" w:cs="Times New Roman"/>
          <w:b/>
          <w:sz w:val="28"/>
          <w:szCs w:val="28"/>
        </w:rPr>
        <w:t xml:space="preserve"> Figure</w:t>
      </w:r>
      <w:r w:rsidR="004A0D65">
        <w:rPr>
          <w:rFonts w:ascii="Times New Roman" w:hAnsi="Times New Roman" w:cs="Times New Roman"/>
          <w:b/>
          <w:sz w:val="28"/>
          <w:szCs w:val="28"/>
        </w:rPr>
        <w:t>s and Tables</w:t>
      </w:r>
    </w:p>
    <w:p w14:paraId="5FEBEDB0" w14:textId="77777777" w:rsidR="00EB60F4" w:rsidRDefault="00530FE5" w:rsidP="00A879E9">
      <w:pPr>
        <w:jc w:val="center"/>
      </w:pPr>
      <w:r w:rsidRPr="00530FE5">
        <w:rPr>
          <w:noProof/>
        </w:rPr>
        <w:drawing>
          <wp:inline distT="0" distB="0" distL="0" distR="0" wp14:anchorId="731D1D6B" wp14:editId="3EFE88DC">
            <wp:extent cx="4320000" cy="33029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0" cy="3302913"/>
                    </a:xfrm>
                    <a:prstGeom prst="rect">
                      <a:avLst/>
                    </a:prstGeom>
                    <a:noFill/>
                    <a:ln>
                      <a:noFill/>
                    </a:ln>
                  </pic:spPr>
                </pic:pic>
              </a:graphicData>
            </a:graphic>
          </wp:inline>
        </w:drawing>
      </w:r>
    </w:p>
    <w:p w14:paraId="790A7324" w14:textId="77777777" w:rsidR="00A879E9" w:rsidRPr="00A879E9" w:rsidRDefault="00A879E9" w:rsidP="00A879E9">
      <w:pPr>
        <w:jc w:val="center"/>
        <w:rPr>
          <w:rFonts w:ascii="Times New Roman" w:hAnsi="Times New Roman" w:cs="Times New Roman"/>
          <w:sz w:val="24"/>
          <w:szCs w:val="24"/>
        </w:rPr>
      </w:pPr>
      <w:r w:rsidRPr="00A879E9">
        <w:rPr>
          <w:rFonts w:ascii="Times New Roman" w:hAnsi="Times New Roman" w:cs="Times New Roman"/>
          <w:noProof/>
          <w:sz w:val="24"/>
          <w:szCs w:val="24"/>
        </w:rPr>
        <w:drawing>
          <wp:inline distT="0" distB="0" distL="0" distR="0" wp14:anchorId="45D5247B" wp14:editId="1CE5643E">
            <wp:extent cx="4320000" cy="33114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20000" cy="3311440"/>
                    </a:xfrm>
                    <a:prstGeom prst="rect">
                      <a:avLst/>
                    </a:prstGeom>
                    <a:noFill/>
                    <a:ln>
                      <a:noFill/>
                    </a:ln>
                  </pic:spPr>
                </pic:pic>
              </a:graphicData>
            </a:graphic>
          </wp:inline>
        </w:drawing>
      </w:r>
    </w:p>
    <w:p w14:paraId="20F03619" w14:textId="77777777" w:rsidR="00530FE5" w:rsidRPr="00A879E9" w:rsidRDefault="00A879E9" w:rsidP="00F463E7">
      <w:pPr>
        <w:jc w:val="both"/>
        <w:rPr>
          <w:rFonts w:ascii="Times New Roman" w:hAnsi="Times New Roman" w:cs="Times New Roman"/>
          <w:sz w:val="24"/>
          <w:szCs w:val="24"/>
        </w:rPr>
      </w:pPr>
      <w:r w:rsidRPr="00A879E9">
        <w:rPr>
          <w:rFonts w:ascii="Times New Roman" w:hAnsi="Times New Roman" w:cs="Times New Roman"/>
          <w:b/>
          <w:sz w:val="24"/>
          <w:szCs w:val="24"/>
        </w:rPr>
        <w:t xml:space="preserve">Figure S1. Mixing diagrams of </w:t>
      </w:r>
      <w:r w:rsidRPr="00A879E9">
        <w:rPr>
          <w:rFonts w:ascii="Times New Roman" w:hAnsi="Times New Roman" w:cs="Times New Roman"/>
          <w:b/>
          <w:sz w:val="24"/>
          <w:szCs w:val="24"/>
          <w:vertAlign w:val="superscript"/>
        </w:rPr>
        <w:t>129</w:t>
      </w:r>
      <w:r w:rsidRPr="00A879E9">
        <w:rPr>
          <w:rFonts w:ascii="Times New Roman" w:hAnsi="Times New Roman" w:cs="Times New Roman"/>
          <w:b/>
          <w:sz w:val="24"/>
          <w:szCs w:val="24"/>
        </w:rPr>
        <w:t xml:space="preserve">I concentration </w:t>
      </w:r>
      <w:r>
        <w:rPr>
          <w:rFonts w:ascii="Times New Roman" w:hAnsi="Times New Roman" w:cs="Times New Roman"/>
          <w:b/>
          <w:sz w:val="24"/>
          <w:szCs w:val="24"/>
        </w:rPr>
        <w:t xml:space="preserve">(A) </w:t>
      </w:r>
      <w:r w:rsidRPr="00A879E9">
        <w:rPr>
          <w:rFonts w:ascii="Times New Roman" w:hAnsi="Times New Roman" w:cs="Times New Roman"/>
          <w:b/>
          <w:sz w:val="24"/>
          <w:szCs w:val="24"/>
        </w:rPr>
        <w:t xml:space="preserve">vs salinity and NR-derived </w:t>
      </w:r>
      <w:r w:rsidRPr="00A879E9">
        <w:rPr>
          <w:rFonts w:ascii="Times New Roman" w:hAnsi="Times New Roman" w:cs="Times New Roman"/>
          <w:b/>
          <w:sz w:val="24"/>
          <w:szCs w:val="24"/>
          <w:vertAlign w:val="superscript"/>
        </w:rPr>
        <w:t>236</w:t>
      </w:r>
      <w:r w:rsidRPr="00A879E9">
        <w:rPr>
          <w:rFonts w:ascii="Times New Roman" w:hAnsi="Times New Roman" w:cs="Times New Roman"/>
          <w:b/>
          <w:sz w:val="24"/>
          <w:szCs w:val="24"/>
        </w:rPr>
        <w:t>U concentration vs salinity</w:t>
      </w:r>
      <w:r>
        <w:rPr>
          <w:rFonts w:ascii="Times New Roman" w:hAnsi="Times New Roman" w:cs="Times New Roman"/>
          <w:b/>
          <w:sz w:val="24"/>
          <w:szCs w:val="24"/>
        </w:rPr>
        <w:t xml:space="preserve"> (B)</w:t>
      </w:r>
      <w:r w:rsidRPr="00A879E9">
        <w:rPr>
          <w:rFonts w:ascii="Times New Roman" w:hAnsi="Times New Roman" w:cs="Times New Roman"/>
          <w:b/>
          <w:sz w:val="24"/>
          <w:szCs w:val="24"/>
        </w:rPr>
        <w:t xml:space="preserve"> in the Baltic Sea. </w:t>
      </w:r>
      <w:r w:rsidRPr="00A879E9">
        <w:rPr>
          <w:rFonts w:ascii="Times New Roman" w:hAnsi="Times New Roman" w:cs="Times New Roman"/>
          <w:sz w:val="24"/>
          <w:szCs w:val="24"/>
        </w:rPr>
        <w:t>The functions for mixing lines are as below:</w:t>
      </w:r>
    </w:p>
    <w:p w14:paraId="3A582709" w14:textId="77777777" w:rsidR="00A879E9" w:rsidRPr="00A879E9" w:rsidRDefault="00A879E9" w:rsidP="00A879E9">
      <w:pPr>
        <w:ind w:left="567"/>
        <w:rPr>
          <w:rFonts w:ascii="Times New Roman" w:hAnsi="Times New Roman" w:cs="Times New Roman"/>
          <w:sz w:val="24"/>
          <w:szCs w:val="24"/>
        </w:rPr>
      </w:pPr>
      <w:r w:rsidRPr="00A879E9">
        <w:rPr>
          <w:rFonts w:ascii="Times New Roman" w:hAnsi="Times New Roman" w:cs="Times New Roman"/>
          <w:sz w:val="24"/>
          <w:szCs w:val="24"/>
        </w:rPr>
        <w:t>(A) Surface samples (2015)</w:t>
      </w:r>
    </w:p>
    <w:p w14:paraId="62DE68D2" w14:textId="77777777" w:rsidR="00A879E9" w:rsidRDefault="00A879E9" w:rsidP="00A879E9">
      <w:pPr>
        <w:ind w:left="1134"/>
        <w:rPr>
          <w:rFonts w:ascii="Times New Roman" w:hAnsi="Times New Roman" w:cs="Times New Roman"/>
          <w:sz w:val="24"/>
          <w:szCs w:val="24"/>
        </w:rPr>
      </w:pPr>
      <w:r>
        <w:rPr>
          <w:rFonts w:ascii="Times New Roman" w:hAnsi="Times New Roman" w:cs="Times New Roman"/>
          <w:sz w:val="24"/>
          <w:szCs w:val="24"/>
        </w:rPr>
        <w:t>Saline waters: C</w:t>
      </w:r>
      <w:r w:rsidRPr="00A879E9">
        <w:rPr>
          <w:rFonts w:ascii="Times New Roman" w:hAnsi="Times New Roman" w:cs="Times New Roman"/>
          <w:sz w:val="24"/>
          <w:szCs w:val="24"/>
          <w:vertAlign w:val="subscript"/>
        </w:rPr>
        <w:t>I-129</w:t>
      </w:r>
      <w:r w:rsidRPr="00A87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79E9">
        <w:rPr>
          <w:rFonts w:ascii="Times New Roman" w:hAnsi="Times New Roman" w:cs="Times New Roman"/>
          <w:sz w:val="24"/>
          <w:szCs w:val="24"/>
        </w:rPr>
        <w:t>-51.</w:t>
      </w:r>
      <w:r>
        <w:rPr>
          <w:rFonts w:ascii="Times New Roman" w:hAnsi="Times New Roman" w:cs="Times New Roman"/>
          <w:sz w:val="24"/>
          <w:szCs w:val="24"/>
        </w:rPr>
        <w:t xml:space="preserve">8 × </w:t>
      </w:r>
      <w:r w:rsidRPr="00A879E9">
        <w:rPr>
          <w:rFonts w:ascii="Times New Roman" w:hAnsi="Times New Roman" w:cs="Times New Roman"/>
          <w:sz w:val="24"/>
          <w:szCs w:val="24"/>
        </w:rPr>
        <w:t>sal</w:t>
      </w:r>
      <w:r>
        <w:rPr>
          <w:rFonts w:ascii="Times New Roman" w:hAnsi="Times New Roman" w:cs="Times New Roman"/>
          <w:sz w:val="24"/>
          <w:szCs w:val="24"/>
        </w:rPr>
        <w:t>.</w:t>
      </w:r>
      <w:r w:rsidRPr="00A879E9">
        <w:rPr>
          <w:rFonts w:ascii="Times New Roman" w:hAnsi="Times New Roman" w:cs="Times New Roman"/>
          <w:sz w:val="24"/>
          <w:szCs w:val="24"/>
        </w:rPr>
        <w:t xml:space="preserve"> </w:t>
      </w:r>
      <w:r>
        <w:rPr>
          <w:rFonts w:ascii="Times New Roman" w:hAnsi="Times New Roman" w:cs="Times New Roman"/>
          <w:sz w:val="24"/>
          <w:szCs w:val="24"/>
        </w:rPr>
        <w:t>+ 1872 (10</w:t>
      </w:r>
      <w:r w:rsidRPr="00A879E9">
        <w:rPr>
          <w:rFonts w:ascii="Times New Roman" w:hAnsi="Times New Roman" w:cs="Times New Roman"/>
          <w:sz w:val="24"/>
          <w:szCs w:val="24"/>
          <w:vertAlign w:val="superscript"/>
        </w:rPr>
        <w:t>9</w:t>
      </w:r>
      <w:r>
        <w:rPr>
          <w:rFonts w:ascii="Times New Roman" w:hAnsi="Times New Roman" w:cs="Times New Roman"/>
          <w:sz w:val="24"/>
          <w:szCs w:val="24"/>
        </w:rPr>
        <w:t xml:space="preserve"> at/kg)    </w:t>
      </w:r>
      <w:r w:rsidRPr="00A879E9">
        <w:rPr>
          <w:rFonts w:ascii="Times New Roman" w:hAnsi="Times New Roman" w:cs="Times New Roman"/>
          <w:sz w:val="24"/>
          <w:szCs w:val="24"/>
        </w:rPr>
        <w:t>R</w:t>
      </w:r>
      <w:r w:rsidRPr="00A879E9">
        <w:rPr>
          <w:rFonts w:ascii="Times New Roman" w:hAnsi="Times New Roman" w:cs="Times New Roman"/>
          <w:sz w:val="24"/>
          <w:szCs w:val="24"/>
          <w:vertAlign w:val="superscript"/>
        </w:rPr>
        <w:t>2</w:t>
      </w:r>
      <w:r>
        <w:rPr>
          <w:rFonts w:ascii="Times New Roman" w:hAnsi="Times New Roman" w:cs="Times New Roman"/>
          <w:sz w:val="24"/>
          <w:szCs w:val="24"/>
        </w:rPr>
        <w:t>=0.641</w:t>
      </w:r>
    </w:p>
    <w:p w14:paraId="0968375B" w14:textId="2D2C3887" w:rsidR="00E612B2" w:rsidRPr="00A879E9" w:rsidRDefault="002D0210" w:rsidP="00A879E9">
      <w:pPr>
        <w:ind w:left="1134"/>
        <w:rPr>
          <w:rFonts w:ascii="Times New Roman" w:hAnsi="Times New Roman" w:cs="Times New Roman"/>
          <w:sz w:val="24"/>
          <w:szCs w:val="24"/>
        </w:rPr>
      </w:pPr>
      <w:r>
        <w:rPr>
          <w:rFonts w:ascii="Times New Roman" w:hAnsi="Times New Roman" w:cs="Times New Roman"/>
          <w:sz w:val="24"/>
          <w:szCs w:val="24"/>
        </w:rPr>
        <w:t>Brackish</w:t>
      </w:r>
      <w:r w:rsidR="00A879E9">
        <w:rPr>
          <w:rFonts w:ascii="Times New Roman" w:hAnsi="Times New Roman" w:cs="Times New Roman"/>
          <w:sz w:val="24"/>
          <w:szCs w:val="24"/>
        </w:rPr>
        <w:t xml:space="preserve"> waters: C</w:t>
      </w:r>
      <w:r w:rsidR="00A879E9" w:rsidRPr="00A879E9">
        <w:rPr>
          <w:rFonts w:ascii="Times New Roman" w:hAnsi="Times New Roman" w:cs="Times New Roman"/>
          <w:sz w:val="24"/>
          <w:szCs w:val="24"/>
          <w:vertAlign w:val="subscript"/>
        </w:rPr>
        <w:t>I-129</w:t>
      </w:r>
      <w:r w:rsidR="00A879E9" w:rsidRPr="00A879E9">
        <w:rPr>
          <w:rFonts w:ascii="Times New Roman" w:hAnsi="Times New Roman" w:cs="Times New Roman"/>
          <w:sz w:val="24"/>
          <w:szCs w:val="24"/>
        </w:rPr>
        <w:t xml:space="preserve"> </w:t>
      </w:r>
      <w:r w:rsidR="00A879E9">
        <w:rPr>
          <w:rFonts w:ascii="Times New Roman" w:hAnsi="Times New Roman" w:cs="Times New Roman"/>
          <w:sz w:val="24"/>
          <w:szCs w:val="24"/>
        </w:rPr>
        <w:t xml:space="preserve">= 4.43 × </w:t>
      </w:r>
      <w:r w:rsidR="00A879E9" w:rsidRPr="00A879E9">
        <w:rPr>
          <w:rFonts w:ascii="Times New Roman" w:hAnsi="Times New Roman" w:cs="Times New Roman"/>
          <w:sz w:val="24"/>
          <w:szCs w:val="24"/>
        </w:rPr>
        <w:t>sal</w:t>
      </w:r>
      <w:r w:rsidR="00A879E9">
        <w:rPr>
          <w:rFonts w:ascii="Times New Roman" w:hAnsi="Times New Roman" w:cs="Times New Roman"/>
          <w:sz w:val="24"/>
          <w:szCs w:val="24"/>
        </w:rPr>
        <w:t>.</w:t>
      </w:r>
      <w:r w:rsidR="00A879E9" w:rsidRPr="00A879E9">
        <w:rPr>
          <w:rFonts w:ascii="Times New Roman" w:hAnsi="Times New Roman" w:cs="Times New Roman"/>
          <w:sz w:val="24"/>
          <w:szCs w:val="24"/>
        </w:rPr>
        <w:t xml:space="preserve"> -</w:t>
      </w:r>
      <w:r w:rsidR="00A879E9">
        <w:rPr>
          <w:rFonts w:ascii="Times New Roman" w:hAnsi="Times New Roman" w:cs="Times New Roman"/>
          <w:sz w:val="24"/>
          <w:szCs w:val="24"/>
        </w:rPr>
        <w:t xml:space="preserve"> </w:t>
      </w:r>
      <w:r w:rsidR="00A879E9" w:rsidRPr="00A879E9">
        <w:rPr>
          <w:rFonts w:ascii="Times New Roman" w:hAnsi="Times New Roman" w:cs="Times New Roman"/>
          <w:sz w:val="24"/>
          <w:szCs w:val="24"/>
        </w:rPr>
        <w:t>29.6</w:t>
      </w:r>
      <w:r w:rsidR="00A879E9">
        <w:rPr>
          <w:rFonts w:ascii="Times New Roman" w:hAnsi="Times New Roman" w:cs="Times New Roman"/>
          <w:sz w:val="24"/>
          <w:szCs w:val="24"/>
        </w:rPr>
        <w:t xml:space="preserve"> (10</w:t>
      </w:r>
      <w:r w:rsidR="00A879E9" w:rsidRPr="00A879E9">
        <w:rPr>
          <w:rFonts w:ascii="Times New Roman" w:hAnsi="Times New Roman" w:cs="Times New Roman"/>
          <w:sz w:val="24"/>
          <w:szCs w:val="24"/>
          <w:vertAlign w:val="superscript"/>
        </w:rPr>
        <w:t>9</w:t>
      </w:r>
      <w:r w:rsidR="00A879E9">
        <w:rPr>
          <w:rFonts w:ascii="Times New Roman" w:hAnsi="Times New Roman" w:cs="Times New Roman"/>
          <w:sz w:val="24"/>
          <w:szCs w:val="24"/>
        </w:rPr>
        <w:t xml:space="preserve"> at/kg)    </w:t>
      </w:r>
      <w:r w:rsidR="00A879E9" w:rsidRPr="00A879E9">
        <w:rPr>
          <w:rFonts w:ascii="Times New Roman" w:hAnsi="Times New Roman" w:cs="Times New Roman"/>
          <w:sz w:val="24"/>
          <w:szCs w:val="24"/>
        </w:rPr>
        <w:t>R</w:t>
      </w:r>
      <w:r w:rsidR="00A879E9" w:rsidRPr="00A879E9">
        <w:rPr>
          <w:rFonts w:ascii="Times New Roman" w:hAnsi="Times New Roman" w:cs="Times New Roman"/>
          <w:sz w:val="24"/>
          <w:szCs w:val="24"/>
          <w:vertAlign w:val="superscript"/>
        </w:rPr>
        <w:t>2</w:t>
      </w:r>
      <w:r w:rsidR="00A879E9">
        <w:rPr>
          <w:rFonts w:ascii="Times New Roman" w:hAnsi="Times New Roman" w:cs="Times New Roman"/>
          <w:sz w:val="24"/>
          <w:szCs w:val="24"/>
        </w:rPr>
        <w:t>=0.972</w:t>
      </w:r>
    </w:p>
    <w:p w14:paraId="7E204338" w14:textId="77777777" w:rsidR="00A879E9" w:rsidRPr="00A879E9" w:rsidRDefault="00A879E9" w:rsidP="00A879E9">
      <w:pPr>
        <w:ind w:left="567"/>
        <w:rPr>
          <w:rFonts w:ascii="Times New Roman" w:hAnsi="Times New Roman" w:cs="Times New Roman"/>
          <w:sz w:val="24"/>
          <w:szCs w:val="24"/>
        </w:rPr>
      </w:pPr>
      <w:r w:rsidRPr="00A879E9">
        <w:rPr>
          <w:rFonts w:ascii="Times New Roman" w:hAnsi="Times New Roman" w:cs="Times New Roman"/>
          <w:sz w:val="24"/>
          <w:szCs w:val="24"/>
        </w:rPr>
        <w:t>(A) Profile samples (2018-2019)</w:t>
      </w:r>
    </w:p>
    <w:p w14:paraId="36BFBF25" w14:textId="77777777" w:rsidR="00A879E9" w:rsidRDefault="00A879E9" w:rsidP="00A879E9">
      <w:pPr>
        <w:ind w:left="1134"/>
        <w:rPr>
          <w:rFonts w:ascii="Times New Roman" w:hAnsi="Times New Roman" w:cs="Times New Roman"/>
          <w:sz w:val="24"/>
          <w:szCs w:val="24"/>
        </w:rPr>
      </w:pPr>
      <w:r>
        <w:rPr>
          <w:rFonts w:ascii="Times New Roman" w:hAnsi="Times New Roman" w:cs="Times New Roman"/>
          <w:sz w:val="24"/>
          <w:szCs w:val="24"/>
        </w:rPr>
        <w:lastRenderedPageBreak/>
        <w:t>Saline waters: C</w:t>
      </w:r>
      <w:r w:rsidRPr="00A879E9">
        <w:rPr>
          <w:rFonts w:ascii="Times New Roman" w:hAnsi="Times New Roman" w:cs="Times New Roman"/>
          <w:sz w:val="24"/>
          <w:szCs w:val="24"/>
          <w:vertAlign w:val="subscript"/>
        </w:rPr>
        <w:t>I-129</w:t>
      </w:r>
      <w:r w:rsidRPr="00A879E9">
        <w:rPr>
          <w:rFonts w:ascii="Times New Roman" w:hAnsi="Times New Roman" w:cs="Times New Roman"/>
          <w:sz w:val="24"/>
          <w:szCs w:val="24"/>
        </w:rPr>
        <w:t xml:space="preserve"> </w:t>
      </w:r>
      <w:r>
        <w:rPr>
          <w:rFonts w:ascii="Times New Roman" w:hAnsi="Times New Roman" w:cs="Times New Roman"/>
          <w:sz w:val="24"/>
          <w:szCs w:val="24"/>
        </w:rPr>
        <w:t xml:space="preserve">= -31.5 × </w:t>
      </w:r>
      <w:r w:rsidRPr="00A879E9">
        <w:rPr>
          <w:rFonts w:ascii="Times New Roman" w:hAnsi="Times New Roman" w:cs="Times New Roman"/>
          <w:sz w:val="24"/>
          <w:szCs w:val="24"/>
        </w:rPr>
        <w:t>sal</w:t>
      </w:r>
      <w:r>
        <w:rPr>
          <w:rFonts w:ascii="Times New Roman" w:hAnsi="Times New Roman" w:cs="Times New Roman"/>
          <w:sz w:val="24"/>
          <w:szCs w:val="24"/>
        </w:rPr>
        <w:t>.</w:t>
      </w:r>
      <w:r w:rsidRPr="00A879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879E9">
        <w:rPr>
          <w:rFonts w:ascii="Times New Roman" w:hAnsi="Times New Roman" w:cs="Times New Roman"/>
          <w:sz w:val="24"/>
          <w:szCs w:val="24"/>
        </w:rPr>
        <w:t>1111</w:t>
      </w:r>
      <w:r>
        <w:rPr>
          <w:rFonts w:ascii="Times New Roman" w:hAnsi="Times New Roman" w:cs="Times New Roman"/>
          <w:sz w:val="24"/>
          <w:szCs w:val="24"/>
        </w:rPr>
        <w:t xml:space="preserve"> (10</w:t>
      </w:r>
      <w:r w:rsidRPr="00A879E9">
        <w:rPr>
          <w:rFonts w:ascii="Times New Roman" w:hAnsi="Times New Roman" w:cs="Times New Roman"/>
          <w:sz w:val="24"/>
          <w:szCs w:val="24"/>
          <w:vertAlign w:val="superscript"/>
        </w:rPr>
        <w:t>9</w:t>
      </w:r>
      <w:r>
        <w:rPr>
          <w:rFonts w:ascii="Times New Roman" w:hAnsi="Times New Roman" w:cs="Times New Roman"/>
          <w:sz w:val="24"/>
          <w:szCs w:val="24"/>
        </w:rPr>
        <w:t xml:space="preserve"> at/kg)    </w:t>
      </w:r>
      <w:r w:rsidRPr="00A879E9">
        <w:rPr>
          <w:rFonts w:ascii="Times New Roman" w:hAnsi="Times New Roman" w:cs="Times New Roman"/>
          <w:sz w:val="24"/>
          <w:szCs w:val="24"/>
        </w:rPr>
        <w:t>R</w:t>
      </w:r>
      <w:r w:rsidRPr="00A879E9">
        <w:rPr>
          <w:rFonts w:ascii="Times New Roman" w:hAnsi="Times New Roman" w:cs="Times New Roman"/>
          <w:sz w:val="24"/>
          <w:szCs w:val="24"/>
          <w:vertAlign w:val="superscript"/>
        </w:rPr>
        <w:t>2</w:t>
      </w:r>
      <w:r>
        <w:rPr>
          <w:rFonts w:ascii="Times New Roman" w:hAnsi="Times New Roman" w:cs="Times New Roman"/>
          <w:sz w:val="24"/>
          <w:szCs w:val="24"/>
        </w:rPr>
        <w:t>=0.963</w:t>
      </w:r>
    </w:p>
    <w:p w14:paraId="7514B565" w14:textId="7B5794A9" w:rsidR="00A879E9" w:rsidRPr="00A879E9" w:rsidRDefault="002D0210" w:rsidP="00A879E9">
      <w:pPr>
        <w:ind w:left="1134"/>
        <w:rPr>
          <w:rFonts w:ascii="Times New Roman" w:hAnsi="Times New Roman" w:cs="Times New Roman"/>
          <w:sz w:val="24"/>
          <w:szCs w:val="24"/>
        </w:rPr>
      </w:pPr>
      <w:r>
        <w:rPr>
          <w:rFonts w:ascii="Times New Roman" w:hAnsi="Times New Roman" w:cs="Times New Roman"/>
          <w:sz w:val="24"/>
          <w:szCs w:val="24"/>
        </w:rPr>
        <w:t>Brackish</w:t>
      </w:r>
      <w:r w:rsidR="00A879E9">
        <w:rPr>
          <w:rFonts w:ascii="Times New Roman" w:hAnsi="Times New Roman" w:cs="Times New Roman"/>
          <w:sz w:val="24"/>
          <w:szCs w:val="24"/>
        </w:rPr>
        <w:t xml:space="preserve"> waters:  C</w:t>
      </w:r>
      <w:r w:rsidR="00A879E9" w:rsidRPr="00A879E9">
        <w:rPr>
          <w:rFonts w:ascii="Times New Roman" w:hAnsi="Times New Roman" w:cs="Times New Roman"/>
          <w:sz w:val="24"/>
          <w:szCs w:val="24"/>
          <w:vertAlign w:val="subscript"/>
        </w:rPr>
        <w:t>I-129</w:t>
      </w:r>
      <w:r w:rsidR="00A879E9" w:rsidRPr="00A879E9">
        <w:rPr>
          <w:rFonts w:ascii="Times New Roman" w:hAnsi="Times New Roman" w:cs="Times New Roman"/>
          <w:sz w:val="24"/>
          <w:szCs w:val="24"/>
        </w:rPr>
        <w:t xml:space="preserve"> </w:t>
      </w:r>
      <w:r w:rsidR="00A879E9">
        <w:rPr>
          <w:rFonts w:ascii="Times New Roman" w:hAnsi="Times New Roman" w:cs="Times New Roman"/>
          <w:sz w:val="24"/>
          <w:szCs w:val="24"/>
        </w:rPr>
        <w:t xml:space="preserve">= </w:t>
      </w:r>
      <w:r w:rsidR="00A879E9" w:rsidRPr="00A879E9">
        <w:rPr>
          <w:rFonts w:ascii="Times New Roman" w:hAnsi="Times New Roman" w:cs="Times New Roman"/>
          <w:sz w:val="24"/>
          <w:szCs w:val="24"/>
        </w:rPr>
        <w:t>0.922</w:t>
      </w:r>
      <w:r w:rsidR="00A879E9">
        <w:rPr>
          <w:rFonts w:ascii="Times New Roman" w:hAnsi="Times New Roman" w:cs="Times New Roman"/>
          <w:sz w:val="24"/>
          <w:szCs w:val="24"/>
        </w:rPr>
        <w:t xml:space="preserve"> × </w:t>
      </w:r>
      <w:r w:rsidR="00A879E9" w:rsidRPr="00A879E9">
        <w:rPr>
          <w:rFonts w:ascii="Times New Roman" w:hAnsi="Times New Roman" w:cs="Times New Roman"/>
          <w:sz w:val="24"/>
          <w:szCs w:val="24"/>
        </w:rPr>
        <w:t>sal</w:t>
      </w:r>
      <w:r w:rsidR="00A879E9">
        <w:rPr>
          <w:rFonts w:ascii="Times New Roman" w:hAnsi="Times New Roman" w:cs="Times New Roman"/>
          <w:sz w:val="24"/>
          <w:szCs w:val="24"/>
        </w:rPr>
        <w:t>. + 2.01 (10</w:t>
      </w:r>
      <w:r w:rsidR="00A879E9" w:rsidRPr="00A879E9">
        <w:rPr>
          <w:rFonts w:ascii="Times New Roman" w:hAnsi="Times New Roman" w:cs="Times New Roman"/>
          <w:sz w:val="24"/>
          <w:szCs w:val="24"/>
          <w:vertAlign w:val="superscript"/>
        </w:rPr>
        <w:t>9</w:t>
      </w:r>
      <w:r w:rsidR="00A879E9">
        <w:rPr>
          <w:rFonts w:ascii="Times New Roman" w:hAnsi="Times New Roman" w:cs="Times New Roman"/>
          <w:sz w:val="24"/>
          <w:szCs w:val="24"/>
        </w:rPr>
        <w:t xml:space="preserve"> at/kg)    </w:t>
      </w:r>
      <w:r w:rsidR="00A879E9" w:rsidRPr="00A879E9">
        <w:rPr>
          <w:rFonts w:ascii="Times New Roman" w:hAnsi="Times New Roman" w:cs="Times New Roman"/>
          <w:sz w:val="24"/>
          <w:szCs w:val="24"/>
        </w:rPr>
        <w:t>R</w:t>
      </w:r>
      <w:r w:rsidR="00A879E9" w:rsidRPr="00A879E9">
        <w:rPr>
          <w:rFonts w:ascii="Times New Roman" w:hAnsi="Times New Roman" w:cs="Times New Roman"/>
          <w:sz w:val="24"/>
          <w:szCs w:val="24"/>
          <w:vertAlign w:val="superscript"/>
        </w:rPr>
        <w:t>2</w:t>
      </w:r>
      <w:r w:rsidR="00A879E9">
        <w:rPr>
          <w:rFonts w:ascii="Times New Roman" w:hAnsi="Times New Roman" w:cs="Times New Roman"/>
          <w:sz w:val="24"/>
          <w:szCs w:val="24"/>
        </w:rPr>
        <w:t>=0.845</w:t>
      </w:r>
    </w:p>
    <w:p w14:paraId="367FE46B" w14:textId="77777777" w:rsidR="00A879E9" w:rsidRPr="00A879E9" w:rsidRDefault="00A879E9" w:rsidP="00A879E9">
      <w:pPr>
        <w:ind w:left="567"/>
        <w:rPr>
          <w:rFonts w:ascii="Times New Roman" w:hAnsi="Times New Roman" w:cs="Times New Roman"/>
          <w:sz w:val="24"/>
          <w:szCs w:val="24"/>
        </w:rPr>
      </w:pPr>
      <w:r w:rsidRPr="00A879E9">
        <w:rPr>
          <w:rFonts w:ascii="Times New Roman" w:hAnsi="Times New Roman" w:cs="Times New Roman"/>
          <w:sz w:val="24"/>
          <w:szCs w:val="24"/>
        </w:rPr>
        <w:t>(</w:t>
      </w:r>
      <w:r>
        <w:rPr>
          <w:rFonts w:ascii="Times New Roman" w:hAnsi="Times New Roman" w:cs="Times New Roman"/>
          <w:sz w:val="24"/>
          <w:szCs w:val="24"/>
        </w:rPr>
        <w:t>B</w:t>
      </w:r>
      <w:r w:rsidRPr="00A879E9">
        <w:rPr>
          <w:rFonts w:ascii="Times New Roman" w:hAnsi="Times New Roman" w:cs="Times New Roman"/>
          <w:sz w:val="24"/>
          <w:szCs w:val="24"/>
        </w:rPr>
        <w:t>) Surface samples (2015)</w:t>
      </w:r>
    </w:p>
    <w:p w14:paraId="636AB91B" w14:textId="77777777" w:rsidR="00A879E9" w:rsidRDefault="00A879E9" w:rsidP="00A879E9">
      <w:pPr>
        <w:ind w:left="1134"/>
        <w:rPr>
          <w:rFonts w:ascii="Times New Roman" w:hAnsi="Times New Roman" w:cs="Times New Roman"/>
          <w:sz w:val="24"/>
          <w:szCs w:val="24"/>
        </w:rPr>
      </w:pPr>
      <w:r>
        <w:rPr>
          <w:rFonts w:ascii="Times New Roman" w:hAnsi="Times New Roman" w:cs="Times New Roman"/>
          <w:sz w:val="24"/>
          <w:szCs w:val="24"/>
        </w:rPr>
        <w:t>Saline waters: C</w:t>
      </w:r>
      <w:r>
        <w:rPr>
          <w:rFonts w:ascii="Times New Roman" w:hAnsi="Times New Roman" w:cs="Times New Roman"/>
          <w:sz w:val="24"/>
          <w:szCs w:val="24"/>
          <w:vertAlign w:val="subscript"/>
        </w:rPr>
        <w:t>U-236</w:t>
      </w:r>
      <w:r w:rsidRPr="00A879E9">
        <w:rPr>
          <w:rFonts w:ascii="Times New Roman" w:hAnsi="Times New Roman" w:cs="Times New Roman"/>
          <w:sz w:val="24"/>
          <w:szCs w:val="24"/>
        </w:rPr>
        <w:t xml:space="preserve"> </w:t>
      </w:r>
      <w:r>
        <w:rPr>
          <w:rFonts w:ascii="Times New Roman" w:hAnsi="Times New Roman" w:cs="Times New Roman"/>
          <w:sz w:val="24"/>
          <w:szCs w:val="24"/>
        </w:rPr>
        <w:t xml:space="preserve">= -13.0 × </w:t>
      </w:r>
      <w:r w:rsidRPr="00A879E9">
        <w:rPr>
          <w:rFonts w:ascii="Times New Roman" w:hAnsi="Times New Roman" w:cs="Times New Roman"/>
          <w:sz w:val="24"/>
          <w:szCs w:val="24"/>
        </w:rPr>
        <w:t>sal</w:t>
      </w:r>
      <w:r>
        <w:rPr>
          <w:rFonts w:ascii="Times New Roman" w:hAnsi="Times New Roman" w:cs="Times New Roman"/>
          <w:sz w:val="24"/>
          <w:szCs w:val="24"/>
        </w:rPr>
        <w:t>.</w:t>
      </w:r>
      <w:r w:rsidRPr="00A879E9">
        <w:rPr>
          <w:rFonts w:ascii="Times New Roman" w:hAnsi="Times New Roman" w:cs="Times New Roman"/>
          <w:sz w:val="24"/>
          <w:szCs w:val="24"/>
        </w:rPr>
        <w:t xml:space="preserve"> </w:t>
      </w:r>
      <w:r>
        <w:rPr>
          <w:rFonts w:ascii="Times New Roman" w:hAnsi="Times New Roman" w:cs="Times New Roman"/>
          <w:sz w:val="24"/>
          <w:szCs w:val="24"/>
        </w:rPr>
        <w:t>+ 501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at/kg)    </w:t>
      </w:r>
      <w:r w:rsidRPr="00A879E9">
        <w:rPr>
          <w:rFonts w:ascii="Times New Roman" w:hAnsi="Times New Roman" w:cs="Times New Roman"/>
          <w:sz w:val="24"/>
          <w:szCs w:val="24"/>
        </w:rPr>
        <w:t>R</w:t>
      </w:r>
      <w:r w:rsidRPr="00A879E9">
        <w:rPr>
          <w:rFonts w:ascii="Times New Roman" w:hAnsi="Times New Roman" w:cs="Times New Roman"/>
          <w:sz w:val="24"/>
          <w:szCs w:val="24"/>
          <w:vertAlign w:val="superscript"/>
        </w:rPr>
        <w:t>2</w:t>
      </w:r>
      <w:r>
        <w:rPr>
          <w:rFonts w:ascii="Times New Roman" w:hAnsi="Times New Roman" w:cs="Times New Roman"/>
          <w:sz w:val="24"/>
          <w:szCs w:val="24"/>
        </w:rPr>
        <w:t>=0.585</w:t>
      </w:r>
    </w:p>
    <w:p w14:paraId="104C31A7" w14:textId="10F0A64E" w:rsidR="00A879E9" w:rsidRDefault="002D0210" w:rsidP="00A879E9">
      <w:pPr>
        <w:ind w:left="1134"/>
        <w:rPr>
          <w:rFonts w:ascii="Times New Roman" w:hAnsi="Times New Roman" w:cs="Times New Roman"/>
          <w:sz w:val="24"/>
          <w:szCs w:val="24"/>
        </w:rPr>
      </w:pPr>
      <w:r>
        <w:rPr>
          <w:rFonts w:ascii="Times New Roman" w:hAnsi="Times New Roman" w:cs="Times New Roman"/>
          <w:sz w:val="24"/>
          <w:szCs w:val="24"/>
        </w:rPr>
        <w:t>Brackish</w:t>
      </w:r>
      <w:r w:rsidR="00A879E9">
        <w:rPr>
          <w:rFonts w:ascii="Times New Roman" w:hAnsi="Times New Roman" w:cs="Times New Roman"/>
          <w:sz w:val="24"/>
          <w:szCs w:val="24"/>
        </w:rPr>
        <w:t xml:space="preserve"> waters</w:t>
      </w:r>
      <w:r w:rsidR="00DC1502">
        <w:rPr>
          <w:rFonts w:ascii="Times New Roman" w:hAnsi="Times New Roman" w:cs="Times New Roman"/>
          <w:sz w:val="24"/>
          <w:szCs w:val="24"/>
        </w:rPr>
        <w:t xml:space="preserve"> (upper limit)</w:t>
      </w:r>
      <w:r w:rsidR="00A879E9">
        <w:rPr>
          <w:rFonts w:ascii="Times New Roman" w:hAnsi="Times New Roman" w:cs="Times New Roman"/>
          <w:sz w:val="24"/>
          <w:szCs w:val="24"/>
        </w:rPr>
        <w:t>: C</w:t>
      </w:r>
      <w:r w:rsidR="00DC1502">
        <w:rPr>
          <w:rFonts w:ascii="Times New Roman" w:hAnsi="Times New Roman" w:cs="Times New Roman"/>
          <w:sz w:val="24"/>
          <w:szCs w:val="24"/>
          <w:vertAlign w:val="subscript"/>
        </w:rPr>
        <w:t>U-236</w:t>
      </w:r>
      <w:r w:rsidR="00A879E9" w:rsidRPr="00A879E9">
        <w:rPr>
          <w:rFonts w:ascii="Times New Roman" w:hAnsi="Times New Roman" w:cs="Times New Roman"/>
          <w:sz w:val="24"/>
          <w:szCs w:val="24"/>
        </w:rPr>
        <w:t xml:space="preserve"> </w:t>
      </w:r>
      <w:r w:rsidR="00A879E9">
        <w:rPr>
          <w:rFonts w:ascii="Times New Roman" w:hAnsi="Times New Roman" w:cs="Times New Roman"/>
          <w:sz w:val="24"/>
          <w:szCs w:val="24"/>
        </w:rPr>
        <w:t xml:space="preserve">= </w:t>
      </w:r>
      <w:r w:rsidR="00DC1502">
        <w:rPr>
          <w:rFonts w:ascii="Times New Roman" w:hAnsi="Times New Roman" w:cs="Times New Roman"/>
          <w:sz w:val="24"/>
          <w:szCs w:val="24"/>
        </w:rPr>
        <w:t>11.5</w:t>
      </w:r>
      <w:r w:rsidR="00A879E9">
        <w:rPr>
          <w:rFonts w:ascii="Times New Roman" w:hAnsi="Times New Roman" w:cs="Times New Roman"/>
          <w:sz w:val="24"/>
          <w:szCs w:val="24"/>
        </w:rPr>
        <w:t xml:space="preserve"> × </w:t>
      </w:r>
      <w:r w:rsidR="00A879E9" w:rsidRPr="00A879E9">
        <w:rPr>
          <w:rFonts w:ascii="Times New Roman" w:hAnsi="Times New Roman" w:cs="Times New Roman"/>
          <w:sz w:val="24"/>
          <w:szCs w:val="24"/>
        </w:rPr>
        <w:t>sal</w:t>
      </w:r>
      <w:r w:rsidR="00A879E9">
        <w:rPr>
          <w:rFonts w:ascii="Times New Roman" w:hAnsi="Times New Roman" w:cs="Times New Roman"/>
          <w:sz w:val="24"/>
          <w:szCs w:val="24"/>
        </w:rPr>
        <w:t>.</w:t>
      </w:r>
      <w:r w:rsidR="00A879E9" w:rsidRPr="00A879E9">
        <w:rPr>
          <w:rFonts w:ascii="Times New Roman" w:hAnsi="Times New Roman" w:cs="Times New Roman"/>
          <w:sz w:val="24"/>
          <w:szCs w:val="24"/>
        </w:rPr>
        <w:t xml:space="preserve"> -</w:t>
      </w:r>
      <w:r w:rsidR="00A879E9">
        <w:rPr>
          <w:rFonts w:ascii="Times New Roman" w:hAnsi="Times New Roman" w:cs="Times New Roman"/>
          <w:sz w:val="24"/>
          <w:szCs w:val="24"/>
        </w:rPr>
        <w:t xml:space="preserve"> </w:t>
      </w:r>
      <w:r w:rsidR="00DC1502">
        <w:rPr>
          <w:rFonts w:ascii="Times New Roman" w:hAnsi="Times New Roman" w:cs="Times New Roman"/>
          <w:sz w:val="24"/>
          <w:szCs w:val="24"/>
        </w:rPr>
        <w:t>50.6</w:t>
      </w:r>
      <w:r w:rsidR="00A879E9">
        <w:rPr>
          <w:rFonts w:ascii="Times New Roman" w:hAnsi="Times New Roman" w:cs="Times New Roman"/>
          <w:sz w:val="24"/>
          <w:szCs w:val="24"/>
        </w:rPr>
        <w:t xml:space="preserve"> (10</w:t>
      </w:r>
      <w:r w:rsidR="00DC1502">
        <w:rPr>
          <w:rFonts w:ascii="Times New Roman" w:hAnsi="Times New Roman" w:cs="Times New Roman"/>
          <w:sz w:val="24"/>
          <w:szCs w:val="24"/>
          <w:vertAlign w:val="superscript"/>
        </w:rPr>
        <w:t>6</w:t>
      </w:r>
      <w:r w:rsidR="00A879E9">
        <w:rPr>
          <w:rFonts w:ascii="Times New Roman" w:hAnsi="Times New Roman" w:cs="Times New Roman"/>
          <w:sz w:val="24"/>
          <w:szCs w:val="24"/>
        </w:rPr>
        <w:t xml:space="preserve"> at/kg)    </w:t>
      </w:r>
      <w:r w:rsidR="00A879E9" w:rsidRPr="00A879E9">
        <w:rPr>
          <w:rFonts w:ascii="Times New Roman" w:hAnsi="Times New Roman" w:cs="Times New Roman"/>
          <w:sz w:val="24"/>
          <w:szCs w:val="24"/>
        </w:rPr>
        <w:t>R</w:t>
      </w:r>
      <w:r w:rsidR="00A879E9" w:rsidRPr="00A879E9">
        <w:rPr>
          <w:rFonts w:ascii="Times New Roman" w:hAnsi="Times New Roman" w:cs="Times New Roman"/>
          <w:sz w:val="24"/>
          <w:szCs w:val="24"/>
          <w:vertAlign w:val="superscript"/>
        </w:rPr>
        <w:t>2</w:t>
      </w:r>
      <w:r w:rsidR="00DC1502">
        <w:rPr>
          <w:rFonts w:ascii="Times New Roman" w:hAnsi="Times New Roman" w:cs="Times New Roman"/>
          <w:sz w:val="24"/>
          <w:szCs w:val="24"/>
        </w:rPr>
        <w:t>=0.999</w:t>
      </w:r>
    </w:p>
    <w:p w14:paraId="56199C46" w14:textId="450EF0E5" w:rsidR="00DC1502" w:rsidRPr="00A879E9" w:rsidRDefault="002D0210" w:rsidP="00DC1502">
      <w:pPr>
        <w:ind w:left="1134"/>
        <w:rPr>
          <w:rFonts w:ascii="Times New Roman" w:hAnsi="Times New Roman" w:cs="Times New Roman"/>
          <w:sz w:val="24"/>
          <w:szCs w:val="24"/>
        </w:rPr>
      </w:pPr>
      <w:r>
        <w:rPr>
          <w:rFonts w:ascii="Times New Roman" w:hAnsi="Times New Roman" w:cs="Times New Roman"/>
          <w:sz w:val="24"/>
          <w:szCs w:val="24"/>
        </w:rPr>
        <w:t>Brackish</w:t>
      </w:r>
      <w:r w:rsidR="00DC1502">
        <w:rPr>
          <w:rFonts w:ascii="Times New Roman" w:hAnsi="Times New Roman" w:cs="Times New Roman"/>
          <w:sz w:val="24"/>
          <w:szCs w:val="24"/>
        </w:rPr>
        <w:t xml:space="preserve"> waters (lower limit): C</w:t>
      </w:r>
      <w:r w:rsidR="00DC1502">
        <w:rPr>
          <w:rFonts w:ascii="Times New Roman" w:hAnsi="Times New Roman" w:cs="Times New Roman"/>
          <w:sz w:val="24"/>
          <w:szCs w:val="24"/>
          <w:vertAlign w:val="subscript"/>
        </w:rPr>
        <w:t>U-236</w:t>
      </w:r>
      <w:r w:rsidR="00DC1502" w:rsidRPr="00A879E9">
        <w:rPr>
          <w:rFonts w:ascii="Times New Roman" w:hAnsi="Times New Roman" w:cs="Times New Roman"/>
          <w:sz w:val="24"/>
          <w:szCs w:val="24"/>
        </w:rPr>
        <w:t xml:space="preserve"> </w:t>
      </w:r>
      <w:r w:rsidR="00DC1502">
        <w:rPr>
          <w:rFonts w:ascii="Times New Roman" w:hAnsi="Times New Roman" w:cs="Times New Roman"/>
          <w:sz w:val="24"/>
          <w:szCs w:val="24"/>
        </w:rPr>
        <w:t xml:space="preserve">= 1.47 × </w:t>
      </w:r>
      <w:r w:rsidR="00DC1502" w:rsidRPr="00A879E9">
        <w:rPr>
          <w:rFonts w:ascii="Times New Roman" w:hAnsi="Times New Roman" w:cs="Times New Roman"/>
          <w:sz w:val="24"/>
          <w:szCs w:val="24"/>
        </w:rPr>
        <w:t>sal</w:t>
      </w:r>
      <w:r w:rsidR="00DC1502">
        <w:rPr>
          <w:rFonts w:ascii="Times New Roman" w:hAnsi="Times New Roman" w:cs="Times New Roman"/>
          <w:sz w:val="24"/>
          <w:szCs w:val="24"/>
        </w:rPr>
        <w:t>. + 5.87 (10</w:t>
      </w:r>
      <w:r w:rsidR="00DC1502">
        <w:rPr>
          <w:rFonts w:ascii="Times New Roman" w:hAnsi="Times New Roman" w:cs="Times New Roman"/>
          <w:sz w:val="24"/>
          <w:szCs w:val="24"/>
          <w:vertAlign w:val="superscript"/>
        </w:rPr>
        <w:t>6</w:t>
      </w:r>
      <w:r w:rsidR="00DC1502">
        <w:rPr>
          <w:rFonts w:ascii="Times New Roman" w:hAnsi="Times New Roman" w:cs="Times New Roman"/>
          <w:sz w:val="24"/>
          <w:szCs w:val="24"/>
        </w:rPr>
        <w:t xml:space="preserve"> at/kg)    </w:t>
      </w:r>
      <w:r w:rsidR="00DC1502" w:rsidRPr="00A879E9">
        <w:rPr>
          <w:rFonts w:ascii="Times New Roman" w:hAnsi="Times New Roman" w:cs="Times New Roman"/>
          <w:sz w:val="24"/>
          <w:szCs w:val="24"/>
        </w:rPr>
        <w:t>R</w:t>
      </w:r>
      <w:r w:rsidR="00DC1502" w:rsidRPr="00A879E9">
        <w:rPr>
          <w:rFonts w:ascii="Times New Roman" w:hAnsi="Times New Roman" w:cs="Times New Roman"/>
          <w:sz w:val="24"/>
          <w:szCs w:val="24"/>
          <w:vertAlign w:val="superscript"/>
        </w:rPr>
        <w:t>2</w:t>
      </w:r>
      <w:r w:rsidR="00DC1502">
        <w:rPr>
          <w:rFonts w:ascii="Times New Roman" w:hAnsi="Times New Roman" w:cs="Times New Roman"/>
          <w:sz w:val="24"/>
          <w:szCs w:val="24"/>
        </w:rPr>
        <w:t>=0.997</w:t>
      </w:r>
    </w:p>
    <w:p w14:paraId="2F8D03A5" w14:textId="77777777" w:rsidR="00A879E9" w:rsidRPr="00A879E9" w:rsidRDefault="00A879E9" w:rsidP="00A879E9">
      <w:pPr>
        <w:ind w:left="567"/>
        <w:rPr>
          <w:rFonts w:ascii="Times New Roman" w:hAnsi="Times New Roman" w:cs="Times New Roman"/>
          <w:sz w:val="24"/>
          <w:szCs w:val="24"/>
        </w:rPr>
      </w:pPr>
      <w:r w:rsidRPr="00A879E9">
        <w:rPr>
          <w:rFonts w:ascii="Times New Roman" w:hAnsi="Times New Roman" w:cs="Times New Roman"/>
          <w:sz w:val="24"/>
          <w:szCs w:val="24"/>
        </w:rPr>
        <w:t>(</w:t>
      </w:r>
      <w:r>
        <w:rPr>
          <w:rFonts w:ascii="Times New Roman" w:hAnsi="Times New Roman" w:cs="Times New Roman"/>
          <w:sz w:val="24"/>
          <w:szCs w:val="24"/>
        </w:rPr>
        <w:t>B</w:t>
      </w:r>
      <w:r w:rsidRPr="00A879E9">
        <w:rPr>
          <w:rFonts w:ascii="Times New Roman" w:hAnsi="Times New Roman" w:cs="Times New Roman"/>
          <w:sz w:val="24"/>
          <w:szCs w:val="24"/>
        </w:rPr>
        <w:t>) Profile samples (2018-2019)</w:t>
      </w:r>
    </w:p>
    <w:p w14:paraId="4FD19F17" w14:textId="77777777" w:rsidR="00A879E9" w:rsidRDefault="00A879E9" w:rsidP="00A879E9">
      <w:pPr>
        <w:ind w:left="1134"/>
        <w:rPr>
          <w:rFonts w:ascii="Times New Roman" w:hAnsi="Times New Roman" w:cs="Times New Roman"/>
          <w:sz w:val="24"/>
          <w:szCs w:val="24"/>
        </w:rPr>
      </w:pPr>
      <w:r>
        <w:rPr>
          <w:rFonts w:ascii="Times New Roman" w:hAnsi="Times New Roman" w:cs="Times New Roman"/>
          <w:sz w:val="24"/>
          <w:szCs w:val="24"/>
        </w:rPr>
        <w:t>Saline waters: C</w:t>
      </w:r>
      <w:r w:rsidR="00DC1502">
        <w:rPr>
          <w:rFonts w:ascii="Times New Roman" w:hAnsi="Times New Roman" w:cs="Times New Roman"/>
          <w:sz w:val="24"/>
          <w:szCs w:val="24"/>
          <w:vertAlign w:val="subscript"/>
        </w:rPr>
        <w:t>U-236</w:t>
      </w:r>
      <w:r w:rsidRPr="00A879E9">
        <w:rPr>
          <w:rFonts w:ascii="Times New Roman" w:hAnsi="Times New Roman" w:cs="Times New Roman"/>
          <w:sz w:val="24"/>
          <w:szCs w:val="24"/>
        </w:rPr>
        <w:t xml:space="preserve"> </w:t>
      </w:r>
      <w:r>
        <w:rPr>
          <w:rFonts w:ascii="Times New Roman" w:hAnsi="Times New Roman" w:cs="Times New Roman"/>
          <w:sz w:val="24"/>
          <w:szCs w:val="24"/>
        </w:rPr>
        <w:t xml:space="preserve">= -16.8 × </w:t>
      </w:r>
      <w:r w:rsidRPr="00A879E9">
        <w:rPr>
          <w:rFonts w:ascii="Times New Roman" w:hAnsi="Times New Roman" w:cs="Times New Roman"/>
          <w:sz w:val="24"/>
          <w:szCs w:val="24"/>
        </w:rPr>
        <w:t>sal</w:t>
      </w:r>
      <w:r>
        <w:rPr>
          <w:rFonts w:ascii="Times New Roman" w:hAnsi="Times New Roman" w:cs="Times New Roman"/>
          <w:sz w:val="24"/>
          <w:szCs w:val="24"/>
        </w:rPr>
        <w:t>. + 602 (10</w:t>
      </w:r>
      <w:r w:rsidR="00DC1502">
        <w:rPr>
          <w:rFonts w:ascii="Times New Roman" w:hAnsi="Times New Roman" w:cs="Times New Roman"/>
          <w:sz w:val="24"/>
          <w:szCs w:val="24"/>
          <w:vertAlign w:val="superscript"/>
        </w:rPr>
        <w:t>6</w:t>
      </w:r>
      <w:r>
        <w:rPr>
          <w:rFonts w:ascii="Times New Roman" w:hAnsi="Times New Roman" w:cs="Times New Roman"/>
          <w:sz w:val="24"/>
          <w:szCs w:val="24"/>
        </w:rPr>
        <w:t xml:space="preserve"> at/kg)    </w:t>
      </w:r>
      <w:r w:rsidRPr="00A879E9">
        <w:rPr>
          <w:rFonts w:ascii="Times New Roman" w:hAnsi="Times New Roman" w:cs="Times New Roman"/>
          <w:sz w:val="24"/>
          <w:szCs w:val="24"/>
        </w:rPr>
        <w:t>R</w:t>
      </w:r>
      <w:r w:rsidRPr="00A879E9">
        <w:rPr>
          <w:rFonts w:ascii="Times New Roman" w:hAnsi="Times New Roman" w:cs="Times New Roman"/>
          <w:sz w:val="24"/>
          <w:szCs w:val="24"/>
          <w:vertAlign w:val="superscript"/>
        </w:rPr>
        <w:t>2</w:t>
      </w:r>
      <w:r w:rsidR="00DC1502">
        <w:rPr>
          <w:rFonts w:ascii="Times New Roman" w:hAnsi="Times New Roman" w:cs="Times New Roman"/>
          <w:sz w:val="24"/>
          <w:szCs w:val="24"/>
        </w:rPr>
        <w:t>=0.856</w:t>
      </w:r>
    </w:p>
    <w:p w14:paraId="37D12081" w14:textId="01A564DC" w:rsidR="00DC1502" w:rsidRDefault="002D0210" w:rsidP="00DC1502">
      <w:pPr>
        <w:ind w:left="1134"/>
        <w:rPr>
          <w:rFonts w:ascii="Times New Roman" w:hAnsi="Times New Roman" w:cs="Times New Roman"/>
          <w:sz w:val="24"/>
          <w:szCs w:val="24"/>
        </w:rPr>
      </w:pPr>
      <w:r>
        <w:rPr>
          <w:rFonts w:ascii="Times New Roman" w:hAnsi="Times New Roman" w:cs="Times New Roman"/>
          <w:sz w:val="24"/>
          <w:szCs w:val="24"/>
        </w:rPr>
        <w:t>Brackish</w:t>
      </w:r>
      <w:r w:rsidR="00DC1502">
        <w:rPr>
          <w:rFonts w:ascii="Times New Roman" w:hAnsi="Times New Roman" w:cs="Times New Roman"/>
          <w:sz w:val="24"/>
          <w:szCs w:val="24"/>
        </w:rPr>
        <w:t xml:space="preserve"> waters (upper limit): C</w:t>
      </w:r>
      <w:r w:rsidR="00DC1502">
        <w:rPr>
          <w:rFonts w:ascii="Times New Roman" w:hAnsi="Times New Roman" w:cs="Times New Roman"/>
          <w:sz w:val="24"/>
          <w:szCs w:val="24"/>
          <w:vertAlign w:val="subscript"/>
        </w:rPr>
        <w:t>U-236</w:t>
      </w:r>
      <w:r w:rsidR="00DC1502" w:rsidRPr="00A879E9">
        <w:rPr>
          <w:rFonts w:ascii="Times New Roman" w:hAnsi="Times New Roman" w:cs="Times New Roman"/>
          <w:sz w:val="24"/>
          <w:szCs w:val="24"/>
        </w:rPr>
        <w:t xml:space="preserve"> </w:t>
      </w:r>
      <w:r w:rsidR="00DC1502">
        <w:rPr>
          <w:rFonts w:ascii="Times New Roman" w:hAnsi="Times New Roman" w:cs="Times New Roman"/>
          <w:sz w:val="24"/>
          <w:szCs w:val="24"/>
        </w:rPr>
        <w:t xml:space="preserve">= 2.57 × </w:t>
      </w:r>
      <w:r w:rsidR="00DC1502" w:rsidRPr="00A879E9">
        <w:rPr>
          <w:rFonts w:ascii="Times New Roman" w:hAnsi="Times New Roman" w:cs="Times New Roman"/>
          <w:sz w:val="24"/>
          <w:szCs w:val="24"/>
        </w:rPr>
        <w:t>sal</w:t>
      </w:r>
      <w:r w:rsidR="00DC1502">
        <w:rPr>
          <w:rFonts w:ascii="Times New Roman" w:hAnsi="Times New Roman" w:cs="Times New Roman"/>
          <w:sz w:val="24"/>
          <w:szCs w:val="24"/>
        </w:rPr>
        <w:t>.</w:t>
      </w:r>
      <w:r w:rsidR="00DC1502" w:rsidRPr="00A879E9">
        <w:rPr>
          <w:rFonts w:ascii="Times New Roman" w:hAnsi="Times New Roman" w:cs="Times New Roman"/>
          <w:sz w:val="24"/>
          <w:szCs w:val="24"/>
        </w:rPr>
        <w:t xml:space="preserve"> </w:t>
      </w:r>
      <w:r w:rsidR="00DC1502">
        <w:rPr>
          <w:rFonts w:ascii="Times New Roman" w:hAnsi="Times New Roman" w:cs="Times New Roman"/>
          <w:sz w:val="24"/>
          <w:szCs w:val="24"/>
        </w:rPr>
        <w:t>+ 6.13 (10</w:t>
      </w:r>
      <w:r w:rsidR="00DC1502">
        <w:rPr>
          <w:rFonts w:ascii="Times New Roman" w:hAnsi="Times New Roman" w:cs="Times New Roman"/>
          <w:sz w:val="24"/>
          <w:szCs w:val="24"/>
          <w:vertAlign w:val="superscript"/>
        </w:rPr>
        <w:t>6</w:t>
      </w:r>
      <w:r w:rsidR="00DC1502">
        <w:rPr>
          <w:rFonts w:ascii="Times New Roman" w:hAnsi="Times New Roman" w:cs="Times New Roman"/>
          <w:sz w:val="24"/>
          <w:szCs w:val="24"/>
        </w:rPr>
        <w:t xml:space="preserve"> at/kg)    </w:t>
      </w:r>
      <w:r w:rsidR="00DC1502" w:rsidRPr="00A879E9">
        <w:rPr>
          <w:rFonts w:ascii="Times New Roman" w:hAnsi="Times New Roman" w:cs="Times New Roman"/>
          <w:sz w:val="24"/>
          <w:szCs w:val="24"/>
        </w:rPr>
        <w:t>R</w:t>
      </w:r>
      <w:r w:rsidR="00DC1502" w:rsidRPr="00A879E9">
        <w:rPr>
          <w:rFonts w:ascii="Times New Roman" w:hAnsi="Times New Roman" w:cs="Times New Roman"/>
          <w:sz w:val="24"/>
          <w:szCs w:val="24"/>
          <w:vertAlign w:val="superscript"/>
        </w:rPr>
        <w:t>2</w:t>
      </w:r>
      <w:r w:rsidR="00DC1502">
        <w:rPr>
          <w:rFonts w:ascii="Times New Roman" w:hAnsi="Times New Roman" w:cs="Times New Roman"/>
          <w:sz w:val="24"/>
          <w:szCs w:val="24"/>
        </w:rPr>
        <w:t>=0.980</w:t>
      </w:r>
    </w:p>
    <w:p w14:paraId="6CD8C4F6" w14:textId="1BC0B8FF" w:rsidR="00C54AAE" w:rsidRPr="00DC1502" w:rsidRDefault="002D0210" w:rsidP="00DC1502">
      <w:pPr>
        <w:ind w:left="1134"/>
        <w:rPr>
          <w:rFonts w:ascii="Times New Roman" w:hAnsi="Times New Roman" w:cs="Times New Roman"/>
          <w:sz w:val="24"/>
          <w:szCs w:val="24"/>
        </w:rPr>
      </w:pPr>
      <w:r>
        <w:rPr>
          <w:rFonts w:ascii="Times New Roman" w:hAnsi="Times New Roman" w:cs="Times New Roman"/>
          <w:sz w:val="24"/>
          <w:szCs w:val="24"/>
        </w:rPr>
        <w:t>Brackish</w:t>
      </w:r>
      <w:r w:rsidR="00DC1502">
        <w:rPr>
          <w:rFonts w:ascii="Times New Roman" w:hAnsi="Times New Roman" w:cs="Times New Roman"/>
          <w:sz w:val="24"/>
          <w:szCs w:val="24"/>
        </w:rPr>
        <w:t xml:space="preserve"> waters (lower limit): C</w:t>
      </w:r>
      <w:r w:rsidR="00DC1502">
        <w:rPr>
          <w:rFonts w:ascii="Times New Roman" w:hAnsi="Times New Roman" w:cs="Times New Roman"/>
          <w:sz w:val="24"/>
          <w:szCs w:val="24"/>
          <w:vertAlign w:val="subscript"/>
        </w:rPr>
        <w:t>U-236</w:t>
      </w:r>
      <w:r w:rsidR="00DC1502" w:rsidRPr="00A879E9">
        <w:rPr>
          <w:rFonts w:ascii="Times New Roman" w:hAnsi="Times New Roman" w:cs="Times New Roman"/>
          <w:sz w:val="24"/>
          <w:szCs w:val="24"/>
        </w:rPr>
        <w:t xml:space="preserve"> </w:t>
      </w:r>
      <w:r w:rsidR="00DC1502">
        <w:rPr>
          <w:rFonts w:ascii="Times New Roman" w:hAnsi="Times New Roman" w:cs="Times New Roman"/>
          <w:sz w:val="24"/>
          <w:szCs w:val="24"/>
        </w:rPr>
        <w:t xml:space="preserve">= 1.70 × </w:t>
      </w:r>
      <w:r w:rsidR="00DC1502" w:rsidRPr="00A879E9">
        <w:rPr>
          <w:rFonts w:ascii="Times New Roman" w:hAnsi="Times New Roman" w:cs="Times New Roman"/>
          <w:sz w:val="24"/>
          <w:szCs w:val="24"/>
        </w:rPr>
        <w:t>sal</w:t>
      </w:r>
      <w:r w:rsidR="00DC1502">
        <w:rPr>
          <w:rFonts w:ascii="Times New Roman" w:hAnsi="Times New Roman" w:cs="Times New Roman"/>
          <w:sz w:val="24"/>
          <w:szCs w:val="24"/>
        </w:rPr>
        <w:t>. + 5.81 (10</w:t>
      </w:r>
      <w:r w:rsidR="00DC1502">
        <w:rPr>
          <w:rFonts w:ascii="Times New Roman" w:hAnsi="Times New Roman" w:cs="Times New Roman"/>
          <w:sz w:val="24"/>
          <w:szCs w:val="24"/>
          <w:vertAlign w:val="superscript"/>
        </w:rPr>
        <w:t>6</w:t>
      </w:r>
      <w:r w:rsidR="00DC1502">
        <w:rPr>
          <w:rFonts w:ascii="Times New Roman" w:hAnsi="Times New Roman" w:cs="Times New Roman"/>
          <w:sz w:val="24"/>
          <w:szCs w:val="24"/>
        </w:rPr>
        <w:t xml:space="preserve"> at/kg)    </w:t>
      </w:r>
      <w:r w:rsidR="00DC1502" w:rsidRPr="00A879E9">
        <w:rPr>
          <w:rFonts w:ascii="Times New Roman" w:hAnsi="Times New Roman" w:cs="Times New Roman"/>
          <w:sz w:val="24"/>
          <w:szCs w:val="24"/>
        </w:rPr>
        <w:t>R</w:t>
      </w:r>
      <w:r w:rsidR="00DC1502" w:rsidRPr="00A879E9">
        <w:rPr>
          <w:rFonts w:ascii="Times New Roman" w:hAnsi="Times New Roman" w:cs="Times New Roman"/>
          <w:sz w:val="24"/>
          <w:szCs w:val="24"/>
          <w:vertAlign w:val="superscript"/>
        </w:rPr>
        <w:t>2</w:t>
      </w:r>
      <w:r w:rsidR="00DC1502">
        <w:rPr>
          <w:rFonts w:ascii="Times New Roman" w:hAnsi="Times New Roman" w:cs="Times New Roman"/>
          <w:sz w:val="24"/>
          <w:szCs w:val="24"/>
        </w:rPr>
        <w:t>=0.984</w:t>
      </w:r>
    </w:p>
    <w:p w14:paraId="0FCB9970" w14:textId="2B661DD8" w:rsidR="00044881" w:rsidRPr="00087D09" w:rsidRDefault="00044881">
      <w:r>
        <w:rPr>
          <w:b/>
        </w:rPr>
        <w:br w:type="page"/>
      </w:r>
    </w:p>
    <w:p w14:paraId="3AE910FA" w14:textId="3281B91B" w:rsidR="00E50123" w:rsidRDefault="00E50123" w:rsidP="00044881">
      <w:pPr>
        <w:kinsoku w:val="0"/>
        <w:overflowPunct w:val="0"/>
        <w:autoSpaceDE w:val="0"/>
        <w:autoSpaceDN w:val="0"/>
        <w:rPr>
          <w:rFonts w:ascii="Times New Roman" w:hAnsi="Times New Roman" w:cs="Times New Roman"/>
          <w:b/>
          <w:sz w:val="24"/>
          <w:szCs w:val="24"/>
        </w:rPr>
      </w:pPr>
      <w:r w:rsidRPr="00E50123">
        <w:rPr>
          <w:rFonts w:ascii="Times New Roman" w:hAnsi="Times New Roman" w:cs="Times New Roman"/>
          <w:b/>
          <w:noProof/>
          <w:sz w:val="24"/>
          <w:szCs w:val="24"/>
        </w:rPr>
        <w:lastRenderedPageBreak/>
        <w:drawing>
          <wp:inline distT="0" distB="0" distL="0" distR="0" wp14:anchorId="687E6A52" wp14:editId="33828DAB">
            <wp:extent cx="5731510" cy="2590165"/>
            <wp:effectExtent l="0" t="0" r="0" b="635"/>
            <wp:docPr id="661916530" name="Picture 1"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16530" name="Picture 1" descr="A picture containing text, screenshot, plot, line&#10;&#10;Description automatically generated"/>
                    <pic:cNvPicPr/>
                  </pic:nvPicPr>
                  <pic:blipFill>
                    <a:blip r:embed="rId9"/>
                    <a:stretch>
                      <a:fillRect/>
                    </a:stretch>
                  </pic:blipFill>
                  <pic:spPr>
                    <a:xfrm>
                      <a:off x="0" y="0"/>
                      <a:ext cx="5731510" cy="2590165"/>
                    </a:xfrm>
                    <a:prstGeom prst="rect">
                      <a:avLst/>
                    </a:prstGeom>
                  </pic:spPr>
                </pic:pic>
              </a:graphicData>
            </a:graphic>
          </wp:inline>
        </w:drawing>
      </w:r>
    </w:p>
    <w:p w14:paraId="4187ACF1" w14:textId="498B8F75" w:rsidR="00044881" w:rsidRPr="00620D15" w:rsidRDefault="00044881" w:rsidP="00044881">
      <w:pPr>
        <w:kinsoku w:val="0"/>
        <w:overflowPunct w:val="0"/>
        <w:autoSpaceDE w:val="0"/>
        <w:autoSpaceDN w:val="0"/>
        <w:adjustRightInd w:val="0"/>
        <w:snapToGrid w:val="0"/>
        <w:spacing w:after="0" w:line="360" w:lineRule="auto"/>
        <w:jc w:val="both"/>
        <w:rPr>
          <w:b/>
        </w:rPr>
      </w:pPr>
      <w:r w:rsidRPr="00620D15">
        <w:rPr>
          <w:rFonts w:ascii="Times New Roman" w:hAnsi="Times New Roman" w:cs="Times New Roman"/>
          <w:b/>
          <w:sz w:val="24"/>
          <w:szCs w:val="24"/>
        </w:rPr>
        <w:t>Figure S</w:t>
      </w:r>
      <w:r w:rsidR="00087D09">
        <w:rPr>
          <w:rFonts w:ascii="Times New Roman" w:hAnsi="Times New Roman" w:cs="Times New Roman"/>
          <w:b/>
          <w:sz w:val="24"/>
          <w:szCs w:val="24"/>
        </w:rPr>
        <w:t>2</w:t>
      </w:r>
      <w:r w:rsidRPr="00620D15">
        <w:rPr>
          <w:rFonts w:ascii="Times New Roman" w:hAnsi="Times New Roman" w:cs="Times New Roman"/>
          <w:b/>
          <w:sz w:val="24"/>
          <w:szCs w:val="24"/>
        </w:rPr>
        <w:t xml:space="preserve">. </w:t>
      </w:r>
      <w:r w:rsidR="00E50123" w:rsidRPr="00620D15">
        <w:rPr>
          <w:rFonts w:ascii="Times New Roman" w:hAnsi="Times New Roman" w:cs="Times New Roman"/>
          <w:b/>
          <w:sz w:val="24"/>
          <w:szCs w:val="24"/>
        </w:rPr>
        <w:t xml:space="preserve">(A) </w:t>
      </w:r>
      <w:r w:rsidR="00620D15" w:rsidRPr="00620D15">
        <w:rPr>
          <w:rFonts w:ascii="Times New Roman" w:hAnsi="Times New Roman" w:cs="Times New Roman"/>
          <w:b/>
          <w:sz w:val="24"/>
          <w:szCs w:val="24"/>
        </w:rPr>
        <w:t xml:space="preserve">Observed </w:t>
      </w:r>
      <w:r w:rsidR="00E50123" w:rsidRPr="00620D15">
        <w:rPr>
          <w:rFonts w:ascii="Times New Roman" w:hAnsi="Times New Roman" w:cs="Times New Roman"/>
          <w:b/>
          <w:sz w:val="24"/>
          <w:szCs w:val="24"/>
        </w:rPr>
        <w:t xml:space="preserve">mixing diagram for NR-derived </w:t>
      </w:r>
      <w:r w:rsidR="00E50123" w:rsidRPr="00620D15">
        <w:rPr>
          <w:rFonts w:ascii="Times New Roman" w:hAnsi="Times New Roman" w:cs="Times New Roman"/>
          <w:b/>
          <w:sz w:val="24"/>
          <w:szCs w:val="24"/>
          <w:vertAlign w:val="superscript"/>
        </w:rPr>
        <w:t>236</w:t>
      </w:r>
      <w:r w:rsidR="00E50123" w:rsidRPr="00620D15">
        <w:rPr>
          <w:rFonts w:ascii="Times New Roman" w:hAnsi="Times New Roman" w:cs="Times New Roman"/>
          <w:b/>
          <w:sz w:val="24"/>
          <w:szCs w:val="24"/>
        </w:rPr>
        <w:t xml:space="preserve">U concentration vs </w:t>
      </w:r>
      <w:r w:rsidR="00620D15" w:rsidRPr="00620D15">
        <w:rPr>
          <w:rFonts w:ascii="Times New Roman" w:hAnsi="Times New Roman" w:cs="Times New Roman"/>
          <w:b/>
          <w:sz w:val="24"/>
          <w:szCs w:val="24"/>
        </w:rPr>
        <w:t xml:space="preserve">salinity for Baltic seawater samples reported in Qiao et al. (2021) and this work; (B) Simulated mixing diagram of RP-derived </w:t>
      </w:r>
      <w:r w:rsidR="00620D15" w:rsidRPr="00620D15">
        <w:rPr>
          <w:rFonts w:ascii="Times New Roman" w:hAnsi="Times New Roman" w:cs="Times New Roman"/>
          <w:b/>
          <w:sz w:val="24"/>
          <w:szCs w:val="24"/>
          <w:vertAlign w:val="superscript"/>
        </w:rPr>
        <w:t>236</w:t>
      </w:r>
      <w:r w:rsidR="00620D15" w:rsidRPr="00620D15">
        <w:rPr>
          <w:rFonts w:ascii="Times New Roman" w:hAnsi="Times New Roman" w:cs="Times New Roman"/>
          <w:b/>
          <w:sz w:val="24"/>
          <w:szCs w:val="24"/>
        </w:rPr>
        <w:t xml:space="preserve">U vs salinity for 74 stations in the Baltic Sea during the past five decades. </w:t>
      </w:r>
      <w:r w:rsidR="00620D15" w:rsidRPr="00620D15">
        <w:rPr>
          <w:rFonts w:ascii="Times New Roman" w:hAnsi="Times New Roman" w:cs="Times New Roman"/>
          <w:bCs/>
          <w:sz w:val="24"/>
          <w:szCs w:val="24"/>
        </w:rPr>
        <w:t xml:space="preserve">The </w:t>
      </w:r>
      <w:r w:rsidR="00620D15" w:rsidRPr="00620D15">
        <w:rPr>
          <w:rFonts w:ascii="Times New Roman" w:hAnsi="Times New Roman" w:cs="Times New Roman" w:hint="eastAsia"/>
          <w:bCs/>
          <w:sz w:val="24"/>
          <w:szCs w:val="24"/>
        </w:rPr>
        <w:t>solid</w:t>
      </w:r>
      <w:r w:rsidR="00620D15" w:rsidRPr="00620D15">
        <w:rPr>
          <w:rFonts w:ascii="Times New Roman" w:hAnsi="Times New Roman" w:cs="Times New Roman"/>
          <w:bCs/>
          <w:sz w:val="24"/>
          <w:szCs w:val="24"/>
        </w:rPr>
        <w:t xml:space="preserve"> circles represent the endmembers</w:t>
      </w:r>
      <w:r w:rsidR="00620D15" w:rsidRPr="00620D15">
        <w:rPr>
          <w:rFonts w:ascii="Times New Roman" w:hAnsi="Times New Roman" w:cs="Times New Roman" w:hint="eastAsia"/>
          <w:bCs/>
          <w:sz w:val="24"/>
          <w:szCs w:val="24"/>
        </w:rPr>
        <w:t xml:space="preserve"> </w:t>
      </w:r>
      <w:r w:rsidR="00620D15" w:rsidRPr="00620D15">
        <w:rPr>
          <w:rFonts w:ascii="Times New Roman" w:hAnsi="Times New Roman" w:cs="Times New Roman"/>
          <w:bCs/>
          <w:sz w:val="24"/>
          <w:szCs w:val="24"/>
        </w:rPr>
        <w:t>of the freshwater and North Sea water adopted in Qiao et al. (2021), and the solid line is the corresponding binary mixing line. The dashed circle represents the suggested “aged” endmember of the North Sea water according to the age of the surface water in the central Baltic Sea, and the dashed line is the corresponding binary mixing line.</w:t>
      </w:r>
    </w:p>
    <w:p w14:paraId="6B521DAE" w14:textId="2CF61960" w:rsidR="006D0357" w:rsidRDefault="006D0357" w:rsidP="00864DDD">
      <w:pPr>
        <w:pStyle w:val="SMHeading"/>
        <w:adjustRightInd w:val="0"/>
        <w:snapToGrid w:val="0"/>
        <w:spacing w:before="100" w:beforeAutospacing="1" w:after="100" w:afterAutospacing="1" w:line="360" w:lineRule="auto"/>
        <w:jc w:val="both"/>
        <w:rPr>
          <w:b w:val="0"/>
          <w:bCs w:val="0"/>
        </w:rPr>
      </w:pPr>
      <w:r>
        <w:br w:type="page"/>
      </w:r>
    </w:p>
    <w:p w14:paraId="484987E2" w14:textId="77777777" w:rsidR="00E85351" w:rsidRDefault="00E85351" w:rsidP="00F463E7">
      <w:pPr>
        <w:pStyle w:val="SMHeading"/>
        <w:adjustRightInd w:val="0"/>
        <w:snapToGrid w:val="0"/>
        <w:spacing w:before="100" w:beforeAutospacing="1" w:after="100" w:afterAutospacing="1" w:line="360" w:lineRule="auto"/>
        <w:jc w:val="both"/>
      </w:pPr>
      <w:r>
        <w:lastRenderedPageBreak/>
        <w:t xml:space="preserve">Table S1. </w:t>
      </w:r>
      <w:r w:rsidRPr="00E85351">
        <w:t xml:space="preserve">Major sources of </w:t>
      </w:r>
      <w:r w:rsidRPr="00E85351">
        <w:rPr>
          <w:vertAlign w:val="superscript"/>
        </w:rPr>
        <w:t>129</w:t>
      </w:r>
      <w:r w:rsidRPr="00E85351">
        <w:t xml:space="preserve">I, </w:t>
      </w:r>
      <w:r w:rsidRPr="00E85351">
        <w:rPr>
          <w:vertAlign w:val="superscript"/>
        </w:rPr>
        <w:t>236</w:t>
      </w:r>
      <w:r w:rsidRPr="00E85351">
        <w:t xml:space="preserve">U, and </w:t>
      </w:r>
      <w:r w:rsidRPr="00E85351">
        <w:rPr>
          <w:vertAlign w:val="superscript"/>
        </w:rPr>
        <w:t>233</w:t>
      </w:r>
      <w:r w:rsidRPr="00E85351">
        <w:t>U in the environment.</w:t>
      </w:r>
      <w:r>
        <w:t xml:space="preserve"> </w:t>
      </w:r>
      <w:r w:rsidRPr="00031B14">
        <w:rPr>
          <w:b w:val="0"/>
        </w:rPr>
        <w:t xml:space="preserve">Discharge data of Sellafield and La Hague refer to the releases before 2017. Other nuclear reprocessing plants releasing </w:t>
      </w:r>
      <w:r w:rsidRPr="00031B14">
        <w:rPr>
          <w:b w:val="0"/>
          <w:vertAlign w:val="superscript"/>
        </w:rPr>
        <w:t>129</w:t>
      </w:r>
      <w:r w:rsidRPr="00031B14">
        <w:rPr>
          <w:b w:val="0"/>
        </w:rPr>
        <w:t>I include Hanford (USA), Savannah River (USA), Mayak (USSR), Seversk (USSR), and Zhelesnogorsk (USSR).</w:t>
      </w:r>
      <w:r>
        <w:rPr>
          <w:b w:val="0"/>
        </w:rPr>
        <w:t xml:space="preserve"> </w:t>
      </w:r>
    </w:p>
    <w:p w14:paraId="47EEC3B1" w14:textId="77777777" w:rsidR="00E85351" w:rsidRDefault="00E85351" w:rsidP="00864DDD">
      <w:pPr>
        <w:pStyle w:val="SMcaption"/>
        <w:adjustRightInd w:val="0"/>
        <w:snapToGrid w:val="0"/>
      </w:pPr>
    </w:p>
    <w:tbl>
      <w:tblPr>
        <w:tblStyle w:val="TableGrid"/>
        <w:tblW w:w="8845" w:type="dxa"/>
        <w:tblInd w:w="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08"/>
        <w:gridCol w:w="1474"/>
        <w:gridCol w:w="794"/>
        <w:gridCol w:w="1247"/>
        <w:gridCol w:w="794"/>
        <w:gridCol w:w="1134"/>
        <w:gridCol w:w="794"/>
      </w:tblGrid>
      <w:tr w:rsidR="00E85351" w:rsidRPr="00A020E3" w14:paraId="0818AFF9" w14:textId="77777777" w:rsidTr="00D55368">
        <w:trPr>
          <w:trHeight w:val="567"/>
        </w:trPr>
        <w:tc>
          <w:tcPr>
            <w:tcW w:w="2608" w:type="dxa"/>
            <w:tcBorders>
              <w:bottom w:val="single" w:sz="8" w:space="0" w:color="auto"/>
            </w:tcBorders>
            <w:vAlign w:val="center"/>
          </w:tcPr>
          <w:p w14:paraId="2DD627EE" w14:textId="77777777" w:rsidR="00E85351" w:rsidRPr="00E85351" w:rsidRDefault="00E85351" w:rsidP="00864DDD">
            <w:pPr>
              <w:pStyle w:val="AbstractSummary"/>
              <w:adjustRightInd w:val="0"/>
              <w:snapToGrid w:val="0"/>
              <w:spacing w:before="0"/>
              <w:rPr>
                <w:b/>
                <w:sz w:val="22"/>
                <w:szCs w:val="22"/>
              </w:rPr>
            </w:pPr>
            <w:r w:rsidRPr="00E85351">
              <w:rPr>
                <w:b/>
                <w:sz w:val="22"/>
                <w:szCs w:val="22"/>
              </w:rPr>
              <w:t>Sources</w:t>
            </w:r>
          </w:p>
        </w:tc>
        <w:tc>
          <w:tcPr>
            <w:tcW w:w="1474" w:type="dxa"/>
            <w:tcBorders>
              <w:bottom w:val="single" w:sz="8" w:space="0" w:color="auto"/>
            </w:tcBorders>
            <w:vAlign w:val="center"/>
          </w:tcPr>
          <w:p w14:paraId="0BC6AC02" w14:textId="77777777" w:rsidR="00E85351" w:rsidRPr="00E85351" w:rsidRDefault="00E85351" w:rsidP="00864DDD">
            <w:pPr>
              <w:pStyle w:val="AbstractSummary"/>
              <w:adjustRightInd w:val="0"/>
              <w:snapToGrid w:val="0"/>
              <w:spacing w:before="0"/>
              <w:rPr>
                <w:b/>
                <w:sz w:val="22"/>
                <w:szCs w:val="22"/>
              </w:rPr>
            </w:pPr>
            <w:r w:rsidRPr="00E85351">
              <w:rPr>
                <w:b/>
                <w:sz w:val="22"/>
                <w:szCs w:val="22"/>
                <w:vertAlign w:val="superscript"/>
              </w:rPr>
              <w:t>129</w:t>
            </w:r>
            <w:r w:rsidRPr="00E85351">
              <w:rPr>
                <w:b/>
                <w:sz w:val="22"/>
                <w:szCs w:val="22"/>
              </w:rPr>
              <w:t>I [kg]</w:t>
            </w:r>
          </w:p>
        </w:tc>
        <w:tc>
          <w:tcPr>
            <w:tcW w:w="794" w:type="dxa"/>
            <w:tcBorders>
              <w:bottom w:val="single" w:sz="8" w:space="0" w:color="auto"/>
            </w:tcBorders>
            <w:vAlign w:val="center"/>
          </w:tcPr>
          <w:p w14:paraId="5FC17455" w14:textId="77777777" w:rsidR="00E85351" w:rsidRPr="00E85351" w:rsidRDefault="00E85351" w:rsidP="00864DDD">
            <w:pPr>
              <w:pStyle w:val="AbstractSummary"/>
              <w:adjustRightInd w:val="0"/>
              <w:snapToGrid w:val="0"/>
              <w:spacing w:before="0"/>
              <w:rPr>
                <w:b/>
                <w:sz w:val="22"/>
                <w:szCs w:val="22"/>
              </w:rPr>
            </w:pPr>
            <w:r w:rsidRPr="00E85351">
              <w:rPr>
                <w:b/>
                <w:sz w:val="22"/>
                <w:szCs w:val="22"/>
              </w:rPr>
              <w:t>Ref.</w:t>
            </w:r>
          </w:p>
        </w:tc>
        <w:tc>
          <w:tcPr>
            <w:tcW w:w="1247" w:type="dxa"/>
            <w:tcBorders>
              <w:bottom w:val="single" w:sz="8" w:space="0" w:color="auto"/>
            </w:tcBorders>
            <w:vAlign w:val="center"/>
          </w:tcPr>
          <w:p w14:paraId="1B98D625" w14:textId="77777777" w:rsidR="00E85351" w:rsidRPr="00E85351" w:rsidRDefault="00E85351" w:rsidP="00864DDD">
            <w:pPr>
              <w:pStyle w:val="AbstractSummary"/>
              <w:adjustRightInd w:val="0"/>
              <w:snapToGrid w:val="0"/>
              <w:spacing w:before="0"/>
              <w:rPr>
                <w:b/>
                <w:sz w:val="22"/>
                <w:szCs w:val="22"/>
              </w:rPr>
            </w:pPr>
            <w:r w:rsidRPr="00E85351">
              <w:rPr>
                <w:b/>
                <w:sz w:val="22"/>
                <w:szCs w:val="22"/>
                <w:vertAlign w:val="superscript"/>
              </w:rPr>
              <w:t>236</w:t>
            </w:r>
            <w:r w:rsidRPr="00E85351">
              <w:rPr>
                <w:b/>
                <w:sz w:val="22"/>
                <w:szCs w:val="22"/>
              </w:rPr>
              <w:t>U [kg]</w:t>
            </w:r>
          </w:p>
        </w:tc>
        <w:tc>
          <w:tcPr>
            <w:tcW w:w="794" w:type="dxa"/>
            <w:tcBorders>
              <w:bottom w:val="single" w:sz="8" w:space="0" w:color="auto"/>
            </w:tcBorders>
            <w:vAlign w:val="center"/>
          </w:tcPr>
          <w:p w14:paraId="515C072E" w14:textId="77777777" w:rsidR="00E85351" w:rsidRPr="00E85351" w:rsidRDefault="00E85351" w:rsidP="00864DDD">
            <w:pPr>
              <w:pStyle w:val="AbstractSummary"/>
              <w:adjustRightInd w:val="0"/>
              <w:snapToGrid w:val="0"/>
              <w:spacing w:before="0"/>
              <w:rPr>
                <w:b/>
                <w:sz w:val="22"/>
                <w:szCs w:val="22"/>
                <w:vertAlign w:val="superscript"/>
              </w:rPr>
            </w:pPr>
            <w:r w:rsidRPr="00E85351">
              <w:rPr>
                <w:b/>
                <w:sz w:val="22"/>
                <w:szCs w:val="22"/>
              </w:rPr>
              <w:t>Ref.</w:t>
            </w:r>
          </w:p>
        </w:tc>
        <w:tc>
          <w:tcPr>
            <w:tcW w:w="1134" w:type="dxa"/>
            <w:tcBorders>
              <w:bottom w:val="single" w:sz="8" w:space="0" w:color="auto"/>
            </w:tcBorders>
            <w:vAlign w:val="center"/>
          </w:tcPr>
          <w:p w14:paraId="528C6353" w14:textId="77777777" w:rsidR="00E85351" w:rsidRPr="00E85351" w:rsidRDefault="00E85351" w:rsidP="00864DDD">
            <w:pPr>
              <w:pStyle w:val="AbstractSummary"/>
              <w:adjustRightInd w:val="0"/>
              <w:snapToGrid w:val="0"/>
              <w:spacing w:before="0"/>
              <w:rPr>
                <w:b/>
                <w:sz w:val="22"/>
                <w:szCs w:val="22"/>
              </w:rPr>
            </w:pPr>
            <w:r w:rsidRPr="00E85351">
              <w:rPr>
                <w:b/>
                <w:sz w:val="22"/>
                <w:szCs w:val="22"/>
                <w:vertAlign w:val="superscript"/>
              </w:rPr>
              <w:t>233</w:t>
            </w:r>
            <w:r w:rsidRPr="00E85351">
              <w:rPr>
                <w:b/>
                <w:sz w:val="22"/>
                <w:szCs w:val="22"/>
              </w:rPr>
              <w:t>U [kg]</w:t>
            </w:r>
          </w:p>
        </w:tc>
        <w:tc>
          <w:tcPr>
            <w:tcW w:w="794" w:type="dxa"/>
            <w:tcBorders>
              <w:bottom w:val="single" w:sz="8" w:space="0" w:color="auto"/>
            </w:tcBorders>
            <w:vAlign w:val="center"/>
          </w:tcPr>
          <w:p w14:paraId="6ECB4B67" w14:textId="77777777" w:rsidR="00E85351" w:rsidRPr="00E85351" w:rsidRDefault="00E85351" w:rsidP="00864DDD">
            <w:pPr>
              <w:pStyle w:val="AbstractSummary"/>
              <w:adjustRightInd w:val="0"/>
              <w:snapToGrid w:val="0"/>
              <w:spacing w:before="0"/>
              <w:rPr>
                <w:b/>
                <w:sz w:val="22"/>
                <w:szCs w:val="22"/>
                <w:vertAlign w:val="superscript"/>
              </w:rPr>
            </w:pPr>
            <w:r w:rsidRPr="00E85351">
              <w:rPr>
                <w:b/>
                <w:sz w:val="22"/>
                <w:szCs w:val="22"/>
              </w:rPr>
              <w:t>Ref.</w:t>
            </w:r>
          </w:p>
        </w:tc>
      </w:tr>
      <w:tr w:rsidR="00E85351" w:rsidRPr="00A020E3" w14:paraId="50C593B4" w14:textId="77777777" w:rsidTr="00D55368">
        <w:trPr>
          <w:trHeight w:val="567"/>
        </w:trPr>
        <w:tc>
          <w:tcPr>
            <w:tcW w:w="2608" w:type="dxa"/>
            <w:tcBorders>
              <w:top w:val="single" w:sz="8" w:space="0" w:color="auto"/>
              <w:bottom w:val="nil"/>
            </w:tcBorders>
            <w:shd w:val="clear" w:color="auto" w:fill="auto"/>
            <w:vAlign w:val="center"/>
          </w:tcPr>
          <w:p w14:paraId="3623992E" w14:textId="77777777" w:rsidR="00E85351" w:rsidRPr="00D55368" w:rsidRDefault="00E85351" w:rsidP="00864DDD">
            <w:pPr>
              <w:pStyle w:val="AbstractSummary"/>
              <w:adjustRightInd w:val="0"/>
              <w:snapToGrid w:val="0"/>
              <w:spacing w:before="0"/>
              <w:rPr>
                <w:b/>
                <w:sz w:val="20"/>
                <w:szCs w:val="20"/>
              </w:rPr>
            </w:pPr>
            <w:r w:rsidRPr="00D55368">
              <w:rPr>
                <w:b/>
                <w:sz w:val="20"/>
                <w:szCs w:val="20"/>
              </w:rPr>
              <w:t xml:space="preserve">Natural production </w:t>
            </w:r>
          </w:p>
        </w:tc>
        <w:tc>
          <w:tcPr>
            <w:tcW w:w="1474" w:type="dxa"/>
            <w:tcBorders>
              <w:top w:val="single" w:sz="8" w:space="0" w:color="auto"/>
              <w:bottom w:val="nil"/>
            </w:tcBorders>
            <w:shd w:val="clear" w:color="auto" w:fill="auto"/>
            <w:vAlign w:val="center"/>
          </w:tcPr>
          <w:p w14:paraId="0EB85C9F" w14:textId="77777777" w:rsidR="00E85351" w:rsidRPr="00D55368" w:rsidRDefault="00E85351" w:rsidP="00864DDD">
            <w:pPr>
              <w:pStyle w:val="AbstractSummary"/>
              <w:adjustRightInd w:val="0"/>
              <w:snapToGrid w:val="0"/>
              <w:spacing w:before="0"/>
              <w:rPr>
                <w:sz w:val="20"/>
                <w:szCs w:val="20"/>
              </w:rPr>
            </w:pPr>
            <w:r w:rsidRPr="00D55368">
              <w:rPr>
                <w:sz w:val="20"/>
                <w:szCs w:val="20"/>
              </w:rPr>
              <w:t>263</w:t>
            </w:r>
          </w:p>
        </w:tc>
        <w:tc>
          <w:tcPr>
            <w:tcW w:w="794" w:type="dxa"/>
            <w:tcBorders>
              <w:top w:val="single" w:sz="8" w:space="0" w:color="auto"/>
              <w:bottom w:val="nil"/>
            </w:tcBorders>
            <w:shd w:val="clear" w:color="auto" w:fill="auto"/>
            <w:vAlign w:val="center"/>
          </w:tcPr>
          <w:p w14:paraId="51C5EA3F"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{"citationID":"33PFH5CL","properties":{"formattedCitation":"\\super 1,2\\nosupersub{}","plainCitation":"1,2","noteIndex":0},"citationItems":[{"id":"0iLjcIAx/QFjbNWDT","uris":["http://zotero.org/users/local/VAG2VVod/items/HSEZ7VCY"],"itemData":{"id":439,"type":"article-journal","container-title":"Geochimica et Cosmochimica Acta","issue":"2","note":"publisher: Elsevier","page":"337–347","title":"Natural iodine-129 as an environmental tracer","volume":"49","author":[{"family":"Fabryka-Martin","given":"J"},{"family":"Bentley","given":"H"},{"family":"Elmore","given":"D"},{"family":"Airey","given":"PL"}],"issued":{"date-parts":[["1985"]]}}},{"id":"0iLjcIAx/ik09gWhE","uris":["http://zotero.org/users/local/VAG2VVod/items/HUFCCGV5"],"itemData":{"id":440,"type":"article-journal","container-title":"Science","issue":"4289","note":"publisher: American Association for the Advancement of Science","page":"521–523","title":"Quarks with unit charge: a search for anomalous hydrogen","volume":"196","author":[{"family":"Muller","given":"Richard A"},{"family":"Alvarez","given":"Luis W"},{"family":"Holley","given":"William R"},{"family":"Stephenson","given":"Edward J"}],"issued":{"date-parts":[["1977"]]}}}],"schema":"https://github.com/citation-style-language/schema/raw/master/csl-citation.json"} </w:instrText>
            </w:r>
            <w:r w:rsidRPr="00864DDD">
              <w:rPr>
                <w:i/>
                <w:sz w:val="20"/>
                <w:szCs w:val="20"/>
              </w:rPr>
              <w:fldChar w:fldCharType="separate"/>
            </w:r>
            <w:r w:rsidRPr="00864DDD">
              <w:rPr>
                <w:i/>
                <w:sz w:val="20"/>
                <w:szCs w:val="20"/>
              </w:rPr>
              <w:t>1,2</w:t>
            </w:r>
            <w:r w:rsidRPr="00864DDD">
              <w:rPr>
                <w:i/>
                <w:sz w:val="20"/>
                <w:szCs w:val="20"/>
              </w:rPr>
              <w:fldChar w:fldCharType="end"/>
            </w:r>
          </w:p>
        </w:tc>
        <w:tc>
          <w:tcPr>
            <w:tcW w:w="1247" w:type="dxa"/>
            <w:tcBorders>
              <w:top w:val="single" w:sz="8" w:space="0" w:color="auto"/>
              <w:bottom w:val="nil"/>
            </w:tcBorders>
            <w:vAlign w:val="center"/>
          </w:tcPr>
          <w:p w14:paraId="30B84C5A"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35</w:t>
            </w:r>
          </w:p>
        </w:tc>
        <w:tc>
          <w:tcPr>
            <w:tcW w:w="794" w:type="dxa"/>
            <w:tcBorders>
              <w:top w:val="single" w:sz="8" w:space="0" w:color="auto"/>
              <w:bottom w:val="nil"/>
            </w:tcBorders>
            <w:vAlign w:val="center"/>
          </w:tcPr>
          <w:p w14:paraId="2955EDE4"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864DDD" w:rsidRPr="00864DDD">
              <w:rPr>
                <w:rFonts w:ascii="Times New Roman" w:hAnsi="Times New Roman" w:cs="Times New Roman"/>
                <w:i/>
                <w:sz w:val="20"/>
                <w:szCs w:val="20"/>
              </w:rPr>
              <w:instrText xml:space="preserve"> ADDIN ZOTERO_ITEM CSL_CITATION {"citationID":"Ll6yKZRu","properties":{"formattedCitation":"\\super 3\\nosupersub{}","plainCitation":"3","noteIndex":0},"citationItems":[{"id":"0iLjcIAx/qPr1ys6x","uris":["http://zotero.org/users/local/VAG2VVod/items/ZURNZY5W"],"itemData":{"id":73,"type":"article-journal","abstract":"The interaction of thermal neutrons with 235U results in ﬁssion with a probability of $85% and in the formation of 236U (t1/2 = 2.3 Â 107 yr) with a probability of $15%. While anthropogenic 236U is, therefore, present in spent nuclear fuel at levels of 236U/U up to 10À2, the expected natural ratios in the pre-anthropogenic environment range from 10À14 to 10À10. At VERA, systematic investigations suggest a detection limit below 236U/U = 5 Â 10À12 for samples of 0.5 mg U, while chemistry blanks of $2 Â 107 atoms 236U per sample limit the sensitivity for smaller samples. We have found natural isotopic ratios in uranium reagents separated before the onset of human nuclear activities, in uranium ores from various origins and in water from a subsurface well in Bad Gastein, Austria. Anthropogenic contamination was clearly visible in soil and rivulet samples from Salzburg, Austria, whereas river sediments from Garigliano river (Southern Italy) were close to the detection limit. Finally, our natural in-house standard Vienna-KkU was calibrated against a certiﬁed reference material (IRMM REIMEP-18 A).","container-title":"Nuclear Instruments and Methods in Physics Research Section B: Beam Interactions with Materials and Atoms","DOI":"10.1016/j.nimb.2008.03.002","ISSN":"0168583X","issue":"10","journalAbbreviation":"Nuclear Instruments and Methods in Physics Research Section B: Beam Interactions with Materials and Atoms","language":"en","page":"2246-2250","source":"DOI.org (Crossref)","title":"Natural and anthropogenic 236U in environmental samples","volume":"266","author":[{"family":"Steier","given":"Peter"},{"family":"Bichler","given":"Max"},{"family":"Keith Fifield","given":"L."},{"family":"Golser","given":"Robin"},{"family":"Kutschera","given":"Walter"},{"family":"Priller","given":"Alfred"},{"family":"Quinto","given":"Francesca"},{"family":"Richter","given":"Stephan"},{"family":"Srncik","given":"Michaela"},{"family":"Terrasi","given":"Philippo"},{"family":"Wacker","given":"Lukas"},{"family":"Wallner","given":"Anton"},{"family":"Wallner","given":"Gabriele"},{"family":"Wilcken","given":"Klaus M."},{"family":"Maria Wild","given":"Eva"}],"issued":{"date-parts":[["2008",5]]}}}],"schema":"https://github.com/citation-style-language/schema/raw/master/csl-citation.json"} </w:instrText>
            </w:r>
            <w:r w:rsidRPr="00864DDD">
              <w:rPr>
                <w:rFonts w:ascii="Times New Roman" w:hAnsi="Times New Roman" w:cs="Times New Roman"/>
                <w:i/>
                <w:sz w:val="20"/>
                <w:szCs w:val="20"/>
              </w:rPr>
              <w:fldChar w:fldCharType="separate"/>
            </w:r>
            <w:r w:rsidRPr="00864DDD">
              <w:rPr>
                <w:rFonts w:ascii="Times New Roman" w:hAnsi="Times New Roman" w:cs="Times New Roman"/>
                <w:i/>
                <w:sz w:val="20"/>
                <w:szCs w:val="20"/>
              </w:rPr>
              <w:t>3</w:t>
            </w:r>
            <w:r w:rsidRPr="00864DDD">
              <w:rPr>
                <w:rFonts w:ascii="Times New Roman" w:hAnsi="Times New Roman" w:cs="Times New Roman"/>
                <w:i/>
                <w:sz w:val="20"/>
                <w:szCs w:val="20"/>
              </w:rPr>
              <w:fldChar w:fldCharType="end"/>
            </w:r>
          </w:p>
        </w:tc>
        <w:tc>
          <w:tcPr>
            <w:tcW w:w="1134" w:type="dxa"/>
            <w:tcBorders>
              <w:top w:val="single" w:sz="8" w:space="0" w:color="auto"/>
              <w:bottom w:val="nil"/>
            </w:tcBorders>
            <w:vAlign w:val="center"/>
          </w:tcPr>
          <w:p w14:paraId="60940B75" w14:textId="77777777" w:rsidR="00E85351" w:rsidRPr="00D55368" w:rsidRDefault="00E85351" w:rsidP="00864DDD">
            <w:pPr>
              <w:pStyle w:val="Subtitle"/>
              <w:adjustRightInd w:val="0"/>
              <w:snapToGrid w:val="0"/>
              <w:rPr>
                <w:rFonts w:ascii="Times New Roman" w:hAnsi="Times New Roman" w:cs="Times New Roman"/>
                <w:sz w:val="20"/>
                <w:szCs w:val="20"/>
              </w:rPr>
            </w:pPr>
          </w:p>
        </w:tc>
        <w:tc>
          <w:tcPr>
            <w:tcW w:w="794" w:type="dxa"/>
            <w:tcBorders>
              <w:top w:val="single" w:sz="8" w:space="0" w:color="auto"/>
              <w:bottom w:val="nil"/>
            </w:tcBorders>
            <w:vAlign w:val="center"/>
          </w:tcPr>
          <w:p w14:paraId="2A887A39" w14:textId="77777777" w:rsidR="00E85351" w:rsidRPr="00D55368" w:rsidRDefault="00E85351" w:rsidP="00864DDD">
            <w:pPr>
              <w:pStyle w:val="Subtitle"/>
              <w:adjustRightInd w:val="0"/>
              <w:snapToGrid w:val="0"/>
              <w:rPr>
                <w:rFonts w:ascii="Times New Roman" w:hAnsi="Times New Roman" w:cs="Times New Roman"/>
                <w:sz w:val="20"/>
                <w:szCs w:val="20"/>
              </w:rPr>
            </w:pPr>
          </w:p>
        </w:tc>
      </w:tr>
      <w:tr w:rsidR="00E85351" w:rsidRPr="00A020E3" w14:paraId="36574A7B" w14:textId="77777777" w:rsidTr="00D55368">
        <w:trPr>
          <w:trHeight w:val="567"/>
        </w:trPr>
        <w:tc>
          <w:tcPr>
            <w:tcW w:w="2608" w:type="dxa"/>
            <w:tcBorders>
              <w:top w:val="nil"/>
              <w:bottom w:val="nil"/>
            </w:tcBorders>
            <w:shd w:val="clear" w:color="auto" w:fill="auto"/>
            <w:vAlign w:val="center"/>
          </w:tcPr>
          <w:p w14:paraId="46C046AB" w14:textId="77777777" w:rsidR="00E85351" w:rsidRPr="00D55368" w:rsidRDefault="00E85351" w:rsidP="00864DDD">
            <w:pPr>
              <w:pStyle w:val="AbstractSummary"/>
              <w:adjustRightInd w:val="0"/>
              <w:snapToGrid w:val="0"/>
              <w:spacing w:before="0"/>
              <w:rPr>
                <w:b/>
                <w:sz w:val="20"/>
                <w:szCs w:val="20"/>
              </w:rPr>
            </w:pPr>
            <w:r w:rsidRPr="00D55368">
              <w:rPr>
                <w:b/>
                <w:sz w:val="20"/>
                <w:szCs w:val="20"/>
              </w:rPr>
              <w:t>Nuclear weapons testing</w:t>
            </w:r>
          </w:p>
        </w:tc>
        <w:tc>
          <w:tcPr>
            <w:tcW w:w="1474" w:type="dxa"/>
            <w:tcBorders>
              <w:top w:val="nil"/>
              <w:bottom w:val="nil"/>
            </w:tcBorders>
            <w:shd w:val="clear" w:color="auto" w:fill="auto"/>
            <w:vAlign w:val="center"/>
          </w:tcPr>
          <w:p w14:paraId="5963E5A3" w14:textId="77777777" w:rsidR="00E85351" w:rsidRPr="00D55368" w:rsidRDefault="00E85351" w:rsidP="00864DDD">
            <w:pPr>
              <w:pStyle w:val="AbstractSummary"/>
              <w:adjustRightInd w:val="0"/>
              <w:snapToGrid w:val="0"/>
              <w:spacing w:before="0"/>
              <w:rPr>
                <w:sz w:val="20"/>
                <w:szCs w:val="20"/>
              </w:rPr>
            </w:pPr>
            <w:r w:rsidRPr="00D55368">
              <w:rPr>
                <w:sz w:val="20"/>
                <w:szCs w:val="20"/>
              </w:rPr>
              <w:t>90</w:t>
            </w:r>
          </w:p>
        </w:tc>
        <w:tc>
          <w:tcPr>
            <w:tcW w:w="794" w:type="dxa"/>
            <w:tcBorders>
              <w:top w:val="nil"/>
              <w:bottom w:val="nil"/>
            </w:tcBorders>
            <w:shd w:val="clear" w:color="auto" w:fill="auto"/>
            <w:vAlign w:val="center"/>
          </w:tcPr>
          <w:p w14:paraId="686D7E0C"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{"citationID":"U4xX7iOZ","properties":{"formattedCitation":"\\super 4\\nosupersub{}","plainCitation":"4","noteIndex":0},"citationItems":[{"id":"0iLjcIAx/IUKUwMTc","uris":["http://zotero.org/users/local/VAG2VVod/items/7Z4J3N2Y"],"itemData":{"id":441,"type":"article-journal","container-title":"Geochemistry, Geophysics, Geosystems","issue":"4","note":"publisher: Wiley Online Library","title":"Global distribution and long-term fate of anthropogenic 129I in marine and surface water reservoirs","volume":"11","author":[{"family":"Snyder","given":"Glen"},{"family":"Aldahan","given":"Ala"},{"family":"Possnert","given":"Göran"}],"issued":{"date-parts":[["2010"]]}}}],"schema":"https://github.com/citation-style-language/schema/raw/master/csl-citation.json"} </w:instrText>
            </w:r>
            <w:r w:rsidRPr="00864DDD">
              <w:rPr>
                <w:i/>
                <w:sz w:val="20"/>
                <w:szCs w:val="20"/>
              </w:rPr>
              <w:fldChar w:fldCharType="separate"/>
            </w:r>
            <w:r w:rsidRPr="00864DDD">
              <w:rPr>
                <w:i/>
                <w:sz w:val="20"/>
                <w:szCs w:val="20"/>
              </w:rPr>
              <w:t>4</w:t>
            </w:r>
            <w:r w:rsidRPr="00864DDD">
              <w:rPr>
                <w:i/>
                <w:sz w:val="20"/>
                <w:szCs w:val="20"/>
              </w:rPr>
              <w:fldChar w:fldCharType="end"/>
            </w:r>
          </w:p>
        </w:tc>
        <w:tc>
          <w:tcPr>
            <w:tcW w:w="1247" w:type="dxa"/>
            <w:tcBorders>
              <w:top w:val="nil"/>
              <w:bottom w:val="nil"/>
            </w:tcBorders>
            <w:vAlign w:val="center"/>
          </w:tcPr>
          <w:p w14:paraId="4B897869"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900 - 2100</w:t>
            </w:r>
          </w:p>
        </w:tc>
        <w:tc>
          <w:tcPr>
            <w:tcW w:w="794" w:type="dxa"/>
            <w:tcBorders>
              <w:top w:val="nil"/>
              <w:bottom w:val="nil"/>
            </w:tcBorders>
            <w:vAlign w:val="center"/>
          </w:tcPr>
          <w:p w14:paraId="73DD3D1E"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864DDD" w:rsidRPr="00864DDD">
              <w:rPr>
                <w:rFonts w:ascii="Times New Roman" w:hAnsi="Times New Roman" w:cs="Times New Roman"/>
                <w:i/>
                <w:sz w:val="20"/>
                <w:szCs w:val="20"/>
              </w:rPr>
              <w:instrText xml:space="preserve"> ADDIN ZOTERO_ITEM CSL_CITATION {"citationID":"MoSB51HJ","properties":{"formattedCitation":"\\super 5\\uc0\\u8211{}8\\nosupersub{}","plainCitation":"5–8","noteIndex":0},"citationItems":[{"id":"0iLjcIAx/qzTMZUDD","uris":["http://zotero.org/users/local/VAG2VVod/items/NTNQQBCT"],"itemData":{"id":14,"type":"article-journal","abstract":"The global fallout 236U level in soil was deduced from measurements of 236U, 239+240Pu and 137Cs in surface soils which are solely inﬂuenced by global fallout. A total of 12 soil cores from the depths of 0–10, 0–20 and 0–30 cm were collected at a ﬂat forest area in Japan. Concentrations of 239+240Pu and 238U were determined by α-particle spectrometry, while the 236U/238U ratio was measured with accelerator mass spectrometry (AMS). Consistent 236U/239Pu ratios between 0.212 and 0.253 were found. Using this ratio, the total global fallout of 236U on the earth is estimated to be as much as ca. 900 kg. This knowledge will contribute to the promotion of research on U isotopes, including 236U, for the ﬁelds of geo-resources, waste management and geochemistry.","container-title":"Science of The Total Environment","DOI":"10.1016/j.scitotenv.2009.01.058","ISSN":"00489697","issue":"14","journalAbbreviation":"Science of The Total Environment","language":"en","page":"4238-4242","source":"DOI.org (Crossref)","title":"First results on 236U levels in global fallout","volume":"407","author":[{"family":"Sakaguchi","given":"A."},{"family":"Kawai","given":"K."},{"family":"Steier","given":"P."},{"family":"Quinto","given":"F."},{"family":"Mino","given":"K."},{"family":"Tomita","given":"J."},{"family":"Hoshi","given":"M."},{"family":"Whitehead","given":"N."},{"family":"Yamamoto","given":"M."}],"issued":{"date-parts":[["2009",7]]}}},{"id":"0iLjcIAx/gU5OHMFU","uris":["http://zotero.org/users/local/VAG2VVod/items/EH9LBW8W"],"itemData":{"id":2,"type":"article-journal","abstract":"In this study the ﬁrst comprehensive dataset of 236U in the North Atlantic Ocean is presented. 236U/238U ratios and 236U concentrations are determined in about 70 seawater samples collected from 9 depth proﬁles along a transect through the Northwest Atlantic Ocean during the ﬁrst two legs of the GEOTRACES cruise GA02 in 2010. The cruise track was designed to follow the path of the North Atlantic Deep Water (NADW) from its formation region to the deep parts of the western Atlantic Ocean basins. Our results show that there is a strong North to South and surface to deep ocean gradient spanning a broad range of 236U/238U, from (44 ± 15) Â 10À12 to (1477 ± 91) Â 10À12 that correlates well with the distribution of water masses in this region. All measured ratios are above the theoretical pre-anthropogenic levels of 10À13 to 10À14, showing that the whole transect is dominated by anthropogenic 236U. Based on the calculated 236U inventories the 236U inputs of global fallout and direct releases from nuclear reprocessing plants could be constrained to a range from 1000 to 1400 kg and from 115 to 250 kg of 236U, from the two sources, respectively. Our results show that the 236U/238U atomic ratio can be used as a marker of North Atlantic water masses: with high ratios (&gt;1000 Â 10À12) characterizing northern water masses (LSW and DSOW); and lowest ratios (50–400 Â 10À12) corresponding to the increasing inﬂuence of AABW and AAIW.","container-title":"Geochimica et Cosmochimica Acta","DOI":"10.1016/j.gca.2014.02.012","ISSN":"00167037","journalAbbreviation":"Geochimica et Cosmochimica Acta","language":"en","page":"34-46","source":"DOI.org (Crossref)","title":"A first transect of 236U in the North Atlantic Ocean","volume":"133","author":[{"family":"Casacuberta","given":"N."},{"family":"Christl","given":"M."},{"family":"Lachner","given":"J."},{"family":"Loeff","given":"M. Rutgers","non-dropping-particle":"van der"},{"family":"Masqué","given":"P."},{"family":"Synal","given":"H.-A."}],"issued":{"date-parts":[["2014",5]]}}},{"id":"0iLjcIAx/T9NICc5F","uris":["http://zotero.org/users/local/VAG2VVod/items/UP9ECEMZ"],"itemData":{"id":11,"type":"article-journal","abstract":"In this study the ﬁrst two oceanic depth proﬁles of 236U sampled in the western equatorial Atlantic Ocean are presented. The measured 236U/238U ratios decrease from about 10À9 at the surface down to about 10À10. Even the lowest ratios measured below 4000 m depth are more than three orders of magnitude above the estimated natural 236U/238U level for the pre-anthropogenic ocean. This clearly indicates that anthropogenic 236U already has reached the deep Atlantic Ocean. Three diﬀerent conceptual models are applied to identify the relevant processes capable of transporting signiﬁcant amounts of 236U from the surface into the deep ocean. While the vertical transport of particulate U is excluded as a signiﬁcant source, box model calculations suggest that North Atlantic Deep Water production with some minor contribution of 236U from nuclear reprocessing as the most likely source for 236U in the deep western equatorial Atlantic Ocean. Our results show that 236U has a large potential as a new, conservative, and transient tracer in Oceanography.","container-title":"Geochimica et Cosmochimica Acta","DOI":"10.1016/j.gca.2011.11.009","ISSN":"00167037","journalAbbreviation":"Geochimica et Cosmochimica Acta","language":"en","page":"98-107","source":"DOI.org (Crossref)","title":"A depth profile of uranium-236 in the Atlantic Ocean","volume":"77","author":[{"family":"Christl","given":"Marcus"},{"family":"Lachner","given":"Johannes"},{"family":"Vockenhuber","given":"Christof"},{"family":"Lechtenfeld","given":"Oliver"},{"family":"Stimac","given":"Ingrid"},{"family":"Loeff","given":"Michiel Rutgers","non-dropping-particle":"van der"},{"family":"Synal","given":"Hans-Arno"}],"issued":{"date-parts":[["2012",1]]}}},{"id":"0iLjcIAx/7ifC4evH","uris":["http://zotero.org/users/local/VAG2VVod/items/EJ8XKWA7"],"itemData":{"id":13,"type":"article-journal","abstract":"Anthropogenic 236U (t½¼ 23.4 My) is an emerging isotopic ocean tracer with interesting oceanographic properties, but only with recent advances in accelerator mass spectrometry techniques is it now possible to detect the levels from global fall-out of nuclear weapons testing across the water column. To make full use of this tracer, an assessment of its input into the ocean over the past decades is required. We captured the bomb-pulse of 236U in an annually resolved coral core record from the Caribbean Sea. We thereby establish a concept which gives 236U great advantage – the presence of reliable, wellresolved chronological archives. This allows studies of not only the present distribution pattern, but gives access to the temporal evolution of 236U in ocean waters over the past decades.","container-title":"Earth and Planetary Science Letters","DOI":"10.1016/j.epsl.2012.10.004","ISSN":"0012821X","journalAbbreviation":"Earth and Planetary Science Letters","language":"en","page":"124-130","source":"DOI.org (Crossref)","title":"Bomb fall-out 236U as a global oceanic tracer using an annually resolved coral core","volume":"359-360","author":[{"family":"Winkler","given":"Stephan R."},{"family":"Steier","given":"Peter"},{"family":"Carilli","given":"Jessica"}],"issued":{"date-parts":[["2012",12]]}}}],"schema":"https://github.com/citation-style-language/schema/raw/master/csl-citation.json"} </w:instrText>
            </w:r>
            <w:r w:rsidRPr="00864DDD">
              <w:rPr>
                <w:rFonts w:ascii="Times New Roman" w:hAnsi="Times New Roman" w:cs="Times New Roman"/>
                <w:i/>
                <w:sz w:val="20"/>
                <w:szCs w:val="20"/>
              </w:rPr>
              <w:fldChar w:fldCharType="separate"/>
            </w:r>
            <w:r w:rsidRPr="00864DDD">
              <w:rPr>
                <w:rFonts w:ascii="Times New Roman" w:hAnsi="Times New Roman" w:cs="Times New Roman"/>
                <w:i/>
                <w:sz w:val="20"/>
                <w:szCs w:val="20"/>
              </w:rPr>
              <w:t>5–8</w:t>
            </w:r>
            <w:r w:rsidRPr="00864DDD">
              <w:rPr>
                <w:rFonts w:ascii="Times New Roman" w:hAnsi="Times New Roman" w:cs="Times New Roman"/>
                <w:i/>
                <w:sz w:val="20"/>
                <w:szCs w:val="20"/>
              </w:rPr>
              <w:fldChar w:fldCharType="end"/>
            </w:r>
          </w:p>
        </w:tc>
        <w:tc>
          <w:tcPr>
            <w:tcW w:w="1134" w:type="dxa"/>
            <w:tcBorders>
              <w:top w:val="nil"/>
              <w:bottom w:val="nil"/>
            </w:tcBorders>
            <w:vAlign w:val="center"/>
          </w:tcPr>
          <w:p w14:paraId="097E9419"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9 - 15</w:t>
            </w:r>
          </w:p>
        </w:tc>
        <w:tc>
          <w:tcPr>
            <w:tcW w:w="794" w:type="dxa"/>
            <w:tcBorders>
              <w:top w:val="nil"/>
              <w:bottom w:val="nil"/>
            </w:tcBorders>
            <w:vAlign w:val="center"/>
          </w:tcPr>
          <w:p w14:paraId="580441A5" w14:textId="77777777" w:rsidR="00E85351" w:rsidRPr="00864DDD" w:rsidRDefault="00D55368"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Pr="00864DDD">
              <w:rPr>
                <w:rFonts w:ascii="Times New Roman" w:hAnsi="Times New Roman" w:cs="Times New Roman"/>
                <w:i/>
                <w:sz w:val="20"/>
                <w:szCs w:val="20"/>
              </w:rPr>
              <w:instrText xml:space="preserve"> ADDIN ZOTERO_ITEM CSL_CITATION {"citationID":"hTm1EJ3Z","properties":{"formattedCitation":"\\super 9\\nosupersub{}","plainCitation":"9","noteIndex":0},"citationItems":[{"id":221,"uris":["http://zotero.org/users/9232851/items/3JPPJXCP"],"itemData":{"id":221,"type":"article-journal","abstract":"A strongly stratiﬁed water structure and a densely populated catchment make the Baltic Sea one of the most polluted seas. Understanding its circulation pattern and time scale is essential to predict the dynamics of hypoxia, eutrophication, and pollutants. Anthropogenic 236U and 233U have been demonstrated as excellent transient tracers in oceanic studies, but unclear input history and inadequate long-term monitoring records limit their application in the Baltic Sea. From two dated Baltic sediment cores, we obtained high-resolution records of anthropogenic uranium imprints originating from three major human nuclear activities throughout the Atomic Era. Using the novel 233U/236U signature, we distinguished and quantiﬁed 236U inputs from global fallout (45.4−52.1%), Chernobyl accident (0.3−1.8%), and discharges from civil nuclear industries (46.1−54.3%) to the Baltic Sea. We estimated the total release of 233U (7−15 kg) from the atmospheric nuclear weapon testing and pinpointed the 233U peak signal in the mid-to-late 1950s as a potential time marker for the onset of the Anthropocene Epoch. This work also provides fundamental 236U data on Chernobyl accident and early discharges from civil nuclear facilities, prompting worldwide 233U−236U tracer studies. We anticipate our data to be used in a broader application in model-observation interdisciplinary research on water circulation and pollutant dynamics in the Baltic Sea.","container-title":"Environmental Science &amp; Technology","DOI":"10.1021/acs.est.1c02136","ISSN":"0013-936X, 1520-5851","issue":"13","journalAbbreviation":"Environ. Sci. Technol.","language":"en","page":"8918-8927","source":"DOI.org (Crossref)","title":"70-Year Anthropogenic Uranium Imprints of Nuclear Activities in Baltic Sea Sediments","volume":"55","author":[{"family":"Lin","given":"Mu"},{"family":"Qiao","given":"Jixin"},{"family":"Hou","given":"Xiaolin"},{"family":"Dellwig","given":"Olaf"},{"family":"Steier","given":"Peter"},{"family":"Hain","given":"Karin"},{"family":"Golser","given":"Robin"},{"family":"Zhu","given":"Liuchao"}],"issued":{"date-parts":[["2021",7,6]]}}}],"schema":"https://github.com/citation-style-language/schema/raw/master/csl-citation.json"} </w:instrText>
            </w:r>
            <w:r w:rsidRPr="00864DDD">
              <w:rPr>
                <w:rFonts w:ascii="Times New Roman" w:hAnsi="Times New Roman" w:cs="Times New Roman"/>
                <w:i/>
                <w:sz w:val="20"/>
                <w:szCs w:val="20"/>
              </w:rPr>
              <w:fldChar w:fldCharType="separate"/>
            </w:r>
            <w:r w:rsidRPr="00864DDD">
              <w:rPr>
                <w:rFonts w:ascii="Times New Roman" w:hAnsi="Times New Roman" w:cs="Times New Roman"/>
                <w:i/>
                <w:sz w:val="20"/>
                <w:szCs w:val="20"/>
              </w:rPr>
              <w:t>9</w:t>
            </w:r>
            <w:r w:rsidRPr="00864DDD">
              <w:rPr>
                <w:rFonts w:ascii="Times New Roman" w:hAnsi="Times New Roman" w:cs="Times New Roman"/>
                <w:i/>
                <w:sz w:val="20"/>
                <w:szCs w:val="20"/>
              </w:rPr>
              <w:fldChar w:fldCharType="end"/>
            </w:r>
          </w:p>
        </w:tc>
      </w:tr>
      <w:tr w:rsidR="00E85351" w:rsidRPr="00A020E3" w14:paraId="04A9EE3C" w14:textId="77777777" w:rsidTr="00D55368">
        <w:trPr>
          <w:trHeight w:val="567"/>
        </w:trPr>
        <w:tc>
          <w:tcPr>
            <w:tcW w:w="2608" w:type="dxa"/>
            <w:tcBorders>
              <w:top w:val="nil"/>
              <w:bottom w:val="nil"/>
            </w:tcBorders>
            <w:shd w:val="clear" w:color="auto" w:fill="auto"/>
            <w:vAlign w:val="center"/>
          </w:tcPr>
          <w:p w14:paraId="4DD12DF8" w14:textId="77777777" w:rsidR="00E85351" w:rsidRPr="00D55368" w:rsidRDefault="00E85351" w:rsidP="00864DDD">
            <w:pPr>
              <w:pStyle w:val="AbstractSummary"/>
              <w:adjustRightInd w:val="0"/>
              <w:snapToGrid w:val="0"/>
              <w:spacing w:before="0"/>
              <w:rPr>
                <w:sz w:val="20"/>
                <w:szCs w:val="20"/>
              </w:rPr>
            </w:pPr>
            <w:r w:rsidRPr="00D55368">
              <w:rPr>
                <w:b/>
                <w:sz w:val="20"/>
                <w:szCs w:val="20"/>
              </w:rPr>
              <w:t xml:space="preserve">Nuclear reprocessing plants </w:t>
            </w:r>
          </w:p>
        </w:tc>
        <w:tc>
          <w:tcPr>
            <w:tcW w:w="1474" w:type="dxa"/>
            <w:tcBorders>
              <w:top w:val="nil"/>
              <w:bottom w:val="nil"/>
            </w:tcBorders>
            <w:shd w:val="clear" w:color="auto" w:fill="auto"/>
            <w:vAlign w:val="center"/>
          </w:tcPr>
          <w:p w14:paraId="6CDD6266"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shd w:val="clear" w:color="auto" w:fill="auto"/>
            <w:vAlign w:val="center"/>
          </w:tcPr>
          <w:p w14:paraId="0414E50F" w14:textId="77777777" w:rsidR="00E85351" w:rsidRPr="00864DDD" w:rsidRDefault="00E85351" w:rsidP="00864DDD">
            <w:pPr>
              <w:pStyle w:val="AbstractSummary"/>
              <w:adjustRightInd w:val="0"/>
              <w:snapToGrid w:val="0"/>
              <w:spacing w:before="0"/>
              <w:rPr>
                <w:i/>
                <w:sz w:val="20"/>
                <w:szCs w:val="20"/>
              </w:rPr>
            </w:pPr>
          </w:p>
        </w:tc>
        <w:tc>
          <w:tcPr>
            <w:tcW w:w="1247" w:type="dxa"/>
            <w:tcBorders>
              <w:top w:val="nil"/>
              <w:bottom w:val="nil"/>
            </w:tcBorders>
            <w:vAlign w:val="center"/>
          </w:tcPr>
          <w:p w14:paraId="30A4299F"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vAlign w:val="center"/>
          </w:tcPr>
          <w:p w14:paraId="24DD82F1" w14:textId="77777777" w:rsidR="00E85351" w:rsidRPr="00864DDD" w:rsidRDefault="00E85351" w:rsidP="00864DDD">
            <w:pPr>
              <w:pStyle w:val="AbstractSummary"/>
              <w:adjustRightInd w:val="0"/>
              <w:snapToGrid w:val="0"/>
              <w:spacing w:before="0"/>
              <w:rPr>
                <w:i/>
                <w:sz w:val="20"/>
                <w:szCs w:val="20"/>
              </w:rPr>
            </w:pPr>
          </w:p>
        </w:tc>
        <w:tc>
          <w:tcPr>
            <w:tcW w:w="1134" w:type="dxa"/>
            <w:tcBorders>
              <w:top w:val="nil"/>
              <w:bottom w:val="nil"/>
            </w:tcBorders>
            <w:vAlign w:val="center"/>
          </w:tcPr>
          <w:p w14:paraId="60F52AA5"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vAlign w:val="center"/>
          </w:tcPr>
          <w:p w14:paraId="3871E6A4" w14:textId="77777777" w:rsidR="00E85351" w:rsidRPr="00864DDD" w:rsidRDefault="00E85351" w:rsidP="00864DDD">
            <w:pPr>
              <w:pStyle w:val="AbstractSummary"/>
              <w:adjustRightInd w:val="0"/>
              <w:snapToGrid w:val="0"/>
              <w:spacing w:before="0"/>
              <w:rPr>
                <w:i/>
                <w:sz w:val="20"/>
                <w:szCs w:val="20"/>
              </w:rPr>
            </w:pPr>
          </w:p>
        </w:tc>
      </w:tr>
      <w:tr w:rsidR="00E85351" w:rsidRPr="00A020E3" w14:paraId="72BAB844" w14:textId="77777777" w:rsidTr="00D55368">
        <w:trPr>
          <w:trHeight w:val="567"/>
        </w:trPr>
        <w:tc>
          <w:tcPr>
            <w:tcW w:w="2608" w:type="dxa"/>
            <w:tcBorders>
              <w:top w:val="nil"/>
              <w:bottom w:val="nil"/>
            </w:tcBorders>
            <w:shd w:val="clear" w:color="auto" w:fill="auto"/>
            <w:vAlign w:val="center"/>
          </w:tcPr>
          <w:p w14:paraId="0625204F" w14:textId="77777777" w:rsidR="00E85351" w:rsidRPr="00D55368" w:rsidRDefault="00E85351" w:rsidP="00864DDD">
            <w:pPr>
              <w:pStyle w:val="AbstractSummary"/>
              <w:adjustRightInd w:val="0"/>
              <w:snapToGrid w:val="0"/>
              <w:spacing w:before="0"/>
              <w:ind w:firstLine="313"/>
              <w:rPr>
                <w:sz w:val="20"/>
                <w:szCs w:val="20"/>
              </w:rPr>
            </w:pPr>
            <w:r w:rsidRPr="00D55368">
              <w:rPr>
                <w:sz w:val="20"/>
                <w:szCs w:val="20"/>
              </w:rPr>
              <w:t>Sellafield (UK)</w:t>
            </w:r>
          </w:p>
        </w:tc>
        <w:tc>
          <w:tcPr>
            <w:tcW w:w="1474" w:type="dxa"/>
            <w:tcBorders>
              <w:top w:val="nil"/>
              <w:bottom w:val="nil"/>
            </w:tcBorders>
            <w:shd w:val="clear" w:color="auto" w:fill="auto"/>
            <w:vAlign w:val="center"/>
          </w:tcPr>
          <w:p w14:paraId="59552621" w14:textId="77777777" w:rsidR="00E85351" w:rsidRPr="00D55368" w:rsidRDefault="00E85351" w:rsidP="00864DDD">
            <w:pPr>
              <w:pStyle w:val="AbstractSummary"/>
              <w:adjustRightInd w:val="0"/>
              <w:snapToGrid w:val="0"/>
              <w:spacing w:before="0"/>
              <w:rPr>
                <w:sz w:val="20"/>
                <w:szCs w:val="20"/>
              </w:rPr>
            </w:pPr>
            <w:r w:rsidRPr="00D55368">
              <w:rPr>
                <w:sz w:val="20"/>
                <w:szCs w:val="20"/>
              </w:rPr>
              <w:t>1880 (liquid)</w:t>
            </w:r>
          </w:p>
          <w:p w14:paraId="32A49901" w14:textId="77777777" w:rsidR="00E85351" w:rsidRPr="00D55368" w:rsidRDefault="00E85351" w:rsidP="00864DDD">
            <w:pPr>
              <w:pStyle w:val="AbstractSummary"/>
              <w:adjustRightInd w:val="0"/>
              <w:snapToGrid w:val="0"/>
              <w:spacing w:before="0"/>
              <w:rPr>
                <w:sz w:val="20"/>
                <w:szCs w:val="20"/>
              </w:rPr>
            </w:pPr>
            <w:r w:rsidRPr="00D55368">
              <w:rPr>
                <w:sz w:val="20"/>
                <w:szCs w:val="20"/>
              </w:rPr>
              <w:t>159 (gaseous)</w:t>
            </w:r>
          </w:p>
        </w:tc>
        <w:tc>
          <w:tcPr>
            <w:tcW w:w="794" w:type="dxa"/>
            <w:tcBorders>
              <w:top w:val="nil"/>
              <w:bottom w:val="nil"/>
            </w:tcBorders>
            <w:shd w:val="clear" w:color="auto" w:fill="auto"/>
            <w:vAlign w:val="center"/>
          </w:tcPr>
          <w:p w14:paraId="6F8E8D1C"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{"citationID":"pYqcdXKJ","properties":{"formattedCitation":"\\super 10\\uc0\\u8211{}12\\nosupersub{}","plainCitation":"10–12","noteIndex":0},"citationItems":[{"id":"0iLjcIAx/BIUvKLOQ","uris":["http://zotero.org/users/local/VAG2VVod/items/XFWYJS5B"],"itemData":{"id":237,"type":"webpage","title":"HELCOM MORS Discharge database","URL":"https://helcom.fi/%20baltic-sea-trends/data-maps/databases/","author":[{"family":"HELCOM","given":""}],"accessed":{"date-parts":[["2020",5,1]]},"issued":{"date-parts":[["2020"]]}}},{"id":"0iLjcIAx/IYXlW0Be","uris":["http://zotero.org/users/local/VAG2VVod/items/8X7Z4WR4"],"itemData":{"id":451,"type":"webpage","title":"OSPAR Liquid Discharges from Nuclear Installations","URL":"https://odims.ospar.org/en/search/?dataset=discharges_nuclear","author":[{"family":"OSPAR","given":""}],"accessed":{"date-parts":[["2021",8,20]]},"issued":{"date-parts":[["2021"]]}}},{"id":"0iLjcIAx/1oPgAQzq","uris":["http://zotero.org/users/local/VAG2VVod/items/64HBNJWW"],"itemData":{"id":444,"type":"article-journal","abstract":"As a long-lived beta-emitting radioisotope of iodine, 129I is produced both naturally and as a result of human nuclear activities. At present time, the main part of 129I in the environment originates from the human nuclear activity, especially the releases from the spent nuclear fuel reprocessing plants, the 129I/127I ratios have being reached to values of 10−10 to 10−4 in the environment from 10−12 in the pre-nuclear era. In this article, we review the occurrence, sources, inventory, and concentration level of 129I in environment and the method for speciation analysis of 129I in the environment. Measurement techniques for the determination of 129I are presented and compared. An overview of applications of 129I speciation in various scientiﬁc disciplines such as radiation protection, waste depository, and environmental sciences is given. In addition, the bioavailability and radiation toxicity (dose to thyroid) of 129I are discussed.","container-title":"Analytica Chimica Acta","DOI":"10.1016/j.aca.2008.11.013","ISSN":"00032670","issue":"2","journalAbbreviation":"Analytica Chimica Acta","language":"en","page":"181-196","source":"DOI.org (Crossref)","title":"A review on speciation of iodine-129 in the environmental and biological samples","URL":"https://linkinghub.elsevier.com/retrieve/pii/S0003267008019211","volume":"632","author":[{"family":"Hou","given":"Xiaolin"},{"family":"Hansen","given":"Violeta"},{"family":"Aldahan","given":"Ala"},{"family":"Possnert","given":"Göran"},{"family":"Lind","given":"Ole Christian"},{"family":"Lujaniene","given":"Galina"}],"accessed":{"date-parts":[["2021",8,20]]},"issued":{"date-parts":[["2009",1]]}}}],"schema":"https://github.com/citation-style-language/schema/raw/master/csl-citation.json"} </w:instrText>
            </w:r>
            <w:r w:rsidRPr="00864DDD">
              <w:rPr>
                <w:i/>
                <w:sz w:val="20"/>
                <w:szCs w:val="20"/>
              </w:rPr>
              <w:fldChar w:fldCharType="separate"/>
            </w:r>
            <w:r w:rsidR="00864DDD" w:rsidRPr="00864DDD">
              <w:rPr>
                <w:i/>
                <w:sz w:val="20"/>
              </w:rPr>
              <w:t>10–12</w:t>
            </w:r>
            <w:r w:rsidRPr="00864DDD">
              <w:rPr>
                <w:i/>
                <w:sz w:val="20"/>
                <w:szCs w:val="20"/>
              </w:rPr>
              <w:fldChar w:fldCharType="end"/>
            </w:r>
          </w:p>
        </w:tc>
        <w:tc>
          <w:tcPr>
            <w:tcW w:w="1247" w:type="dxa"/>
            <w:tcBorders>
              <w:top w:val="nil"/>
              <w:bottom w:val="nil"/>
            </w:tcBorders>
            <w:vAlign w:val="center"/>
          </w:tcPr>
          <w:p w14:paraId="4AC84B88"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&gt;237</w:t>
            </w:r>
          </w:p>
        </w:tc>
        <w:tc>
          <w:tcPr>
            <w:tcW w:w="794" w:type="dxa"/>
            <w:tcBorders>
              <w:top w:val="nil"/>
              <w:bottom w:val="nil"/>
            </w:tcBorders>
            <w:vAlign w:val="center"/>
          </w:tcPr>
          <w:p w14:paraId="01066AAA"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864DDD" w:rsidRPr="00864DDD">
              <w:rPr>
                <w:rFonts w:ascii="Times New Roman" w:hAnsi="Times New Roman" w:cs="Times New Roman"/>
                <w:i/>
                <w:sz w:val="20"/>
                <w:szCs w:val="20"/>
              </w:rPr>
              <w:instrText xml:space="preserve"> ADDIN ZOTERO_ITEM CSL_CITATION {"citationID":"ynhEdYu7","properties":{"formattedCitation":"\\super 13\\nosupersub{}","plainCitation":"13","noteIndex":0},"citationItems":[{"id":"0iLjcIAx/LTbl4fAd","uris":["http://zotero.org/users/local/VAG2VVod/items/EMN5XTMY"],"itemData":{"id":"4wP4oa9j/VbsnVqeZ","type":"article-journal","container-title":"Science of The Total Environment","DOI":"10.1016/j.scitotenv.2020.137094","ISSN":"00489697","journalAbbreviation":"Science of The Total Environment","language":"en","page":"137094","source":"DOI.org (Crossref)","title":"Unravelling 5 decades of anthropogenic 236U discharge from nuclear reprocessing plants","volume":"717","author":[{"family":"Castrillejo","given":"Maxi"},{"family":"Witbaard","given":"Rob"},{"family":"Casacuberta","given":"Núria"},{"family":"Richardson","given":"Christopher A."},{"family":"Dekker","given":"Rob"},{"family":"Synal","given":"Hans-Arno"},{"family":"Christl","given":"Marcus"}],"issued":{"date-parts":[["2020",5]]}}}],"schema":"https://github.com/citation-style-language/schema/raw/master/csl-citation.json"} </w:instrText>
            </w:r>
            <w:r w:rsidRPr="00864DDD">
              <w:rPr>
                <w:rFonts w:ascii="Times New Roman" w:hAnsi="Times New Roman" w:cs="Times New Roman"/>
                <w:i/>
                <w:sz w:val="20"/>
                <w:szCs w:val="20"/>
              </w:rPr>
              <w:fldChar w:fldCharType="separate"/>
            </w:r>
            <w:r w:rsidR="00864DDD" w:rsidRPr="00864DDD">
              <w:rPr>
                <w:rFonts w:ascii="Times New Roman" w:hAnsi="Times New Roman" w:cs="Times New Roman"/>
                <w:i/>
                <w:sz w:val="20"/>
                <w:szCs w:val="24"/>
              </w:rPr>
              <w:t>13</w:t>
            </w:r>
            <w:r w:rsidRPr="00864DDD">
              <w:rPr>
                <w:rFonts w:ascii="Times New Roman" w:hAnsi="Times New Roman" w:cs="Times New Roman"/>
                <w:i/>
                <w:sz w:val="20"/>
                <w:szCs w:val="20"/>
              </w:rPr>
              <w:fldChar w:fldCharType="end"/>
            </w:r>
          </w:p>
        </w:tc>
        <w:tc>
          <w:tcPr>
            <w:tcW w:w="1134" w:type="dxa"/>
            <w:tcBorders>
              <w:top w:val="nil"/>
              <w:bottom w:val="nil"/>
            </w:tcBorders>
            <w:vAlign w:val="center"/>
          </w:tcPr>
          <w:p w14:paraId="6E36AF75" w14:textId="77777777" w:rsidR="00E85351" w:rsidRPr="00D55368" w:rsidRDefault="00E85351" w:rsidP="00864DDD">
            <w:pPr>
              <w:pStyle w:val="Subtitle"/>
              <w:adjustRightInd w:val="0"/>
              <w:snapToGrid w:val="0"/>
              <w:rPr>
                <w:rFonts w:ascii="Times New Roman" w:hAnsi="Times New Roman" w:cs="Times New Roman"/>
                <w:sz w:val="20"/>
                <w:szCs w:val="20"/>
              </w:rPr>
            </w:pPr>
          </w:p>
        </w:tc>
        <w:tc>
          <w:tcPr>
            <w:tcW w:w="794" w:type="dxa"/>
            <w:tcBorders>
              <w:top w:val="nil"/>
              <w:bottom w:val="nil"/>
            </w:tcBorders>
            <w:vAlign w:val="center"/>
          </w:tcPr>
          <w:p w14:paraId="42F60215" w14:textId="77777777" w:rsidR="00E85351" w:rsidRPr="00864DDD" w:rsidRDefault="00E85351" w:rsidP="00864DDD">
            <w:pPr>
              <w:pStyle w:val="Subtitle"/>
              <w:adjustRightInd w:val="0"/>
              <w:snapToGrid w:val="0"/>
              <w:rPr>
                <w:rFonts w:ascii="Times New Roman" w:hAnsi="Times New Roman" w:cs="Times New Roman"/>
                <w:i/>
                <w:sz w:val="20"/>
                <w:szCs w:val="20"/>
              </w:rPr>
            </w:pPr>
          </w:p>
        </w:tc>
      </w:tr>
      <w:tr w:rsidR="00E85351" w:rsidRPr="00A020E3" w14:paraId="703589A9" w14:textId="77777777" w:rsidTr="00D55368">
        <w:trPr>
          <w:trHeight w:val="567"/>
        </w:trPr>
        <w:tc>
          <w:tcPr>
            <w:tcW w:w="2608" w:type="dxa"/>
            <w:tcBorders>
              <w:top w:val="nil"/>
              <w:bottom w:val="nil"/>
            </w:tcBorders>
            <w:shd w:val="clear" w:color="auto" w:fill="auto"/>
            <w:vAlign w:val="center"/>
          </w:tcPr>
          <w:p w14:paraId="003C0457" w14:textId="77777777" w:rsidR="00E85351" w:rsidRPr="00D55368" w:rsidRDefault="00E85351" w:rsidP="00864DDD">
            <w:pPr>
              <w:pStyle w:val="AbstractSummary"/>
              <w:adjustRightInd w:val="0"/>
              <w:snapToGrid w:val="0"/>
              <w:spacing w:before="0"/>
              <w:ind w:firstLine="313"/>
              <w:rPr>
                <w:sz w:val="20"/>
                <w:szCs w:val="20"/>
              </w:rPr>
            </w:pPr>
            <w:r w:rsidRPr="00D55368">
              <w:rPr>
                <w:sz w:val="20"/>
                <w:szCs w:val="20"/>
              </w:rPr>
              <w:t>La Hague (France)</w:t>
            </w:r>
          </w:p>
        </w:tc>
        <w:tc>
          <w:tcPr>
            <w:tcW w:w="1474" w:type="dxa"/>
            <w:tcBorders>
              <w:top w:val="nil"/>
              <w:bottom w:val="nil"/>
            </w:tcBorders>
            <w:shd w:val="clear" w:color="auto" w:fill="auto"/>
            <w:vAlign w:val="center"/>
          </w:tcPr>
          <w:p w14:paraId="197F25FF" w14:textId="77777777" w:rsidR="00E85351" w:rsidRPr="00D55368" w:rsidRDefault="00E85351" w:rsidP="00864DDD">
            <w:pPr>
              <w:pStyle w:val="AbstractSummary"/>
              <w:adjustRightInd w:val="0"/>
              <w:snapToGrid w:val="0"/>
              <w:spacing w:before="0"/>
              <w:rPr>
                <w:sz w:val="20"/>
                <w:szCs w:val="20"/>
              </w:rPr>
            </w:pPr>
            <w:r w:rsidRPr="00D55368">
              <w:rPr>
                <w:sz w:val="20"/>
                <w:szCs w:val="20"/>
              </w:rPr>
              <w:t>5703 (liquid)</w:t>
            </w:r>
          </w:p>
          <w:p w14:paraId="3DE15771" w14:textId="77777777" w:rsidR="00E85351" w:rsidRPr="00D55368" w:rsidRDefault="00E85351" w:rsidP="00864DDD">
            <w:pPr>
              <w:pStyle w:val="AbstractSummary"/>
              <w:adjustRightInd w:val="0"/>
              <w:snapToGrid w:val="0"/>
              <w:spacing w:before="0"/>
              <w:rPr>
                <w:sz w:val="20"/>
                <w:szCs w:val="20"/>
              </w:rPr>
            </w:pPr>
            <w:r w:rsidRPr="00D55368">
              <w:rPr>
                <w:sz w:val="20"/>
                <w:szCs w:val="20"/>
              </w:rPr>
              <w:t>75 (gaseous)</w:t>
            </w:r>
          </w:p>
        </w:tc>
        <w:tc>
          <w:tcPr>
            <w:tcW w:w="794" w:type="dxa"/>
            <w:tcBorders>
              <w:top w:val="nil"/>
              <w:bottom w:val="nil"/>
            </w:tcBorders>
            <w:shd w:val="clear" w:color="auto" w:fill="auto"/>
            <w:vAlign w:val="center"/>
          </w:tcPr>
          <w:p w14:paraId="08E46DEA"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{"citationID":"zaQgOjsK","properties":{"formattedCitation":"\\super 10\\uc0\\u8211{}12\\nosupersub{}","plainCitation":"10–12","noteIndex":0},"citationItems":[{"id":"0iLjcIAx/BIUvKLOQ","uris":["http://zotero.org/users/local/VAG2VVod/items/XFWYJS5B"],"itemData":{"id":237,"type":"webpage","title":"HELCOM MORS Discharge database","URL":"https://helcom.fi/%20baltic-sea-trends/data-maps/databases/","author":[{"family":"HELCOM","given":""}],"accessed":{"date-parts":[["2020",5,1]]},"issued":{"date-parts":[["2020"]]}}},{"id":"0iLjcIAx/IYXlW0Be","uris":["http://zotero.org/users/local/VAG2VVod/items/8X7Z4WR4"],"itemData":{"id":451,"type":"webpage","title":"OSPAR Liquid Discharges from Nuclear Installations","URL":"https://odims.ospar.org/en/search/?dataset=discharges_nuclear","author":[{"family":"OSPAR","given":""}],"accessed":{"date-parts":[["2021",8,20]]},"issued":{"date-parts":[["2021"]]}}},{"id":"0iLjcIAx/1oPgAQzq","uris":["http://zotero.org/users/local/VAG2VVod/items/64HBNJWW"],"itemData":{"id":444,"type":"article-journal","abstract":"As a long-lived beta-emitting radioisotope of iodine, 129I is produced both naturally and as a result of human nuclear activities. At present time, the main part of 129I in the environment originates from the human nuclear activity, especially the releases from the spent nuclear fuel reprocessing plants, the 129I/127I ratios have being reached to values of 10−10 to 10−4 in the environment from 10−12 in the pre-nuclear era. In this article, we review the occurrence, sources, inventory, and concentration level of 129I in environment and the method for speciation analysis of 129I in the environment. Measurement techniques for the determination of 129I are presented and compared. An overview of applications of 129I speciation in various scientiﬁc disciplines such as radiation protection, waste depository, and environmental sciences is given. In addition, the bioavailability and radiation toxicity (dose to thyroid) of 129I are discussed.","container-title":"Analytica Chimica Acta","DOI":"10.1016/j.aca.2008.11.013","ISSN":"00032670","issue":"2","journalAbbreviation":"Analytica Chimica Acta","language":"en","page":"181-196","source":"DOI.org (Crossref)","title":"A review on speciation of iodine-129 in the environmental and biological samples","URL":"https://linkinghub.elsevier.com/retrieve/pii/S0003267008019211","volume":"632","author":[{"family":"Hou","given":"Xiaolin"},{"family":"Hansen","given":"Violeta"},{"family":"Aldahan","given":"Ala"},{"family":"Possnert","given":"Göran"},{"family":"Lind","given":"Ole Christian"},{"family":"Lujaniene","given":"Galina"}],"accessed":{"date-parts":[["2021",8,20]]},"issued":{"date-parts":[["2009",1]]}}}],"schema":"https://github.com/citation-style-language/schema/raw/master/csl-citation.json"} </w:instrText>
            </w:r>
            <w:r w:rsidRPr="00864DDD">
              <w:rPr>
                <w:i/>
                <w:sz w:val="20"/>
                <w:szCs w:val="20"/>
              </w:rPr>
              <w:fldChar w:fldCharType="separate"/>
            </w:r>
            <w:r w:rsidR="00864DDD" w:rsidRPr="00864DDD">
              <w:rPr>
                <w:i/>
                <w:sz w:val="20"/>
              </w:rPr>
              <w:t>10–12</w:t>
            </w:r>
            <w:r w:rsidRPr="00864DDD">
              <w:rPr>
                <w:i/>
                <w:sz w:val="20"/>
                <w:szCs w:val="20"/>
              </w:rPr>
              <w:fldChar w:fldCharType="end"/>
            </w:r>
          </w:p>
        </w:tc>
        <w:tc>
          <w:tcPr>
            <w:tcW w:w="1247" w:type="dxa"/>
            <w:tcBorders>
              <w:top w:val="nil"/>
              <w:bottom w:val="nil"/>
            </w:tcBorders>
            <w:vAlign w:val="center"/>
          </w:tcPr>
          <w:p w14:paraId="3E596A39"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25</w:t>
            </w:r>
          </w:p>
        </w:tc>
        <w:tc>
          <w:tcPr>
            <w:tcW w:w="794" w:type="dxa"/>
            <w:tcBorders>
              <w:top w:val="nil"/>
              <w:bottom w:val="nil"/>
            </w:tcBorders>
            <w:vAlign w:val="center"/>
          </w:tcPr>
          <w:p w14:paraId="074CD9BD"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864DDD" w:rsidRPr="00864DDD">
              <w:rPr>
                <w:rFonts w:ascii="Times New Roman" w:hAnsi="Times New Roman" w:cs="Times New Roman"/>
                <w:i/>
                <w:sz w:val="20"/>
                <w:szCs w:val="20"/>
              </w:rPr>
              <w:instrText xml:space="preserve"> ADDIN ZOTERO_ITEM CSL_CITATION {"citationID":"2wymT0i2","properties":{"formattedCitation":"\\super 13\\nosupersub{}","plainCitation":"13","noteIndex":0},"citationItems":[{"id":"0iLjcIAx/LTbl4fAd","uris":["http://zotero.org/users/local/VAG2VVod/items/EMN5XTMY"],"itemData":{"id":"4wP4oa9j/VbsnVqeZ","type":"article-journal","container-title":"Science of The Total Environment","DOI":"10.1016/j.scitotenv.2020.137094","ISSN":"00489697","journalAbbreviation":"Science of The Total Environment","language":"en","page":"137094","source":"DOI.org (Crossref)","title":"Unravelling 5 decades of anthropogenic 236U discharge from nuclear reprocessing plants","volume":"717","author":[{"family":"Castrillejo","given":"Maxi"},{"family":"Witbaard","given":"Rob"},{"family":"Casacuberta","given":"Núria"},{"family":"Richardson","given":"Christopher A."},{"family":"Dekker","given":"Rob"},{"family":"Synal","given":"Hans-Arno"},{"family":"Christl","given":"Marcus"}],"issued":{"date-parts":[["2020",5]]}}}],"schema":"https://github.com/citation-style-language/schema/raw/master/csl-citation.json"} </w:instrText>
            </w:r>
            <w:r w:rsidRPr="00864DDD">
              <w:rPr>
                <w:rFonts w:ascii="Times New Roman" w:hAnsi="Times New Roman" w:cs="Times New Roman"/>
                <w:i/>
                <w:sz w:val="20"/>
                <w:szCs w:val="20"/>
              </w:rPr>
              <w:fldChar w:fldCharType="separate"/>
            </w:r>
            <w:r w:rsidR="00864DDD" w:rsidRPr="00864DDD">
              <w:rPr>
                <w:rFonts w:ascii="Times New Roman" w:hAnsi="Times New Roman" w:cs="Times New Roman"/>
                <w:i/>
                <w:sz w:val="20"/>
                <w:szCs w:val="24"/>
              </w:rPr>
              <w:t>13</w:t>
            </w:r>
            <w:r w:rsidRPr="00864DDD">
              <w:rPr>
                <w:rFonts w:ascii="Times New Roman" w:hAnsi="Times New Roman" w:cs="Times New Roman"/>
                <w:i/>
                <w:sz w:val="20"/>
                <w:szCs w:val="20"/>
              </w:rPr>
              <w:fldChar w:fldCharType="end"/>
            </w:r>
          </w:p>
        </w:tc>
        <w:tc>
          <w:tcPr>
            <w:tcW w:w="1134" w:type="dxa"/>
            <w:tcBorders>
              <w:top w:val="nil"/>
              <w:bottom w:val="nil"/>
            </w:tcBorders>
            <w:vAlign w:val="center"/>
          </w:tcPr>
          <w:p w14:paraId="2A49D0A6" w14:textId="77777777" w:rsidR="00E85351" w:rsidRPr="00D55368" w:rsidRDefault="00E85351" w:rsidP="00864DDD">
            <w:pPr>
              <w:pStyle w:val="Subtitle"/>
              <w:adjustRightInd w:val="0"/>
              <w:snapToGrid w:val="0"/>
              <w:rPr>
                <w:rFonts w:ascii="Times New Roman" w:hAnsi="Times New Roman" w:cs="Times New Roman"/>
                <w:sz w:val="20"/>
                <w:szCs w:val="20"/>
                <w:highlight w:val="yellow"/>
              </w:rPr>
            </w:pPr>
            <w:r w:rsidRPr="00D55368">
              <w:rPr>
                <w:rFonts w:ascii="Times New Roman" w:hAnsi="Times New Roman" w:cs="Times New Roman"/>
                <w:sz w:val="20"/>
                <w:szCs w:val="20"/>
              </w:rPr>
              <w:t>7.5 x 10</w:t>
            </w:r>
            <w:r w:rsidRPr="00D55368">
              <w:rPr>
                <w:rFonts w:ascii="Times New Roman" w:hAnsi="Times New Roman" w:cs="Times New Roman"/>
                <w:sz w:val="20"/>
                <w:szCs w:val="20"/>
                <w:vertAlign w:val="superscript"/>
              </w:rPr>
              <w:t>-6</w:t>
            </w:r>
          </w:p>
        </w:tc>
        <w:tc>
          <w:tcPr>
            <w:tcW w:w="794" w:type="dxa"/>
            <w:tcBorders>
              <w:top w:val="nil"/>
              <w:bottom w:val="nil"/>
            </w:tcBorders>
            <w:vAlign w:val="center"/>
          </w:tcPr>
          <w:p w14:paraId="6CD6317D"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D55368" w:rsidRPr="00864DDD">
              <w:rPr>
                <w:rFonts w:ascii="Times New Roman" w:hAnsi="Times New Roman" w:cs="Times New Roman"/>
                <w:i/>
                <w:sz w:val="20"/>
                <w:szCs w:val="20"/>
              </w:rPr>
              <w:instrText xml:space="preserve"> ADDIN ZOTERO_ITEM CSL_CITATION {"citationID":"a1vgp4n16mf","properties":{"formattedCitation":"\\super 14\\nosupersub{}","plainCitation":"14","noteIndex":0},"citationItems":[{"id":207,"uris":["http://zotero.org/users/9232851/items/CFJDMSPM"],"itemData":{"id":207,"type":"webpage","title":"HELCOM MORS Discharge database","URL":"https://helcom.fi/%20baltic-sea-trends/data-maps/databases/","author":[{"family":"HELCOM","given":""}],"accessed":{"date-parts":[["2020",5,1]]},"issued":{"date-parts":[["2020",5,1]]}}}],"schema":"https://github.com/citation-style-language/schema/raw/master/csl-citation.json"} </w:instrText>
            </w:r>
            <w:r w:rsidRPr="00864DDD">
              <w:rPr>
                <w:rFonts w:ascii="Times New Roman" w:hAnsi="Times New Roman" w:cs="Times New Roman"/>
                <w:i/>
                <w:sz w:val="20"/>
                <w:szCs w:val="20"/>
              </w:rPr>
              <w:fldChar w:fldCharType="separate"/>
            </w:r>
            <w:r w:rsidR="00D55368" w:rsidRPr="00864DDD">
              <w:rPr>
                <w:rFonts w:ascii="Times New Roman" w:hAnsi="Times New Roman" w:cs="Times New Roman"/>
                <w:i/>
                <w:sz w:val="20"/>
                <w:szCs w:val="20"/>
              </w:rPr>
              <w:t>14</w:t>
            </w:r>
            <w:r w:rsidRPr="00864DDD">
              <w:rPr>
                <w:rFonts w:ascii="Times New Roman" w:hAnsi="Times New Roman" w:cs="Times New Roman"/>
                <w:i/>
                <w:sz w:val="20"/>
                <w:szCs w:val="20"/>
              </w:rPr>
              <w:fldChar w:fldCharType="end"/>
            </w:r>
          </w:p>
        </w:tc>
      </w:tr>
      <w:tr w:rsidR="00E85351" w:rsidRPr="00A020E3" w14:paraId="6AF0DA14" w14:textId="77777777" w:rsidTr="00D55368">
        <w:trPr>
          <w:trHeight w:val="567"/>
        </w:trPr>
        <w:tc>
          <w:tcPr>
            <w:tcW w:w="2608" w:type="dxa"/>
            <w:tcBorders>
              <w:top w:val="nil"/>
              <w:bottom w:val="nil"/>
            </w:tcBorders>
            <w:shd w:val="clear" w:color="auto" w:fill="auto"/>
            <w:vAlign w:val="center"/>
          </w:tcPr>
          <w:p w14:paraId="50EEFEF8" w14:textId="77777777" w:rsidR="00E85351" w:rsidRPr="00D55368" w:rsidRDefault="00E85351" w:rsidP="00864DDD">
            <w:pPr>
              <w:pStyle w:val="AbstractSummary"/>
              <w:adjustRightInd w:val="0"/>
              <w:snapToGrid w:val="0"/>
              <w:spacing w:before="0"/>
              <w:ind w:firstLine="313"/>
              <w:rPr>
                <w:sz w:val="20"/>
                <w:szCs w:val="20"/>
              </w:rPr>
            </w:pPr>
            <w:r w:rsidRPr="00D55368">
              <w:rPr>
                <w:sz w:val="20"/>
                <w:szCs w:val="20"/>
              </w:rPr>
              <w:t>Marcoule (France)</w:t>
            </w:r>
          </w:p>
        </w:tc>
        <w:tc>
          <w:tcPr>
            <w:tcW w:w="1474" w:type="dxa"/>
            <w:tcBorders>
              <w:top w:val="nil"/>
              <w:bottom w:val="nil"/>
            </w:tcBorders>
            <w:shd w:val="clear" w:color="auto" w:fill="auto"/>
            <w:vAlign w:val="center"/>
          </w:tcPr>
          <w:p w14:paraId="7BB8638E" w14:textId="77777777" w:rsidR="00E85351" w:rsidRPr="00D55368" w:rsidRDefault="00E85351" w:rsidP="00864DDD">
            <w:pPr>
              <w:pStyle w:val="AbstractSummary"/>
              <w:adjustRightInd w:val="0"/>
              <w:snapToGrid w:val="0"/>
              <w:spacing w:before="0"/>
              <w:rPr>
                <w:sz w:val="20"/>
                <w:szCs w:val="20"/>
              </w:rPr>
            </w:pPr>
            <w:r w:rsidRPr="00D55368">
              <w:rPr>
                <w:sz w:val="20"/>
                <w:szCs w:val="20"/>
              </w:rPr>
              <w:t>45 (liquid)</w:t>
            </w:r>
          </w:p>
          <w:p w14:paraId="6BD03B44" w14:textId="77777777" w:rsidR="00E85351" w:rsidRPr="00D55368" w:rsidRDefault="00E85351" w:rsidP="00864DDD">
            <w:pPr>
              <w:pStyle w:val="AbstractSummary"/>
              <w:adjustRightInd w:val="0"/>
              <w:snapToGrid w:val="0"/>
              <w:spacing w:before="0"/>
              <w:rPr>
                <w:sz w:val="20"/>
                <w:szCs w:val="20"/>
              </w:rPr>
            </w:pPr>
            <w:r w:rsidRPr="00D55368">
              <w:rPr>
                <w:sz w:val="20"/>
                <w:szCs w:val="20"/>
              </w:rPr>
              <w:t>145 (gaseous)</w:t>
            </w:r>
          </w:p>
        </w:tc>
        <w:tc>
          <w:tcPr>
            <w:tcW w:w="794" w:type="dxa"/>
            <w:tcBorders>
              <w:top w:val="nil"/>
              <w:bottom w:val="nil"/>
            </w:tcBorders>
            <w:shd w:val="clear" w:color="auto" w:fill="auto"/>
            <w:vAlign w:val="center"/>
          </w:tcPr>
          <w:p w14:paraId="2E7E8322"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{"citationID":"PTTNSqgk","properties":{"formattedCitation":"\\super 15\\nosupersub{}","plainCitation":"15","noteIndex":0},"citationItems":[{"id":"0iLjcIAx/YakOWhRr","uris":["http://zotero.org/users/local/VAG2VVod/items/H5KMLZ3F"],"itemData":{"id":46,"type":"article-journal","abstract":"The quantity of the long lived Žhalf-life 15.7 million years. radioactive isotope 129I in the pre-nuclear age ocean was ; 100 kg. Various nuclear related activities, including weapons testing, nuclear fuel reprocessing, Chernobyl and other authorized or non-authorized dumping of radioactive waste have increased the ocean inventory of 129I by more than one order of magnitude. The most important of these sources are the direct marine discharges from the commercial reprocessing facilities at La Hague ŽFrance. and Sellaﬁeld ŽUK. which have discharged ; 1640 kg in the English Channel, and ; 720 kg in the Irish Sea, respectively. We discuss how this 129I can be used as both a ‘pathway’ and ‘transit time’ tracer in the North Atlantic and Arctic oceans, as well as a parameter for distinguishing between reprocessed and non-reprocessed nuclear waste in the ocean, and as a proxy for the transport and dilution of other soluble pollutants input to the North Sea. ᮊ 1999 Elsevier Science B.V. All rights reserved.","container-title":"Science of The Total Environment","DOI":"10.1016/S0048-9697(99)00122-9","ISSN":"00489697","journalAbbreviation":"Science of The Total Environment","language":"en","page":"31-41","source":"DOI.org (Crossref)","title":"129I in the oceans: origins and applications","title-short":"129I in the oceans","URL":"https://linkinghub.elsevier.com/retrieve/pii/S0048969799001229","volume":"237-238","author":[{"family":"Raisbeck","given":"G.M."},{"family":"Yiou","given":"F."}],"accessed":{"date-parts":[["2020",4,27]]},"issued":{"date-parts":[["1999",9]]}}}],"schema":"https://github.com/citation-style-language/schema/raw/master/csl-citation.json"} </w:instrText>
            </w:r>
            <w:r w:rsidRPr="00864DDD">
              <w:rPr>
                <w:i/>
                <w:sz w:val="20"/>
                <w:szCs w:val="20"/>
              </w:rPr>
              <w:fldChar w:fldCharType="separate"/>
            </w:r>
            <w:r w:rsidR="00864DDD" w:rsidRPr="00864DDD">
              <w:rPr>
                <w:i/>
                <w:sz w:val="20"/>
              </w:rPr>
              <w:t>15</w:t>
            </w:r>
            <w:r w:rsidRPr="00864DDD">
              <w:rPr>
                <w:i/>
                <w:sz w:val="20"/>
                <w:szCs w:val="20"/>
              </w:rPr>
              <w:fldChar w:fldCharType="end"/>
            </w:r>
          </w:p>
        </w:tc>
        <w:tc>
          <w:tcPr>
            <w:tcW w:w="1247" w:type="dxa"/>
            <w:tcBorders>
              <w:top w:val="nil"/>
              <w:bottom w:val="nil"/>
            </w:tcBorders>
            <w:vAlign w:val="center"/>
          </w:tcPr>
          <w:p w14:paraId="46798AB0"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10 - 20</w:t>
            </w:r>
          </w:p>
        </w:tc>
        <w:tc>
          <w:tcPr>
            <w:tcW w:w="794" w:type="dxa"/>
            <w:tcBorders>
              <w:top w:val="nil"/>
              <w:bottom w:val="nil"/>
            </w:tcBorders>
            <w:vAlign w:val="center"/>
          </w:tcPr>
          <w:p w14:paraId="3FCA6BE3"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864DDD" w:rsidRPr="00864DDD">
              <w:rPr>
                <w:rFonts w:ascii="Times New Roman" w:hAnsi="Times New Roman" w:cs="Times New Roman"/>
                <w:i/>
                <w:sz w:val="20"/>
                <w:szCs w:val="20"/>
              </w:rPr>
              <w:instrText xml:space="preserve"> ADDIN ZOTERO_ITEM CSL_CITATION {"citationID":"zKKdZd0M","properties":{"formattedCitation":"\\super 16\\nosupersub{}","plainCitation":"16","noteIndex":0},"citationItems":[{"id":30,"uris":["http://zotero.org/users/9232851/items/5J3NHJKD"],"itemData":{"id":30,"type":"article-journal","abstract":"The ﬁrst basin-wide distribution of 236U/238U atom ratios and 129I concentrations is presented for the Mediterranean Sea. During the GEOTRACES GA04S-MedSeA expedition in 2013 seawater was collected from 10 vertical proﬁles covering the principal sub–basins of the Mediterranean Sea. The main objective was to understand the distributions of 236U and 129I in relation to the water masses, and to constrain their sources in this region. The 236U/238U atom ratios and the 129I concentrations ranged from (710 ± 40) × 10−12 to (2220 ± 60) × 10−12 and from (4.0 ± 0.1) × 107 to (13.8 ± 0.3) × 107 at·kg−1, respectively. The results show that radionuclide–poor Atlantic Water is entering at the surface through the Strait of Gibraltar whereas comparably radionuclideenriched Levantine Intermediate Water is sinking in the Eastern Basin and ﬂowing westward at intermediate depths. Low radionuclide levels were found in the oldest water masses at about 1000–2000 m depth in the Eastern Basin. At greater depths, waters were relatively enriched in 236U and 129I due to dense water formation occurring in both, the Eastern and Western Basins. The inventories of 236U and 129I cannot be explained only by global fallout from atmospheric nuclear bomb testings carried out in the 1950s and 1960s. We estimate that the liquid input of 236U from the nuclear reprocessing facility of Marcoule (France), via the Rhône river, was of the same order of magnitude than the contribution from global fallout, whereas liquid and gaseous releases of 129I from Marcoule were up to two orders of magnitude higher than global fallout. For both radionuclides, the contribution from the Chernobyl accident is found to be minor.","container-title":"Science of The Total Environment","DOI":"10.1016/j.scitotenv.2017.03.201","ISSN":"00489697","journalAbbreviation":"Science of The Total Environment","language":"en","page":"745-759","source":"DOI.org (Crossref)","title":"Anthropogenic 236U and 129I in the Mediterranean Sea: First comprehensive distribution and constrain of their sources","title-short":"Anthropogenic 236 U and 129 I in the Mediterranean Sea","volume":"593-594","author":[{"family":"Castrillejo","given":"M."},{"family":"Casacuberta","given":"N."},{"family":"Christl","given":"M."},{"family":"Garcia-Orellana","given":"J."},{"family":"Vockenhuber","given":"C."},{"family":"Synal","given":"H.-A."},{"family":"Masqué","given":"P."}],"issued":{"date-parts":[["2017",9]]}}}],"schema":"https://github.com/citation-style-language/schema/raw/master/csl-citation.json"} </w:instrText>
            </w:r>
            <w:r w:rsidRPr="00864DDD">
              <w:rPr>
                <w:rFonts w:ascii="Times New Roman" w:hAnsi="Times New Roman" w:cs="Times New Roman"/>
                <w:i/>
                <w:sz w:val="20"/>
                <w:szCs w:val="20"/>
              </w:rPr>
              <w:fldChar w:fldCharType="separate"/>
            </w:r>
            <w:r w:rsidR="00864DDD" w:rsidRPr="00864DDD">
              <w:rPr>
                <w:rFonts w:ascii="Times New Roman" w:hAnsi="Times New Roman" w:cs="Times New Roman"/>
                <w:i/>
                <w:sz w:val="20"/>
                <w:szCs w:val="24"/>
              </w:rPr>
              <w:t>16</w:t>
            </w:r>
            <w:r w:rsidRPr="00864DDD">
              <w:rPr>
                <w:rFonts w:ascii="Times New Roman" w:hAnsi="Times New Roman" w:cs="Times New Roman"/>
                <w:i/>
                <w:sz w:val="20"/>
                <w:szCs w:val="20"/>
              </w:rPr>
              <w:fldChar w:fldCharType="end"/>
            </w:r>
          </w:p>
        </w:tc>
        <w:tc>
          <w:tcPr>
            <w:tcW w:w="1134" w:type="dxa"/>
            <w:tcBorders>
              <w:top w:val="nil"/>
              <w:bottom w:val="nil"/>
            </w:tcBorders>
            <w:vAlign w:val="center"/>
          </w:tcPr>
          <w:p w14:paraId="5399B729" w14:textId="77777777" w:rsidR="00E85351" w:rsidRPr="00D55368" w:rsidRDefault="00E85351" w:rsidP="00864DDD">
            <w:pPr>
              <w:pStyle w:val="Subtitle"/>
              <w:adjustRightInd w:val="0"/>
              <w:snapToGrid w:val="0"/>
              <w:rPr>
                <w:rFonts w:ascii="Times New Roman" w:hAnsi="Times New Roman" w:cs="Times New Roman"/>
                <w:sz w:val="20"/>
                <w:szCs w:val="20"/>
              </w:rPr>
            </w:pPr>
          </w:p>
        </w:tc>
        <w:tc>
          <w:tcPr>
            <w:tcW w:w="794" w:type="dxa"/>
            <w:tcBorders>
              <w:top w:val="nil"/>
              <w:bottom w:val="nil"/>
            </w:tcBorders>
            <w:vAlign w:val="center"/>
          </w:tcPr>
          <w:p w14:paraId="4B14759D" w14:textId="77777777" w:rsidR="00E85351" w:rsidRPr="00864DDD" w:rsidRDefault="00E85351" w:rsidP="00864DDD">
            <w:pPr>
              <w:pStyle w:val="Subtitle"/>
              <w:adjustRightInd w:val="0"/>
              <w:snapToGrid w:val="0"/>
              <w:rPr>
                <w:rFonts w:ascii="Times New Roman" w:hAnsi="Times New Roman" w:cs="Times New Roman"/>
                <w:i/>
                <w:sz w:val="20"/>
                <w:szCs w:val="20"/>
              </w:rPr>
            </w:pPr>
          </w:p>
        </w:tc>
      </w:tr>
      <w:tr w:rsidR="00E85351" w:rsidRPr="00A020E3" w14:paraId="28B647D7" w14:textId="77777777" w:rsidTr="00D55368">
        <w:trPr>
          <w:trHeight w:val="567"/>
        </w:trPr>
        <w:tc>
          <w:tcPr>
            <w:tcW w:w="2608" w:type="dxa"/>
            <w:tcBorders>
              <w:top w:val="nil"/>
              <w:bottom w:val="nil"/>
            </w:tcBorders>
            <w:shd w:val="clear" w:color="auto" w:fill="auto"/>
            <w:vAlign w:val="center"/>
          </w:tcPr>
          <w:p w14:paraId="34EB2D7F" w14:textId="77777777" w:rsidR="00E85351" w:rsidRPr="00D55368" w:rsidRDefault="00E85351" w:rsidP="00864DDD">
            <w:pPr>
              <w:pStyle w:val="AbstractSummary"/>
              <w:adjustRightInd w:val="0"/>
              <w:snapToGrid w:val="0"/>
              <w:spacing w:before="0"/>
              <w:ind w:firstLine="313"/>
              <w:rPr>
                <w:sz w:val="20"/>
                <w:szCs w:val="20"/>
              </w:rPr>
            </w:pPr>
            <w:r w:rsidRPr="00D55368">
              <w:rPr>
                <w:sz w:val="20"/>
                <w:szCs w:val="20"/>
              </w:rPr>
              <w:t>Others</w:t>
            </w:r>
          </w:p>
        </w:tc>
        <w:tc>
          <w:tcPr>
            <w:tcW w:w="1474" w:type="dxa"/>
            <w:tcBorders>
              <w:top w:val="nil"/>
              <w:bottom w:val="nil"/>
            </w:tcBorders>
            <w:shd w:val="clear" w:color="auto" w:fill="auto"/>
            <w:vAlign w:val="center"/>
          </w:tcPr>
          <w:p w14:paraId="3D3D4145" w14:textId="77777777" w:rsidR="00E85351" w:rsidRPr="00D55368" w:rsidRDefault="00E85351" w:rsidP="00864DDD">
            <w:pPr>
              <w:pStyle w:val="AbstractSummary"/>
              <w:adjustRightInd w:val="0"/>
              <w:snapToGrid w:val="0"/>
              <w:spacing w:before="0"/>
              <w:rPr>
                <w:sz w:val="20"/>
                <w:szCs w:val="20"/>
              </w:rPr>
            </w:pPr>
            <w:r w:rsidRPr="00D55368">
              <w:rPr>
                <w:sz w:val="20"/>
                <w:szCs w:val="20"/>
              </w:rPr>
              <w:t>669 (gaseous)</w:t>
            </w:r>
          </w:p>
        </w:tc>
        <w:tc>
          <w:tcPr>
            <w:tcW w:w="794" w:type="dxa"/>
            <w:tcBorders>
              <w:top w:val="nil"/>
              <w:bottom w:val="nil"/>
            </w:tcBorders>
            <w:shd w:val="clear" w:color="auto" w:fill="auto"/>
            <w:vAlign w:val="center"/>
          </w:tcPr>
          <w:p w14:paraId="71FDCFA0"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{"citationID":"Vo75rLsK","properties":{"formattedCitation":"\\super 12\\nosupersub{}","plainCitation":"12","noteIndex":0},"citationItems":[{"id":"0iLjcIAx/1oPgAQzq","uris":["http://zotero.org/users/local/VAG2VVod/items/64HBNJWW"],"itemData":{"id":444,"type":"article-journal","abstract":"As a long-lived beta-emitting radioisotope of iodine, 129I is produced both naturally and as a result of human nuclear activities. At present time, the main part of 129I in the environment originates from the human nuclear activity, especially the releases from the spent nuclear fuel reprocessing plants, the 129I/127I ratios have being reached to values of 10−10 to 10−4 in the environment from 10−12 in the pre-nuclear era. In this article, we review the occurrence, sources, inventory, and concentration level of 129I in environment and the method for speciation analysis of 129I in the environment. Measurement techniques for the determination of 129I are presented and compared. An overview of applications of 129I speciation in various scientiﬁc disciplines such as radiation protection, waste depository, and environmental sciences is given. In addition, the bioavailability and radiation toxicity (dose to thyroid) of 129I are discussed.","container-title":"Analytica Chimica Acta","DOI":"10.1016/j.aca.2008.11.013","ISSN":"00032670","issue":"2","journalAbbreviation":"Analytica Chimica Acta","language":"en","page":"181-196","source":"DOI.org (Crossref)","title":"A review on speciation of iodine-129 in the environmental and biological samples","URL":"https://linkinghub.elsevier.com/retrieve/pii/S0003267008019211","volume":"632","author":[{"family":"Hou","given":"Xiaolin"},{"family":"Hansen","given":"Violeta"},{"family":"Aldahan","given":"Ala"},{"family":"Possnert","given":"Göran"},{"family":"Lind","given":"Ole Christian"},{"family":"Lujaniene","given":"Galina"}],"accessed":{"date-parts":[["2021",8,20]]},"issued":{"date-parts":[["2009",1]]}}}],"schema":"https://github.com/citation-style-language/schema/raw/master/csl-citation.json"} </w:instrText>
            </w:r>
            <w:r w:rsidRPr="00864DDD">
              <w:rPr>
                <w:i/>
                <w:sz w:val="20"/>
                <w:szCs w:val="20"/>
              </w:rPr>
              <w:fldChar w:fldCharType="separate"/>
            </w:r>
            <w:r w:rsidR="00864DDD" w:rsidRPr="00864DDD">
              <w:rPr>
                <w:i/>
                <w:sz w:val="20"/>
              </w:rPr>
              <w:t>12</w:t>
            </w:r>
            <w:r w:rsidRPr="00864DDD">
              <w:rPr>
                <w:i/>
                <w:sz w:val="20"/>
                <w:szCs w:val="20"/>
              </w:rPr>
              <w:fldChar w:fldCharType="end"/>
            </w:r>
          </w:p>
        </w:tc>
        <w:tc>
          <w:tcPr>
            <w:tcW w:w="1247" w:type="dxa"/>
            <w:tcBorders>
              <w:top w:val="nil"/>
              <w:bottom w:val="nil"/>
            </w:tcBorders>
            <w:vAlign w:val="center"/>
          </w:tcPr>
          <w:p w14:paraId="31132BFB"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vAlign w:val="center"/>
          </w:tcPr>
          <w:p w14:paraId="478B0397" w14:textId="77777777" w:rsidR="00E85351" w:rsidRPr="00864DDD" w:rsidRDefault="00E85351" w:rsidP="00864DDD">
            <w:pPr>
              <w:pStyle w:val="AbstractSummary"/>
              <w:adjustRightInd w:val="0"/>
              <w:snapToGrid w:val="0"/>
              <w:spacing w:before="0"/>
              <w:rPr>
                <w:i/>
                <w:sz w:val="20"/>
                <w:szCs w:val="20"/>
              </w:rPr>
            </w:pPr>
          </w:p>
        </w:tc>
        <w:tc>
          <w:tcPr>
            <w:tcW w:w="1134" w:type="dxa"/>
            <w:tcBorders>
              <w:top w:val="nil"/>
              <w:bottom w:val="nil"/>
            </w:tcBorders>
            <w:vAlign w:val="center"/>
          </w:tcPr>
          <w:p w14:paraId="3B1595AB"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vAlign w:val="center"/>
          </w:tcPr>
          <w:p w14:paraId="461B847B" w14:textId="77777777" w:rsidR="00E85351" w:rsidRPr="00D55368" w:rsidRDefault="00E85351" w:rsidP="00864DDD">
            <w:pPr>
              <w:pStyle w:val="AbstractSummary"/>
              <w:adjustRightInd w:val="0"/>
              <w:snapToGrid w:val="0"/>
              <w:spacing w:before="0"/>
              <w:rPr>
                <w:i/>
                <w:sz w:val="20"/>
                <w:szCs w:val="20"/>
              </w:rPr>
            </w:pPr>
          </w:p>
        </w:tc>
      </w:tr>
      <w:tr w:rsidR="00E85351" w:rsidRPr="00A020E3" w14:paraId="5D5FDA0F" w14:textId="77777777" w:rsidTr="00D55368">
        <w:trPr>
          <w:trHeight w:val="567"/>
        </w:trPr>
        <w:tc>
          <w:tcPr>
            <w:tcW w:w="2608" w:type="dxa"/>
            <w:tcBorders>
              <w:top w:val="nil"/>
              <w:bottom w:val="nil"/>
            </w:tcBorders>
            <w:shd w:val="clear" w:color="auto" w:fill="auto"/>
            <w:vAlign w:val="center"/>
          </w:tcPr>
          <w:p w14:paraId="73EEBED2" w14:textId="77777777" w:rsidR="00E85351" w:rsidRPr="00D55368" w:rsidRDefault="00E85351" w:rsidP="00864DDD">
            <w:pPr>
              <w:pStyle w:val="AbstractSummary"/>
              <w:adjustRightInd w:val="0"/>
              <w:snapToGrid w:val="0"/>
              <w:spacing w:before="0"/>
              <w:rPr>
                <w:b/>
                <w:sz w:val="20"/>
                <w:szCs w:val="20"/>
              </w:rPr>
            </w:pPr>
            <w:r w:rsidRPr="00D55368">
              <w:rPr>
                <w:b/>
                <w:sz w:val="20"/>
                <w:szCs w:val="20"/>
              </w:rPr>
              <w:t>Nuclear accidents</w:t>
            </w:r>
          </w:p>
        </w:tc>
        <w:tc>
          <w:tcPr>
            <w:tcW w:w="1474" w:type="dxa"/>
            <w:tcBorders>
              <w:top w:val="nil"/>
              <w:bottom w:val="nil"/>
            </w:tcBorders>
            <w:shd w:val="clear" w:color="auto" w:fill="auto"/>
            <w:vAlign w:val="center"/>
          </w:tcPr>
          <w:p w14:paraId="291B7594"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shd w:val="clear" w:color="auto" w:fill="auto"/>
            <w:vAlign w:val="center"/>
          </w:tcPr>
          <w:p w14:paraId="1D7A68D6" w14:textId="77777777" w:rsidR="00E85351" w:rsidRPr="00864DDD" w:rsidRDefault="00E85351" w:rsidP="00864DDD">
            <w:pPr>
              <w:pStyle w:val="AbstractSummary"/>
              <w:adjustRightInd w:val="0"/>
              <w:snapToGrid w:val="0"/>
              <w:spacing w:before="0"/>
              <w:rPr>
                <w:i/>
                <w:sz w:val="20"/>
                <w:szCs w:val="20"/>
              </w:rPr>
            </w:pPr>
          </w:p>
        </w:tc>
        <w:tc>
          <w:tcPr>
            <w:tcW w:w="1247" w:type="dxa"/>
            <w:tcBorders>
              <w:top w:val="nil"/>
              <w:bottom w:val="nil"/>
            </w:tcBorders>
            <w:vAlign w:val="center"/>
          </w:tcPr>
          <w:p w14:paraId="7C14AAD0"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vAlign w:val="center"/>
          </w:tcPr>
          <w:p w14:paraId="3FE9DBEF" w14:textId="77777777" w:rsidR="00E85351" w:rsidRPr="00864DDD" w:rsidRDefault="00E85351" w:rsidP="00864DDD">
            <w:pPr>
              <w:pStyle w:val="AbstractSummary"/>
              <w:adjustRightInd w:val="0"/>
              <w:snapToGrid w:val="0"/>
              <w:spacing w:before="0"/>
              <w:rPr>
                <w:i/>
                <w:sz w:val="20"/>
                <w:szCs w:val="20"/>
              </w:rPr>
            </w:pPr>
          </w:p>
        </w:tc>
        <w:tc>
          <w:tcPr>
            <w:tcW w:w="1134" w:type="dxa"/>
            <w:tcBorders>
              <w:top w:val="nil"/>
              <w:bottom w:val="nil"/>
            </w:tcBorders>
            <w:vAlign w:val="center"/>
          </w:tcPr>
          <w:p w14:paraId="09A728BC" w14:textId="77777777" w:rsidR="00E85351" w:rsidRPr="00D55368" w:rsidRDefault="00E85351" w:rsidP="00864DDD">
            <w:pPr>
              <w:pStyle w:val="AbstractSummary"/>
              <w:adjustRightInd w:val="0"/>
              <w:snapToGrid w:val="0"/>
              <w:spacing w:before="0"/>
              <w:rPr>
                <w:sz w:val="20"/>
                <w:szCs w:val="20"/>
              </w:rPr>
            </w:pPr>
          </w:p>
        </w:tc>
        <w:tc>
          <w:tcPr>
            <w:tcW w:w="794" w:type="dxa"/>
            <w:tcBorders>
              <w:top w:val="nil"/>
              <w:bottom w:val="nil"/>
            </w:tcBorders>
            <w:vAlign w:val="center"/>
          </w:tcPr>
          <w:p w14:paraId="6CD25DA8" w14:textId="77777777" w:rsidR="00E85351" w:rsidRPr="00D55368" w:rsidRDefault="00E85351" w:rsidP="00864DDD">
            <w:pPr>
              <w:pStyle w:val="AbstractSummary"/>
              <w:adjustRightInd w:val="0"/>
              <w:snapToGrid w:val="0"/>
              <w:spacing w:before="0"/>
              <w:rPr>
                <w:i/>
                <w:sz w:val="20"/>
                <w:szCs w:val="20"/>
              </w:rPr>
            </w:pPr>
          </w:p>
        </w:tc>
      </w:tr>
      <w:tr w:rsidR="00E85351" w:rsidRPr="00A020E3" w14:paraId="00A1691B" w14:textId="77777777" w:rsidTr="00D55368">
        <w:trPr>
          <w:trHeight w:val="567"/>
        </w:trPr>
        <w:tc>
          <w:tcPr>
            <w:tcW w:w="2608" w:type="dxa"/>
            <w:tcBorders>
              <w:top w:val="nil"/>
              <w:bottom w:val="nil"/>
            </w:tcBorders>
            <w:shd w:val="clear" w:color="auto" w:fill="auto"/>
            <w:vAlign w:val="center"/>
          </w:tcPr>
          <w:p w14:paraId="413D5E2C" w14:textId="77777777" w:rsidR="00E85351" w:rsidRPr="00D55368" w:rsidRDefault="00E85351" w:rsidP="00864DDD">
            <w:pPr>
              <w:pStyle w:val="AbstractSummary"/>
              <w:adjustRightInd w:val="0"/>
              <w:snapToGrid w:val="0"/>
              <w:spacing w:before="0"/>
              <w:ind w:firstLine="313"/>
              <w:rPr>
                <w:sz w:val="20"/>
                <w:szCs w:val="20"/>
              </w:rPr>
            </w:pPr>
            <w:r w:rsidRPr="00D55368">
              <w:rPr>
                <w:sz w:val="20"/>
                <w:szCs w:val="20"/>
              </w:rPr>
              <w:t>Chernobyl accident</w:t>
            </w:r>
          </w:p>
        </w:tc>
        <w:tc>
          <w:tcPr>
            <w:tcW w:w="1474" w:type="dxa"/>
            <w:tcBorders>
              <w:top w:val="nil"/>
              <w:bottom w:val="nil"/>
            </w:tcBorders>
            <w:shd w:val="clear" w:color="auto" w:fill="auto"/>
            <w:vAlign w:val="center"/>
          </w:tcPr>
          <w:p w14:paraId="6A5286F6" w14:textId="77777777" w:rsidR="00E85351" w:rsidRPr="00D55368" w:rsidRDefault="00E85351" w:rsidP="00864DDD">
            <w:pPr>
              <w:pStyle w:val="AbstractSummary"/>
              <w:adjustRightInd w:val="0"/>
              <w:snapToGrid w:val="0"/>
              <w:spacing w:before="0"/>
              <w:rPr>
                <w:sz w:val="20"/>
                <w:szCs w:val="20"/>
              </w:rPr>
            </w:pPr>
            <w:r w:rsidRPr="00D55368">
              <w:rPr>
                <w:sz w:val="20"/>
                <w:szCs w:val="20"/>
              </w:rPr>
              <w:t>1.3 - 6</w:t>
            </w:r>
          </w:p>
        </w:tc>
        <w:tc>
          <w:tcPr>
            <w:tcW w:w="794" w:type="dxa"/>
            <w:tcBorders>
              <w:top w:val="nil"/>
              <w:bottom w:val="nil"/>
            </w:tcBorders>
            <w:shd w:val="clear" w:color="auto" w:fill="auto"/>
            <w:vAlign w:val="center"/>
          </w:tcPr>
          <w:p w14:paraId="7B10886B"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{"citationID":"ryjmPY88","properties":{"formattedCitation":"\\super 17,18\\nosupersub{}","plainCitation":"17,18","noteIndex":0},"citationItems":[{"id":"0iLjcIAx/wVH0doRD","uris":["http://zotero.org/users/local/VAG2VVod/items/TPPPH3DG"],"itemData":{"id":448,"type":"article-journal","abstract":"Data are presented here on the anthropogenic 129I inventory in regions that have been strongly aﬀected by releases from European reprocessing facilities which, to the authors’ knowledge, presently account for &gt;90% of the global isotope source in the Earth’s surface environment. The results show that &gt;90% of the isotope inventory occurs in marine waters with the Nordic Seas and Eurasian basin of the Arctic Ocean containing most of the 129I. Within the terrestrial environment of Europe, soils contain the largest part of the isotope inventory. However, the inventory of the terrestrial system did not provide clues on the most plausible atmospheric source of 129I to Europe, thus supply from both gaseous and marine releases is proposed. The sum of the total inventory in both the marine and terrestrial environments did not match the estimated releases. This imbalance is likely to relate to unconstrained inventory estimates for marine basins (Irish Sea, English Channel and North Sea) close to the facilities, but also to the occurrence of 129I in the biosphere, and possible overestimated releases from the nuclear reprocessing facilities. There is no doubt that the available data on 129I distribution in the environment are far from representative and further research is urgently needed to construct a comprehensive picture. Ó 2006 Elsevier Ltd. All rights reserved.","container-title":"Applied Geochemistry","DOI":"10.1016/j.apgeochem.2006.12.006","ISSN":"08832927","issue":"3","journalAbbreviation":"Applied Geochemistry","language":"en","page":"606-618","source":"DOI.org (Crossref)","title":"129I anthropogenic budget: Major sources and sinks","title-short":"129I anthropogenic budget","URL":"https://linkinghub.elsevier.com/retrieve/pii/S0883292706003064","volume":"22","author":[{"family":"Aldahan","given":"A."},{"family":"Alfimov","given":"V."},{"family":"Possnert","given":"G."}],"accessed":{"date-parts":[["2021",8,20]]},"issued":{"date-parts":[["2007",3]]}}},{"id":"0iLjcIAx/je7fRsZ8","uris":["http://zotero.org/users/local/VAG2VVod/items/S4PC4DFJ"],"itemData":{"id":446,"type":"article-journal","container-title":"Nuclear Instruments and Methods in Physics Research Section B: Beam Interactions with Materials and Atoms","DOI":"10.1016/0168-583X(87)90262-X","ISSN":"0168583X","issue":"1-2","journalAbbreviation":"Nuclear Instruments and Methods in Physics Research Section B: Beam Interactions with Materials and Atoms","language":"en","page":"341-345","source":"DOI.org (Crossref)","title":"Measurement of 129I concentrations in the environment after the Chernobyl reactor accident","URL":"https://linkinghub.elsevier.com/retrieve/pii/0168583X8790262X","volume":"29","author":[{"family":"Paul","given":"M."},{"family":"Fink)","given":"D."},{"family":"Hollos","given":"G."},{"family":"Kaufman","given":"A."},{"family":"Kutschera","given":"W."},{"family":"Magaritz","given":"M."}],"accessed":{"date-parts":[["2021",8,20]]},"issued":{"date-parts":[["1987",11]]}}}],"schema":"https://github.com/citation-style-language/schema/raw/master/csl-citation.json"} </w:instrText>
            </w:r>
            <w:r w:rsidRPr="00864DDD">
              <w:rPr>
                <w:i/>
                <w:sz w:val="20"/>
                <w:szCs w:val="20"/>
              </w:rPr>
              <w:fldChar w:fldCharType="separate"/>
            </w:r>
            <w:r w:rsidR="00864DDD" w:rsidRPr="00864DDD">
              <w:rPr>
                <w:i/>
                <w:sz w:val="20"/>
              </w:rPr>
              <w:t>17,18</w:t>
            </w:r>
            <w:r w:rsidRPr="00864DDD">
              <w:rPr>
                <w:i/>
                <w:sz w:val="20"/>
                <w:szCs w:val="20"/>
              </w:rPr>
              <w:fldChar w:fldCharType="end"/>
            </w:r>
          </w:p>
        </w:tc>
        <w:tc>
          <w:tcPr>
            <w:tcW w:w="1247" w:type="dxa"/>
            <w:tcBorders>
              <w:top w:val="nil"/>
              <w:bottom w:val="nil"/>
            </w:tcBorders>
            <w:vAlign w:val="center"/>
          </w:tcPr>
          <w:p w14:paraId="444E7725"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60 - 80</w:t>
            </w:r>
          </w:p>
        </w:tc>
        <w:tc>
          <w:tcPr>
            <w:tcW w:w="794" w:type="dxa"/>
            <w:tcBorders>
              <w:top w:val="nil"/>
              <w:bottom w:val="nil"/>
            </w:tcBorders>
            <w:vAlign w:val="center"/>
          </w:tcPr>
          <w:p w14:paraId="113D8D1A"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864DDD" w:rsidRPr="00864DDD">
              <w:rPr>
                <w:rFonts w:ascii="Times New Roman" w:hAnsi="Times New Roman" w:cs="Times New Roman"/>
                <w:i/>
                <w:sz w:val="20"/>
                <w:szCs w:val="20"/>
              </w:rPr>
              <w:instrText xml:space="preserve"> ADDIN ZOTERO_ITEM CSL_CITATION {"citationID":"aq8iktv0cn","properties":{"formattedCitation":"\\super 19,20\\nosupersub{}","plainCitation":"19,20","noteIndex":0},"citationItems":[{"id":72,"uris":["http://zotero.org/users/9232851/items/2DA36MQZ"],"itemData":{"id":72,"type":"book","call-number":"RA569 .S582 2000","event-place":"New York","ISBN":"978-92-1-142238-2","language":"en","note":"OCLC: ocm45228885","number-of-pages":"2","publisher":"United Nations","publisher-place":"New York","source":"Library of Congress ISBN","title":"Sources and effects of ionizing radiation: United Nations Scientific Committee on the Effects of Atomic Radiation: UNSCEAR 2000 report to the General Assembly, with scientific annexes","title-short":"Sources and effects of ionizing radiation","editor":[{"family":"United Nations","given":""}],"issued":{"date-parts":[["2000"]]}}},{"id":217,"uris":["http://zotero.org/users/9232851/items/SRVRQ3PV"],"itemData":{"id":217,"type":"article-journal","abstract":"A series of different nuclear sources associated with the nuclear weapon and fuel cycles have contributed to the release of radioactive particles to the environment. Following nuclear weapon tests, safety tests, conventional destruction of weapons, reactor explosions and ﬁres, a major fraction of released refractory radionuclides such as uranium (U) and plutonium (Pu) were present as entities ranging from sub microns to fragments. Furthermore, radioactive particles and colloids have been released from reprocessing facilities and civil reactors, from radioactive waste dumped at sea, and from NORM sites. Thus, whenever refractory radionuclides are released to the environment following nuclear events, radioactive particles should be expected.","container-title":"Journal of Environmental Radioactivity","DOI":"10.1016/j.jenvrad.2017.09.001","ISSN":"0265931X","journalAbbreviation":"Journal of Environmental Radioactivity","language":"en","page":"101-115","source":"DOI.org (Crossref)","title":"Challenges associated with the behaviour of radioactive particles in the environment","volume":"186","author":[{"family":"Salbu","given":"Brit"},{"family":"Kashparov","given":"Valery"},{"family":"Lind","given":"Ole Christian"},{"family":"Garcia-Tenorio","given":"Rafael"},{"family":"Johansen","given":"Mathew P."},{"family":"Child","given":"David P."},{"family":"Roos","given":"Per"},{"family":"Sancho","given":"Carlos"}],"issued":{"date-parts":[["2018",6]]}}}],"schema":"https://github.com/citation-style-language/schema/raw/master/csl-citation.json"} </w:instrText>
            </w:r>
            <w:r w:rsidRPr="00864DDD">
              <w:rPr>
                <w:rFonts w:ascii="Times New Roman" w:hAnsi="Times New Roman" w:cs="Times New Roman"/>
                <w:i/>
                <w:sz w:val="20"/>
                <w:szCs w:val="20"/>
              </w:rPr>
              <w:fldChar w:fldCharType="separate"/>
            </w:r>
            <w:r w:rsidR="00864DDD" w:rsidRPr="00864DDD">
              <w:rPr>
                <w:rFonts w:ascii="Times New Roman" w:hAnsi="Times New Roman" w:cs="Times New Roman"/>
                <w:i/>
                <w:sz w:val="20"/>
                <w:szCs w:val="24"/>
              </w:rPr>
              <w:t>19,20</w:t>
            </w:r>
            <w:r w:rsidRPr="00864DDD">
              <w:rPr>
                <w:rFonts w:ascii="Times New Roman" w:hAnsi="Times New Roman" w:cs="Times New Roman"/>
                <w:i/>
                <w:sz w:val="20"/>
                <w:szCs w:val="20"/>
              </w:rPr>
              <w:fldChar w:fldCharType="end"/>
            </w:r>
          </w:p>
        </w:tc>
        <w:tc>
          <w:tcPr>
            <w:tcW w:w="1134" w:type="dxa"/>
            <w:tcBorders>
              <w:top w:val="nil"/>
              <w:bottom w:val="nil"/>
            </w:tcBorders>
            <w:vAlign w:val="center"/>
          </w:tcPr>
          <w:p w14:paraId="015ADCF1" w14:textId="77777777" w:rsidR="00E85351" w:rsidRPr="00D55368" w:rsidRDefault="00E85351" w:rsidP="00864DDD">
            <w:pPr>
              <w:pStyle w:val="Subtitle"/>
              <w:adjustRightInd w:val="0"/>
              <w:snapToGrid w:val="0"/>
              <w:rPr>
                <w:rFonts w:ascii="Times New Roman" w:hAnsi="Times New Roman" w:cs="Times New Roman"/>
                <w:sz w:val="20"/>
                <w:szCs w:val="20"/>
              </w:rPr>
            </w:pPr>
          </w:p>
        </w:tc>
        <w:tc>
          <w:tcPr>
            <w:tcW w:w="794" w:type="dxa"/>
            <w:tcBorders>
              <w:top w:val="nil"/>
              <w:bottom w:val="nil"/>
            </w:tcBorders>
            <w:vAlign w:val="center"/>
          </w:tcPr>
          <w:p w14:paraId="15DAA966" w14:textId="77777777" w:rsidR="00E85351" w:rsidRPr="00D55368" w:rsidRDefault="00E85351" w:rsidP="00864DDD">
            <w:pPr>
              <w:pStyle w:val="Subtitle"/>
              <w:adjustRightInd w:val="0"/>
              <w:snapToGrid w:val="0"/>
              <w:rPr>
                <w:rFonts w:ascii="Times New Roman" w:hAnsi="Times New Roman" w:cs="Times New Roman"/>
                <w:sz w:val="20"/>
                <w:szCs w:val="20"/>
              </w:rPr>
            </w:pPr>
          </w:p>
        </w:tc>
      </w:tr>
      <w:tr w:rsidR="00E85351" w:rsidRPr="00A020E3" w14:paraId="25FCB23E" w14:textId="77777777" w:rsidTr="00D55368">
        <w:trPr>
          <w:trHeight w:val="567"/>
        </w:trPr>
        <w:tc>
          <w:tcPr>
            <w:tcW w:w="2608" w:type="dxa"/>
            <w:tcBorders>
              <w:top w:val="nil"/>
              <w:bottom w:val="single" w:sz="4" w:space="0" w:color="auto"/>
            </w:tcBorders>
            <w:shd w:val="clear" w:color="auto" w:fill="auto"/>
            <w:vAlign w:val="center"/>
          </w:tcPr>
          <w:p w14:paraId="4B49CE84" w14:textId="77777777" w:rsidR="00E85351" w:rsidRPr="00D55368" w:rsidRDefault="00E85351" w:rsidP="00864DDD">
            <w:pPr>
              <w:pStyle w:val="AbstractSummary"/>
              <w:adjustRightInd w:val="0"/>
              <w:snapToGrid w:val="0"/>
              <w:spacing w:before="0"/>
              <w:ind w:firstLine="313"/>
              <w:rPr>
                <w:sz w:val="20"/>
                <w:szCs w:val="20"/>
              </w:rPr>
            </w:pPr>
            <w:r w:rsidRPr="00D55368">
              <w:rPr>
                <w:sz w:val="20"/>
                <w:szCs w:val="20"/>
              </w:rPr>
              <w:t>Fukushima accident</w:t>
            </w:r>
          </w:p>
        </w:tc>
        <w:tc>
          <w:tcPr>
            <w:tcW w:w="1474" w:type="dxa"/>
            <w:tcBorders>
              <w:top w:val="nil"/>
              <w:bottom w:val="single" w:sz="4" w:space="0" w:color="auto"/>
            </w:tcBorders>
            <w:shd w:val="clear" w:color="auto" w:fill="auto"/>
            <w:vAlign w:val="center"/>
          </w:tcPr>
          <w:p w14:paraId="69848BC2" w14:textId="77777777" w:rsidR="00E85351" w:rsidRPr="00D55368" w:rsidRDefault="00E85351" w:rsidP="00864DDD">
            <w:pPr>
              <w:pStyle w:val="AbstractSummary"/>
              <w:adjustRightInd w:val="0"/>
              <w:snapToGrid w:val="0"/>
              <w:spacing w:before="0"/>
              <w:rPr>
                <w:sz w:val="20"/>
                <w:szCs w:val="20"/>
              </w:rPr>
            </w:pPr>
            <w:r w:rsidRPr="00D55368">
              <w:rPr>
                <w:sz w:val="20"/>
                <w:szCs w:val="20"/>
              </w:rPr>
              <w:t>1.2</w:t>
            </w:r>
          </w:p>
        </w:tc>
        <w:tc>
          <w:tcPr>
            <w:tcW w:w="794" w:type="dxa"/>
            <w:tcBorders>
              <w:top w:val="nil"/>
              <w:bottom w:val="single" w:sz="4" w:space="0" w:color="auto"/>
            </w:tcBorders>
            <w:shd w:val="clear" w:color="auto" w:fill="auto"/>
            <w:vAlign w:val="center"/>
          </w:tcPr>
          <w:p w14:paraId="1CF29175" w14:textId="77777777" w:rsidR="00E85351" w:rsidRPr="00864DDD" w:rsidRDefault="00E85351" w:rsidP="00864DDD">
            <w:pPr>
              <w:pStyle w:val="AbstractSummary"/>
              <w:adjustRightInd w:val="0"/>
              <w:snapToGrid w:val="0"/>
              <w:spacing w:before="0"/>
              <w:rPr>
                <w:i/>
                <w:sz w:val="20"/>
                <w:szCs w:val="20"/>
              </w:rPr>
            </w:pPr>
            <w:r w:rsidRPr="00864DDD">
              <w:rPr>
                <w:i/>
                <w:sz w:val="20"/>
                <w:szCs w:val="20"/>
              </w:rPr>
              <w:fldChar w:fldCharType="begin"/>
            </w:r>
            <w:r w:rsidR="00864DDD" w:rsidRPr="00864DDD">
              <w:rPr>
                <w:i/>
                <w:sz w:val="20"/>
                <w:szCs w:val="20"/>
              </w:rPr>
              <w:instrText xml:space="preserve"> ADDIN ZOTERO_ITEM CSL_CITATION {"citationID":"JqIdQ9Po","properties":{"formattedCitation":"\\super 21\\nosupersub{}","plainCitation":"21","noteIndex":0},"citationItems":[{"id":"0iLjcIAx/eyRON6Gv","uris":["http://zotero.org/users/local/VAG2VVod/items/ZERB4CEK"],"itemData":{"id":450,"type":"article-journal","abstract":"The Fukushima nuclear accident in March 2011 has released a large amount of radioactive pollutants to the environment. Of the pollutants, iodine-129 is a long-lived radionuclide and will remain in the environment for millions of years. This work ﬁrst report levels and inorganic speciation of 129I in seawater depth proﬁles collected oﬀshore Fukushima in June 2011. Signiﬁcantly elevated 129I concentrations in surface water were observed with the highest 129I/127I atomic ratio of 2.2 × 10−9 in the surface seawater 40 km oﬀshore Fukushima. Iodide was found as the dominant species of 129I, while stable 127I was mainly in iodate form, reﬂecting the fact that the major source of 129I is the direct liquid discharges from the Fukushima NPP. The amount of 129I directly discharged from the Fukushima Dai-ichi nuclear power plant to the sea was estimated to be 2.35 GBq, and about 1.09 GBq of 129I released to the atmosphere from the accident was deposited in the sea oﬀshore Fukushima. A total release of 8.06 GBq (or 1.2 kg) of 129I from the Fukushima accident was estimated. These Fukushimaderived 129I data provide necessary information for the investigation of water circulation and geochemical cycle of iodine in the northwestern Paciﬁc Ocean in the future.","container-title":"Environmental Science &amp; Technology","DOI":"10.1021/es304460k","ISSN":"0013-936X, 1520-5851","issue":"7","journalAbbreviation":"Environ. Sci. Technol.","language":"en","page":"3091-3098","source":"DOI.org (Crossref)","title":"Iodine-129 in Seawater Offshore Fukushima: Distribution, Inorganic Speciation, Sources, and Budget","title-short":"Iodine-129 in Seawater Offshore Fukushima","URL":"https://pubs.acs.org/doi/10.1021/es304460k","volume":"47","author":[{"family":"Hou","given":"Xiaolin"},{"family":"Povinec","given":"Pavel P."},{"family":"Zhang","given":"Luyuan"},{"family":"Shi","given":"Keliang"},{"family":"Biddulph","given":"Dana"},{"family":"Chang","given":"Ching-Chih"},{"family":"Fan","given":"Yukun"},{"family":"Golser","given":"Robin"},{"family":"Hou","given":"Yingkun"},{"family":"Ješkovský","given":"Miroslav"},{"family":"Jull","given":"A. J. Tim"},{"family":"Liu","given":"Qi"},{"family":"Luo","given":"Maoyi"},{"family":"Steier","given":"Peter"},{"family":"Zhou","given":"Weijian"}],"accessed":{"date-parts":[["2021",8,20]]},"issued":{"date-parts":[["2013",4,2]]}}}],"schema":"https://github.com/citation-style-language/schema/raw/master/csl-citation.json"} </w:instrText>
            </w:r>
            <w:r w:rsidRPr="00864DDD">
              <w:rPr>
                <w:i/>
                <w:sz w:val="20"/>
                <w:szCs w:val="20"/>
              </w:rPr>
              <w:fldChar w:fldCharType="separate"/>
            </w:r>
            <w:r w:rsidR="00864DDD" w:rsidRPr="00864DDD">
              <w:rPr>
                <w:i/>
                <w:sz w:val="20"/>
              </w:rPr>
              <w:t>21</w:t>
            </w:r>
            <w:r w:rsidRPr="00864DDD">
              <w:rPr>
                <w:i/>
                <w:sz w:val="20"/>
                <w:szCs w:val="20"/>
              </w:rPr>
              <w:fldChar w:fldCharType="end"/>
            </w:r>
          </w:p>
        </w:tc>
        <w:tc>
          <w:tcPr>
            <w:tcW w:w="1247" w:type="dxa"/>
            <w:tcBorders>
              <w:top w:val="nil"/>
              <w:bottom w:val="single" w:sz="4" w:space="0" w:color="auto"/>
            </w:tcBorders>
            <w:vAlign w:val="center"/>
          </w:tcPr>
          <w:p w14:paraId="20C2F246" w14:textId="77777777" w:rsidR="00E85351" w:rsidRPr="00D55368" w:rsidRDefault="00E85351" w:rsidP="00864DDD">
            <w:pPr>
              <w:pStyle w:val="Subtitle"/>
              <w:adjustRightInd w:val="0"/>
              <w:snapToGrid w:val="0"/>
              <w:rPr>
                <w:rFonts w:ascii="Times New Roman" w:hAnsi="Times New Roman" w:cs="Times New Roman"/>
                <w:sz w:val="20"/>
                <w:szCs w:val="20"/>
              </w:rPr>
            </w:pPr>
            <w:r w:rsidRPr="00D55368">
              <w:rPr>
                <w:rFonts w:ascii="Times New Roman" w:hAnsi="Times New Roman" w:cs="Times New Roman"/>
                <w:sz w:val="20"/>
                <w:szCs w:val="20"/>
              </w:rPr>
              <w:t>3 x 10</w:t>
            </w:r>
            <w:r w:rsidRPr="00D55368">
              <w:rPr>
                <w:rFonts w:ascii="Times New Roman" w:hAnsi="Times New Roman" w:cs="Times New Roman"/>
                <w:sz w:val="20"/>
                <w:szCs w:val="20"/>
                <w:vertAlign w:val="superscript"/>
              </w:rPr>
              <w:t>-4</w:t>
            </w:r>
          </w:p>
        </w:tc>
        <w:tc>
          <w:tcPr>
            <w:tcW w:w="794" w:type="dxa"/>
            <w:tcBorders>
              <w:top w:val="nil"/>
              <w:bottom w:val="single" w:sz="4" w:space="0" w:color="auto"/>
            </w:tcBorders>
            <w:vAlign w:val="center"/>
          </w:tcPr>
          <w:p w14:paraId="71D526D1" w14:textId="77777777" w:rsidR="00E85351" w:rsidRPr="00864DDD" w:rsidRDefault="00E85351" w:rsidP="00864DDD">
            <w:pPr>
              <w:pStyle w:val="Subtitle"/>
              <w:adjustRightInd w:val="0"/>
              <w:snapToGrid w:val="0"/>
              <w:rPr>
                <w:rFonts w:ascii="Times New Roman" w:hAnsi="Times New Roman" w:cs="Times New Roman"/>
                <w:i/>
                <w:sz w:val="20"/>
                <w:szCs w:val="20"/>
              </w:rPr>
            </w:pPr>
            <w:r w:rsidRPr="00864DDD">
              <w:rPr>
                <w:rFonts w:ascii="Times New Roman" w:hAnsi="Times New Roman" w:cs="Times New Roman"/>
                <w:i/>
                <w:sz w:val="20"/>
                <w:szCs w:val="20"/>
              </w:rPr>
              <w:fldChar w:fldCharType="begin"/>
            </w:r>
            <w:r w:rsidR="00864DDD" w:rsidRPr="00864DDD">
              <w:rPr>
                <w:rFonts w:ascii="Times New Roman" w:hAnsi="Times New Roman" w:cs="Times New Roman"/>
                <w:i/>
                <w:sz w:val="20"/>
                <w:szCs w:val="20"/>
              </w:rPr>
              <w:instrText xml:space="preserve"> ADDIN ZOTERO_ITEM CSL_CITATION {"citationID":"7ITH33Xs","properties":{"formattedCitation":"\\super 22\\nosupersub{}","plainCitation":"22","noteIndex":0},"citationItems":[{"id":215,"uris":["http://zotero.org/users/9232851/items/7ERTYFPE"],"itemData":{"id":215,"type":"article-journal","abstract":"Black-colored road dusts were collected in highradiation areas in Fukushima Prefecture. Measurement of 236U and Pu isotopes and 134,137Cs in samples was performed to conﬁrm whether refractory elements, such as U and Pu, from the fuel core were discharged and to ascertain the extent of fractionation between volatile and refractory elements. The concentrations of 134,137Cs in all samples were exceptionally high, ranging from 0.43 to 17.7 MBq/kg, respectively. 239+240Pu was detected at low levels, ranging from 0.15 to 1.14 Bq/kg, and with high 238Pu/239+240Pu activity ratios of 1.64−2.64. 236U was successfully determined in the range of (0.28 to 6.74) × 10−4 Bq/kg. The observed activity ratios for 236U/239+240Pu were in reasonable agreement with those calculated for the fuel core inventories, indicating that trace amounts of U from the fuel cores were released together with Pu isotopes but without large fractionation. The quantities of U and 239+240Pu emitted to the atmosphere were estimated as 3.9 × 106 Bq (150 g) and 2.3 × 109 Bq (580 mg), respectively. With regard to U, this is the ﬁrst report to give a quantitative estimation of the amount discharged. Appreciable fractionation between volatile and refractory radionuclides associated with the dispersal/deposition processes with distance from the Fukushima Dai-ichi Nuclear Power Plant was found.","container-title":"Environmental Science &amp; Technology","DOI":"10.1021/es405294s","ISSN":"0013-936X, 1520-5851","issue":"7","journalAbbreviation":"Environ. Sci. Technol.","language":"en","page":"3691-3697","source":"DOI.org (Crossref)","title":"Isotopic Compositions of 236U and Pu Isotopes in “Black Substances” Collected from Roadsides in Fukushima Prefecture: Fallout from the Fukushima Dai-ichi Nuclear Power Plant Accident","title-short":"Isotopic Compositions of &lt;sup&gt;236&lt;/sup&gt; U and Pu Isotopes in “Black Substances” Collected from Roadsides in Fukushima Prefecture","volume":"48","author":[{"family":"Sakaguchi","given":"Aya"},{"family":"Steier","given":"Peter"},{"family":"Takahashi","given":"Yoshio"},{"family":"Yamamoto","given":"Masayoshi"}],"issued":{"date-parts":[["2014",4,1]]}}}],"schema":"https://github.com/citation-style-language/schema/raw/master/csl-citation.json"} </w:instrText>
            </w:r>
            <w:r w:rsidRPr="00864DDD">
              <w:rPr>
                <w:rFonts w:ascii="Times New Roman" w:hAnsi="Times New Roman" w:cs="Times New Roman"/>
                <w:i/>
                <w:sz w:val="20"/>
                <w:szCs w:val="20"/>
              </w:rPr>
              <w:fldChar w:fldCharType="separate"/>
            </w:r>
            <w:r w:rsidR="00864DDD" w:rsidRPr="00864DDD">
              <w:rPr>
                <w:rFonts w:ascii="Times New Roman" w:hAnsi="Times New Roman" w:cs="Times New Roman"/>
                <w:i/>
                <w:sz w:val="20"/>
                <w:szCs w:val="24"/>
              </w:rPr>
              <w:t>22</w:t>
            </w:r>
            <w:r w:rsidRPr="00864DDD">
              <w:rPr>
                <w:rFonts w:ascii="Times New Roman" w:hAnsi="Times New Roman" w:cs="Times New Roman"/>
                <w:i/>
                <w:sz w:val="20"/>
                <w:szCs w:val="20"/>
              </w:rPr>
              <w:fldChar w:fldCharType="end"/>
            </w:r>
          </w:p>
        </w:tc>
        <w:tc>
          <w:tcPr>
            <w:tcW w:w="1134" w:type="dxa"/>
            <w:tcBorders>
              <w:top w:val="nil"/>
              <w:bottom w:val="single" w:sz="4" w:space="0" w:color="auto"/>
            </w:tcBorders>
            <w:vAlign w:val="center"/>
          </w:tcPr>
          <w:p w14:paraId="193F1365" w14:textId="77777777" w:rsidR="00E85351" w:rsidRPr="00D55368" w:rsidRDefault="00E85351" w:rsidP="00864DDD">
            <w:pPr>
              <w:pStyle w:val="Subtitle"/>
              <w:adjustRightInd w:val="0"/>
              <w:snapToGrid w:val="0"/>
              <w:rPr>
                <w:rFonts w:ascii="Times New Roman" w:hAnsi="Times New Roman" w:cs="Times New Roman"/>
                <w:sz w:val="20"/>
                <w:szCs w:val="20"/>
              </w:rPr>
            </w:pPr>
          </w:p>
        </w:tc>
        <w:tc>
          <w:tcPr>
            <w:tcW w:w="794" w:type="dxa"/>
            <w:tcBorders>
              <w:top w:val="nil"/>
              <w:bottom w:val="single" w:sz="4" w:space="0" w:color="auto"/>
            </w:tcBorders>
            <w:vAlign w:val="center"/>
          </w:tcPr>
          <w:p w14:paraId="23D7B9B9" w14:textId="77777777" w:rsidR="00E85351" w:rsidRPr="00D55368" w:rsidRDefault="00E85351" w:rsidP="00864DDD">
            <w:pPr>
              <w:pStyle w:val="Subtitle"/>
              <w:adjustRightInd w:val="0"/>
              <w:snapToGrid w:val="0"/>
              <w:rPr>
                <w:rFonts w:ascii="Times New Roman" w:hAnsi="Times New Roman" w:cs="Times New Roman"/>
                <w:sz w:val="20"/>
                <w:szCs w:val="20"/>
              </w:rPr>
            </w:pPr>
          </w:p>
        </w:tc>
      </w:tr>
      <w:tr w:rsidR="00E85351" w:rsidRPr="00A020E3" w14:paraId="7002542B" w14:textId="77777777" w:rsidTr="00D55368">
        <w:trPr>
          <w:trHeight w:val="567"/>
        </w:trPr>
        <w:tc>
          <w:tcPr>
            <w:tcW w:w="2608" w:type="dxa"/>
            <w:tcBorders>
              <w:top w:val="single" w:sz="4" w:space="0" w:color="auto"/>
              <w:bottom w:val="single" w:sz="12" w:space="0" w:color="auto"/>
            </w:tcBorders>
            <w:shd w:val="clear" w:color="auto" w:fill="auto"/>
            <w:vAlign w:val="center"/>
          </w:tcPr>
          <w:p w14:paraId="6A4ECBAA" w14:textId="77777777" w:rsidR="00E85351" w:rsidRPr="00D55368" w:rsidRDefault="00E85351" w:rsidP="00864DDD">
            <w:pPr>
              <w:pStyle w:val="AbstractSummary"/>
              <w:adjustRightInd w:val="0"/>
              <w:snapToGrid w:val="0"/>
              <w:spacing w:before="0"/>
              <w:rPr>
                <w:sz w:val="20"/>
                <w:szCs w:val="20"/>
              </w:rPr>
            </w:pPr>
            <w:r w:rsidRPr="00D55368">
              <w:rPr>
                <w:b/>
                <w:sz w:val="20"/>
                <w:szCs w:val="20"/>
              </w:rPr>
              <w:t>Total</w:t>
            </w:r>
          </w:p>
        </w:tc>
        <w:tc>
          <w:tcPr>
            <w:tcW w:w="1474" w:type="dxa"/>
            <w:tcBorders>
              <w:top w:val="single" w:sz="4" w:space="0" w:color="auto"/>
              <w:bottom w:val="single" w:sz="12" w:space="0" w:color="auto"/>
            </w:tcBorders>
            <w:shd w:val="clear" w:color="auto" w:fill="auto"/>
            <w:vAlign w:val="center"/>
          </w:tcPr>
          <w:p w14:paraId="6BE81C1C" w14:textId="77777777" w:rsidR="00E85351" w:rsidRPr="00D55368" w:rsidRDefault="00E85351" w:rsidP="00864DDD">
            <w:pPr>
              <w:pStyle w:val="AbstractSummary"/>
              <w:adjustRightInd w:val="0"/>
              <w:snapToGrid w:val="0"/>
              <w:spacing w:before="0"/>
              <w:rPr>
                <w:b/>
                <w:sz w:val="20"/>
                <w:szCs w:val="20"/>
              </w:rPr>
            </w:pPr>
            <w:r w:rsidRPr="00D55368">
              <w:rPr>
                <w:b/>
                <w:sz w:val="20"/>
                <w:szCs w:val="20"/>
              </w:rPr>
              <w:t>9033</w:t>
            </w:r>
          </w:p>
        </w:tc>
        <w:tc>
          <w:tcPr>
            <w:tcW w:w="794" w:type="dxa"/>
            <w:tcBorders>
              <w:top w:val="single" w:sz="4" w:space="0" w:color="auto"/>
              <w:bottom w:val="single" w:sz="12" w:space="0" w:color="auto"/>
            </w:tcBorders>
            <w:shd w:val="clear" w:color="auto" w:fill="auto"/>
            <w:vAlign w:val="center"/>
          </w:tcPr>
          <w:p w14:paraId="428B58D4" w14:textId="77777777" w:rsidR="00E85351" w:rsidRPr="00D55368" w:rsidRDefault="00E85351" w:rsidP="00864DDD">
            <w:pPr>
              <w:pStyle w:val="AbstractSummary"/>
              <w:adjustRightInd w:val="0"/>
              <w:snapToGrid w:val="0"/>
              <w:spacing w:before="0"/>
              <w:rPr>
                <w:sz w:val="20"/>
                <w:szCs w:val="20"/>
              </w:rPr>
            </w:pPr>
          </w:p>
        </w:tc>
        <w:tc>
          <w:tcPr>
            <w:tcW w:w="1247" w:type="dxa"/>
            <w:tcBorders>
              <w:top w:val="single" w:sz="4" w:space="0" w:color="auto"/>
              <w:bottom w:val="single" w:sz="12" w:space="0" w:color="auto"/>
            </w:tcBorders>
            <w:vAlign w:val="center"/>
          </w:tcPr>
          <w:p w14:paraId="76DBA430" w14:textId="77777777" w:rsidR="00E85351" w:rsidRPr="00D55368" w:rsidRDefault="00D55368" w:rsidP="00864DDD">
            <w:pPr>
              <w:pStyle w:val="AbstractSummary"/>
              <w:adjustRightInd w:val="0"/>
              <w:snapToGrid w:val="0"/>
              <w:spacing w:before="0"/>
              <w:rPr>
                <w:b/>
                <w:sz w:val="20"/>
                <w:szCs w:val="20"/>
              </w:rPr>
            </w:pPr>
            <w:r>
              <w:rPr>
                <w:b/>
                <w:sz w:val="20"/>
                <w:szCs w:val="20"/>
              </w:rPr>
              <w:t>1882</w:t>
            </w:r>
          </w:p>
        </w:tc>
        <w:tc>
          <w:tcPr>
            <w:tcW w:w="794" w:type="dxa"/>
            <w:tcBorders>
              <w:top w:val="single" w:sz="4" w:space="0" w:color="auto"/>
              <w:bottom w:val="single" w:sz="12" w:space="0" w:color="auto"/>
            </w:tcBorders>
            <w:vAlign w:val="center"/>
          </w:tcPr>
          <w:p w14:paraId="6336CA35" w14:textId="77777777" w:rsidR="00E85351" w:rsidRPr="00D55368" w:rsidRDefault="00E85351" w:rsidP="00864DDD">
            <w:pPr>
              <w:pStyle w:val="AbstractSummary"/>
              <w:adjustRightInd w:val="0"/>
              <w:snapToGrid w:val="0"/>
              <w:spacing w:before="0"/>
              <w:rPr>
                <w:sz w:val="20"/>
                <w:szCs w:val="20"/>
              </w:rPr>
            </w:pPr>
          </w:p>
        </w:tc>
        <w:tc>
          <w:tcPr>
            <w:tcW w:w="1134" w:type="dxa"/>
            <w:tcBorders>
              <w:top w:val="single" w:sz="4" w:space="0" w:color="auto"/>
              <w:bottom w:val="single" w:sz="12" w:space="0" w:color="auto"/>
            </w:tcBorders>
            <w:vAlign w:val="center"/>
          </w:tcPr>
          <w:p w14:paraId="47F84E5C" w14:textId="77777777" w:rsidR="00E85351" w:rsidRPr="00D55368" w:rsidRDefault="00D55368" w:rsidP="00864DDD">
            <w:pPr>
              <w:pStyle w:val="AbstractSummary"/>
              <w:adjustRightInd w:val="0"/>
              <w:snapToGrid w:val="0"/>
              <w:spacing w:before="0"/>
              <w:rPr>
                <w:b/>
                <w:sz w:val="20"/>
                <w:szCs w:val="20"/>
              </w:rPr>
            </w:pPr>
            <w:r>
              <w:rPr>
                <w:b/>
                <w:sz w:val="20"/>
                <w:szCs w:val="20"/>
              </w:rPr>
              <w:t>12</w:t>
            </w:r>
          </w:p>
        </w:tc>
        <w:tc>
          <w:tcPr>
            <w:tcW w:w="794" w:type="dxa"/>
            <w:tcBorders>
              <w:top w:val="single" w:sz="4" w:space="0" w:color="auto"/>
              <w:bottom w:val="single" w:sz="12" w:space="0" w:color="auto"/>
            </w:tcBorders>
            <w:vAlign w:val="center"/>
          </w:tcPr>
          <w:p w14:paraId="1BE309F9" w14:textId="77777777" w:rsidR="00E85351" w:rsidRPr="00D55368" w:rsidRDefault="00E85351" w:rsidP="00864DDD">
            <w:pPr>
              <w:pStyle w:val="AbstractSummary"/>
              <w:adjustRightInd w:val="0"/>
              <w:snapToGrid w:val="0"/>
              <w:spacing w:before="0"/>
              <w:rPr>
                <w:sz w:val="20"/>
                <w:szCs w:val="20"/>
              </w:rPr>
            </w:pPr>
          </w:p>
        </w:tc>
      </w:tr>
    </w:tbl>
    <w:p w14:paraId="2463F719" w14:textId="77777777" w:rsidR="00E85351" w:rsidRDefault="00E85351" w:rsidP="00864DDD">
      <w:pPr>
        <w:pStyle w:val="SMcaption"/>
        <w:adjustRightInd w:val="0"/>
        <w:snapToGrid w:val="0"/>
      </w:pPr>
    </w:p>
    <w:p w14:paraId="2A0B4F21" w14:textId="77777777" w:rsidR="00E85351" w:rsidRDefault="00E85351" w:rsidP="00864DDD">
      <w:pPr>
        <w:adjustRightInd w:val="0"/>
        <w:snapToGrid w:val="0"/>
        <w:rPr>
          <w:rFonts w:ascii="Times New Roman" w:hAnsi="Times New Roman" w:cs="Times New Roman"/>
          <w:b/>
          <w:bCs/>
          <w:sz w:val="24"/>
          <w:szCs w:val="24"/>
        </w:rPr>
      </w:pPr>
    </w:p>
    <w:p w14:paraId="0EE75EB0" w14:textId="77777777" w:rsidR="00EA5C67" w:rsidRDefault="00EA5C67">
      <w:pPr>
        <w:rPr>
          <w:rFonts w:ascii="Times New Roman" w:hAnsi="Times New Roman" w:cs="Times New Roman"/>
          <w:b/>
          <w:bCs/>
          <w:sz w:val="24"/>
          <w:szCs w:val="24"/>
        </w:rPr>
      </w:pPr>
      <w:r>
        <w:rPr>
          <w:rFonts w:ascii="Times New Roman" w:hAnsi="Times New Roman" w:cs="Times New Roman"/>
          <w:b/>
          <w:bCs/>
          <w:sz w:val="24"/>
          <w:szCs w:val="24"/>
        </w:rPr>
        <w:br w:type="page"/>
      </w:r>
    </w:p>
    <w:p w14:paraId="5D28342B" w14:textId="27701784" w:rsidR="004A0D65" w:rsidRPr="004A0D65" w:rsidRDefault="002D0210" w:rsidP="00F463E7">
      <w:pPr>
        <w:adjustRightInd w:val="0"/>
        <w:snapToGrid w:val="0"/>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S2:</w:t>
      </w:r>
      <w:r w:rsidR="004A0D65" w:rsidRPr="004A0D65">
        <w:rPr>
          <w:rFonts w:ascii="Times New Roman" w:hAnsi="Times New Roman" w:cs="Times New Roman"/>
          <w:b/>
          <w:bCs/>
          <w:sz w:val="24"/>
          <w:szCs w:val="24"/>
        </w:rPr>
        <w:t xml:space="preserve"> The overall measurement results for </w:t>
      </w:r>
      <w:r w:rsidR="004A0D65" w:rsidRPr="004A0D65">
        <w:rPr>
          <w:rFonts w:ascii="Times New Roman" w:hAnsi="Times New Roman" w:cs="Times New Roman"/>
          <w:b/>
          <w:sz w:val="24"/>
          <w:szCs w:val="24"/>
          <w:vertAlign w:val="superscript"/>
        </w:rPr>
        <w:t>129</w:t>
      </w:r>
      <w:r w:rsidR="004A0D65" w:rsidRPr="004A0D65">
        <w:rPr>
          <w:rFonts w:ascii="Times New Roman" w:hAnsi="Times New Roman" w:cs="Times New Roman"/>
          <w:b/>
          <w:sz w:val="24"/>
          <w:szCs w:val="24"/>
        </w:rPr>
        <w:t xml:space="preserve">I, </w:t>
      </w:r>
      <w:r w:rsidR="004A0D65" w:rsidRPr="004A0D65">
        <w:rPr>
          <w:rFonts w:ascii="Times New Roman" w:hAnsi="Times New Roman" w:cs="Times New Roman"/>
          <w:b/>
          <w:sz w:val="24"/>
          <w:szCs w:val="24"/>
          <w:vertAlign w:val="superscript"/>
        </w:rPr>
        <w:t>236</w:t>
      </w:r>
      <w:r w:rsidR="004A0D65" w:rsidRPr="004A0D65">
        <w:rPr>
          <w:rFonts w:ascii="Times New Roman" w:hAnsi="Times New Roman" w:cs="Times New Roman"/>
          <w:b/>
          <w:sz w:val="24"/>
          <w:szCs w:val="24"/>
        </w:rPr>
        <w:t xml:space="preserve">U, and </w:t>
      </w:r>
      <w:r w:rsidR="004A0D65" w:rsidRPr="004A0D65">
        <w:rPr>
          <w:rFonts w:ascii="Times New Roman" w:hAnsi="Times New Roman" w:cs="Times New Roman"/>
          <w:b/>
          <w:sz w:val="24"/>
          <w:szCs w:val="24"/>
          <w:vertAlign w:val="superscript"/>
        </w:rPr>
        <w:t>233</w:t>
      </w:r>
      <w:r w:rsidR="004A0D65" w:rsidRPr="004A0D65">
        <w:rPr>
          <w:rFonts w:ascii="Times New Roman" w:hAnsi="Times New Roman" w:cs="Times New Roman"/>
          <w:b/>
          <w:sz w:val="24"/>
          <w:szCs w:val="24"/>
        </w:rPr>
        <w:t xml:space="preserve">U </w:t>
      </w:r>
      <w:r w:rsidR="004A0D65" w:rsidRPr="004A0D65">
        <w:rPr>
          <w:rFonts w:ascii="Times New Roman" w:hAnsi="Times New Roman" w:cs="Times New Roman"/>
          <w:b/>
          <w:bCs/>
          <w:sz w:val="24"/>
          <w:szCs w:val="24"/>
        </w:rPr>
        <w:t>during 2015-2019 and the estimated ages of saline water in the Baltic Sea</w:t>
      </w:r>
      <w:r w:rsidR="004A0D65">
        <w:rPr>
          <w:rFonts w:ascii="Times New Roman" w:hAnsi="Times New Roman" w:cs="Times New Roman"/>
          <w:b/>
          <w:bCs/>
          <w:sz w:val="24"/>
          <w:szCs w:val="24"/>
        </w:rPr>
        <w:t xml:space="preserve"> (see </w:t>
      </w:r>
      <w:r w:rsidR="00864DDD">
        <w:rPr>
          <w:rFonts w:ascii="Times New Roman" w:hAnsi="Times New Roman" w:cs="Times New Roman"/>
          <w:b/>
          <w:bCs/>
          <w:sz w:val="24"/>
          <w:szCs w:val="24"/>
        </w:rPr>
        <w:t xml:space="preserve">the </w:t>
      </w:r>
      <w:r w:rsidR="004A0D65">
        <w:rPr>
          <w:rFonts w:ascii="Times New Roman" w:hAnsi="Times New Roman" w:cs="Times New Roman"/>
          <w:b/>
          <w:bCs/>
          <w:sz w:val="24"/>
          <w:szCs w:val="24"/>
        </w:rPr>
        <w:t>supplemented spreadsheet)</w:t>
      </w:r>
      <w:r w:rsidR="004A0D65" w:rsidRPr="004A0D65">
        <w:rPr>
          <w:rFonts w:ascii="Times New Roman" w:hAnsi="Times New Roman" w:cs="Times New Roman"/>
          <w:b/>
          <w:bCs/>
          <w:sz w:val="24"/>
          <w:szCs w:val="24"/>
        </w:rPr>
        <w:t xml:space="preserve">. </w:t>
      </w:r>
      <w:r w:rsidR="004A0D65" w:rsidRPr="004A0D65">
        <w:rPr>
          <w:rFonts w:ascii="Times New Roman" w:hAnsi="Times New Roman" w:cs="Times New Roman"/>
          <w:b/>
          <w:bCs/>
          <w:sz w:val="24"/>
          <w:szCs w:val="24"/>
        </w:rPr>
        <w:br w:type="page"/>
      </w:r>
    </w:p>
    <w:p w14:paraId="6A66323B" w14:textId="77777777" w:rsidR="00076170" w:rsidRDefault="00076170" w:rsidP="00F463E7">
      <w:pPr>
        <w:adjustRightInd w:val="0"/>
        <w:snapToGrid w:val="0"/>
        <w:spacing w:before="100" w:beforeAutospacing="1" w:after="100" w:afterAutospacing="1"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E85351">
        <w:rPr>
          <w:rFonts w:ascii="Times New Roman" w:hAnsi="Times New Roman" w:cs="Times New Roman"/>
          <w:b/>
          <w:bCs/>
          <w:sz w:val="24"/>
          <w:szCs w:val="24"/>
        </w:rPr>
        <w:t>3</w:t>
      </w:r>
      <w:r>
        <w:rPr>
          <w:rFonts w:ascii="Times New Roman" w:hAnsi="Times New Roman" w:cs="Times New Roman"/>
          <w:b/>
          <w:bCs/>
          <w:sz w:val="24"/>
          <w:szCs w:val="24"/>
        </w:rPr>
        <w:t xml:space="preserve">. Comparison between the simulation-based results from </w:t>
      </w:r>
      <w:r>
        <w:rPr>
          <w:rFonts w:ascii="Times New Roman" w:hAnsi="Times New Roman" w:cs="Times New Roman"/>
          <w:b/>
          <w:bCs/>
          <w:sz w:val="24"/>
          <w:szCs w:val="24"/>
        </w:rPr>
        <w:fldChar w:fldCharType="begin"/>
      </w:r>
      <w:r w:rsidR="00E85351">
        <w:rPr>
          <w:rFonts w:ascii="Times New Roman" w:hAnsi="Times New Roman" w:cs="Times New Roman"/>
          <w:b/>
          <w:bCs/>
          <w:sz w:val="24"/>
          <w:szCs w:val="24"/>
        </w:rPr>
        <w:instrText xml:space="preserve"> ADDIN ZOTERO_ITEM CSL_CITATION {"citationID":"lNTWaBdf","properties":{"formattedCitation":"(Meier, 2007)","plainCitation":"(Meier, 2007)","dontUpdate":true,"noteIndex":0},"citationItems":[{"id":260,"uris":["http://zotero.org/users/9232851/items/WFDB8DWW"],"itemData":{"id":260,"type":"article-journal","abstract":"A three-dimensional, eddy-permitting ocean circulation model with implemented bottom boundary layer model and ﬂux-corrected transport scheme is used to calculate the pathways and ages of various water masses in the Baltic Sea. The agreement between simulated and observed temperature and salinity proﬁles of the period 1980e2004 is satisfactory. Especially the renewal of the deep water in the Baltic proper by gravity-driven dense bottom ﬂows is better simulated than in previous versions of the model. Based upon these model results details of the mean circulation are analyzed. For instance, it is found that after the major Baltic inﬂow in January 2003 saline water passing the S1upsk Furrow ﬂows directly towards northeast along the eastern slope of the Hoburg Channel. However, after the baroclinic summer inﬂow in August/September 2002 the deep water ﬂow spreads along the southwestern slope of the Gdansk Basin. Further, the model results show that the patterns of mean vertical advective ﬂuxes across the halocline that close the large-scale vertical circulation are rather patchy. Mainly within distinct areas are particles of the saline inﬂow water advected vertically from the deep water into the surface layer. To analyze the time scales of the circulation mean ages of various water masses are calculated. It is found that at the sea surface of the Bornholm Basin, Gotland Basin, Bothnian Sea, and Bothnian Bay the mean ages associated to inﬂowing water from Kattegat amount to 26e30, 28e34, 34e38, and 38e42 years, respectively. Largest mean sea surface ages of more than 30 years associated to the freshwater of the rivers are found in the central Gotland Basin and Belt Sea. At the bottom the mean ages are largest in the western Gotland Basin and amount to more than 36 years. In the Baltic proper vertical gradients of ages associated to the freshwater inﬂow are smaller than in the case of inﬂowing saltwater from Kattegat indicating an efﬁcient recirculation of freshwater in the Baltic Sea.","container-title":"Estuarine, Coastal and Shelf Science","DOI":"10.1016/j.ecss.2007.05.019","ISSN":"02727714","issue":"4","journalAbbreviation":"Estuarine, Coastal and Shelf Science","language":"en","page":"610-627","source":"DOI.org (Crossref)","title":"Modeling the pathways and ages of inflowing salt- and freshwater in the Baltic Sea","volume":"74","author":[{"family":"Meier","given":"H. E. Markus"}],"issued":{"date-parts":[["2007",9]]}}}],"schema":"https://github.com/citation-style-language/schema/raw/master/csl-citation.json"} </w:instrText>
      </w:r>
      <w:r>
        <w:rPr>
          <w:rFonts w:ascii="Times New Roman" w:hAnsi="Times New Roman" w:cs="Times New Roman"/>
          <w:b/>
          <w:bCs/>
          <w:sz w:val="24"/>
          <w:szCs w:val="24"/>
        </w:rPr>
        <w:fldChar w:fldCharType="separate"/>
      </w:r>
      <w:r>
        <w:rPr>
          <w:rFonts w:ascii="Times New Roman" w:hAnsi="Times New Roman" w:cs="Times New Roman"/>
          <w:b/>
          <w:sz w:val="24"/>
        </w:rPr>
        <w:t>Meier (2007)</w:t>
      </w:r>
      <w:r>
        <w:rPr>
          <w:rFonts w:ascii="Times New Roman" w:hAnsi="Times New Roman" w:cs="Times New Roman"/>
          <w:b/>
          <w:bCs/>
          <w:sz w:val="24"/>
          <w:szCs w:val="24"/>
        </w:rPr>
        <w:fldChar w:fldCharType="end"/>
      </w:r>
      <w:r>
        <w:rPr>
          <w:rFonts w:ascii="Times New Roman" w:hAnsi="Times New Roman" w:cs="Times New Roman"/>
          <w:b/>
          <w:bCs/>
          <w:sz w:val="24"/>
          <w:szCs w:val="24"/>
        </w:rPr>
        <w:t xml:space="preserve"> and the observation-based estimations in this work for the ages of surface water in the Baltic Sea. </w:t>
      </w:r>
      <w:r>
        <w:rPr>
          <w:rFonts w:ascii="Times New Roman" w:hAnsi="Times New Roman" w:cs="Times New Roman"/>
          <w:bCs/>
          <w:sz w:val="24"/>
          <w:szCs w:val="24"/>
        </w:rPr>
        <w:t>The typical uncertainty of the estimated age of surface water is 20% in this work.</w:t>
      </w: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268"/>
        <w:gridCol w:w="2268"/>
      </w:tblGrid>
      <w:tr w:rsidR="00076170" w14:paraId="5F89F08E" w14:textId="77777777" w:rsidTr="00076170">
        <w:trPr>
          <w:trHeight w:val="454"/>
        </w:trPr>
        <w:tc>
          <w:tcPr>
            <w:tcW w:w="3402" w:type="dxa"/>
            <w:vMerge w:val="restart"/>
            <w:tcBorders>
              <w:top w:val="single" w:sz="12" w:space="0" w:color="auto"/>
              <w:left w:val="nil"/>
              <w:bottom w:val="single" w:sz="8" w:space="0" w:color="auto"/>
              <w:right w:val="nil"/>
            </w:tcBorders>
            <w:vAlign w:val="center"/>
            <w:hideMark/>
          </w:tcPr>
          <w:p w14:paraId="6DA1EEC0" w14:textId="77777777" w:rsidR="00076170" w:rsidRDefault="00076170" w:rsidP="00864DDD">
            <w:pPr>
              <w:adjustRightInd w:val="0"/>
              <w:snapToGrid w:val="0"/>
              <w:rPr>
                <w:rFonts w:ascii="Times New Roman" w:hAnsi="Times New Roman" w:cs="Times New Roman"/>
                <w:b/>
                <w:bCs/>
                <w:sz w:val="24"/>
                <w:szCs w:val="24"/>
              </w:rPr>
            </w:pPr>
            <w:r>
              <w:rPr>
                <w:rFonts w:ascii="Times New Roman" w:hAnsi="Times New Roman" w:cs="Times New Roman"/>
                <w:b/>
                <w:bCs/>
                <w:sz w:val="24"/>
                <w:szCs w:val="24"/>
              </w:rPr>
              <w:t>Sub-basins</w:t>
            </w:r>
          </w:p>
        </w:tc>
        <w:tc>
          <w:tcPr>
            <w:tcW w:w="4536" w:type="dxa"/>
            <w:gridSpan w:val="2"/>
            <w:tcBorders>
              <w:top w:val="single" w:sz="12" w:space="0" w:color="auto"/>
              <w:left w:val="nil"/>
              <w:bottom w:val="nil"/>
              <w:right w:val="nil"/>
            </w:tcBorders>
            <w:vAlign w:val="center"/>
            <w:hideMark/>
          </w:tcPr>
          <w:p w14:paraId="78513C79" w14:textId="77777777" w:rsidR="00076170" w:rsidRDefault="00076170" w:rsidP="00864DDD">
            <w:pPr>
              <w:adjustRightInd w:val="0"/>
              <w:snapToGrid w:val="0"/>
              <w:jc w:val="center"/>
              <w:rPr>
                <w:rFonts w:ascii="Times New Roman" w:hAnsi="Times New Roman" w:cs="Times New Roman"/>
                <w:b/>
                <w:bCs/>
                <w:sz w:val="24"/>
                <w:szCs w:val="24"/>
              </w:rPr>
            </w:pPr>
            <w:r>
              <w:rPr>
                <w:rFonts w:ascii="Times New Roman" w:hAnsi="Times New Roman" w:cs="Times New Roman"/>
                <w:b/>
                <w:bCs/>
                <w:sz w:val="24"/>
                <w:szCs w:val="24"/>
              </w:rPr>
              <w:t>Estimated ages for saline water [yr.]</w:t>
            </w:r>
          </w:p>
        </w:tc>
      </w:tr>
      <w:tr w:rsidR="00076170" w14:paraId="27C97942" w14:textId="77777777" w:rsidTr="00076170">
        <w:trPr>
          <w:trHeight w:val="454"/>
        </w:trPr>
        <w:tc>
          <w:tcPr>
            <w:tcW w:w="0" w:type="auto"/>
            <w:vMerge/>
            <w:tcBorders>
              <w:top w:val="single" w:sz="12" w:space="0" w:color="auto"/>
              <w:left w:val="nil"/>
              <w:bottom w:val="single" w:sz="8" w:space="0" w:color="auto"/>
              <w:right w:val="nil"/>
            </w:tcBorders>
            <w:vAlign w:val="center"/>
            <w:hideMark/>
          </w:tcPr>
          <w:p w14:paraId="49DE6881" w14:textId="77777777" w:rsidR="00076170" w:rsidRDefault="00076170" w:rsidP="00864DDD">
            <w:pPr>
              <w:adjustRightInd w:val="0"/>
              <w:snapToGrid w:val="0"/>
              <w:rPr>
                <w:rFonts w:ascii="Times New Roman" w:hAnsi="Times New Roman" w:cs="Times New Roman"/>
                <w:b/>
                <w:bCs/>
                <w:sz w:val="24"/>
                <w:szCs w:val="24"/>
              </w:rPr>
            </w:pPr>
          </w:p>
        </w:tc>
        <w:tc>
          <w:tcPr>
            <w:tcW w:w="2268" w:type="dxa"/>
            <w:tcBorders>
              <w:top w:val="nil"/>
              <w:left w:val="nil"/>
              <w:bottom w:val="single" w:sz="8" w:space="0" w:color="auto"/>
              <w:right w:val="nil"/>
            </w:tcBorders>
            <w:vAlign w:val="center"/>
            <w:hideMark/>
          </w:tcPr>
          <w:p w14:paraId="745BEC6F" w14:textId="77777777" w:rsidR="00076170" w:rsidRDefault="00076170" w:rsidP="00864DDD">
            <w:pPr>
              <w:adjustRightInd w:val="0"/>
              <w:snapToGrid w:val="0"/>
              <w:jc w:val="center"/>
              <w:rPr>
                <w:rFonts w:ascii="Times New Roman" w:hAnsi="Times New Roman" w:cs="Times New Roman"/>
                <w:b/>
                <w:bCs/>
                <w:sz w:val="24"/>
                <w:szCs w:val="24"/>
              </w:rPr>
            </w:pPr>
            <w:r>
              <w:rPr>
                <w:rFonts w:ascii="Times New Roman" w:hAnsi="Times New Roman" w:cs="Times New Roman"/>
                <w:b/>
                <w:bCs/>
                <w:sz w:val="24"/>
                <w:szCs w:val="24"/>
              </w:rPr>
              <w:fldChar w:fldCharType="begin"/>
            </w:r>
            <w:r w:rsidR="00E85351">
              <w:rPr>
                <w:rFonts w:ascii="Times New Roman" w:hAnsi="Times New Roman" w:cs="Times New Roman"/>
                <w:b/>
                <w:bCs/>
                <w:sz w:val="24"/>
                <w:szCs w:val="24"/>
              </w:rPr>
              <w:instrText xml:space="preserve"> ADDIN ZOTERO_ITEM CSL_CITATION {"citationID":"u8hIV8Lb","properties":{"formattedCitation":"(Meier, 2007)","plainCitation":"(Meier, 2007)","dontUpdate":true,"noteIndex":0},"citationItems":[{"id":260,"uris":["http://zotero.org/users/9232851/items/WFDB8DWW"],"itemData":{"id":260,"type":"article-journal","abstract":"A three-dimensional, eddy-permitting ocean circulation model with implemented bottom boundary layer model and ﬂux-corrected transport scheme is used to calculate the pathways and ages of various water masses in the Baltic Sea. The agreement between simulated and observed temperature and salinity proﬁles of the period 1980e2004 is satisfactory. Especially the renewal of the deep water in the Baltic proper by gravity-driven dense bottom ﬂows is better simulated than in previous versions of the model. Based upon these model results details of the mean circulation are analyzed. For instance, it is found that after the major Baltic inﬂow in January 2003 saline water passing the S1upsk Furrow ﬂows directly towards northeast along the eastern slope of the Hoburg Channel. However, after the baroclinic summer inﬂow in August/September 2002 the deep water ﬂow spreads along the southwestern slope of the Gdansk Basin. Further, the model results show that the patterns of mean vertical advective ﬂuxes across the halocline that close the large-scale vertical circulation are rather patchy. Mainly within distinct areas are particles of the saline inﬂow water advected vertically from the deep water into the surface layer. To analyze the time scales of the circulation mean ages of various water masses are calculated. It is found that at the sea surface of the Bornholm Basin, Gotland Basin, Bothnian Sea, and Bothnian Bay the mean ages associated to inﬂowing water from Kattegat amount to 26e30, 28e34, 34e38, and 38e42 years, respectively. Largest mean sea surface ages of more than 30 years associated to the freshwater of the rivers are found in the central Gotland Basin and Belt Sea. At the bottom the mean ages are largest in the western Gotland Basin and amount to more than 36 years. In the Baltic proper vertical gradients of ages associated to the freshwater inﬂow are smaller than in the case of inﬂowing saltwater from Kattegat indicating an efﬁcient recirculation of freshwater in the Baltic Sea.","container-title":"Estuarine, Coastal and Shelf Science","DOI":"10.1016/j.ecss.2007.05.019","ISSN":"02727714","issue":"4","journalAbbreviation":"Estuarine, Coastal and Shelf Science","language":"en","page":"610-627","source":"DOI.org (Crossref)","title":"Modeling the pathways and ages of inflowing salt- and freshwater in the Baltic Sea","volume":"74","author":[{"family":"Meier","given":"H. E. Markus"}],"issued":{"date-parts":[["2007",9]]}}}],"schema":"https://github.com/citation-style-language/schema/raw/master/csl-citation.json"} </w:instrText>
            </w:r>
            <w:r>
              <w:rPr>
                <w:rFonts w:ascii="Times New Roman" w:hAnsi="Times New Roman" w:cs="Times New Roman"/>
                <w:b/>
                <w:bCs/>
                <w:sz w:val="24"/>
                <w:szCs w:val="24"/>
              </w:rPr>
              <w:fldChar w:fldCharType="separate"/>
            </w:r>
            <w:r>
              <w:rPr>
                <w:rFonts w:ascii="Times New Roman" w:hAnsi="Times New Roman" w:cs="Times New Roman"/>
                <w:b/>
                <w:sz w:val="24"/>
              </w:rPr>
              <w:t>Meier (2007)</w:t>
            </w:r>
            <w:r>
              <w:rPr>
                <w:rFonts w:ascii="Times New Roman" w:hAnsi="Times New Roman" w:cs="Times New Roman"/>
                <w:b/>
                <w:bCs/>
                <w:sz w:val="24"/>
                <w:szCs w:val="24"/>
              </w:rPr>
              <w:fldChar w:fldCharType="end"/>
            </w:r>
          </w:p>
        </w:tc>
        <w:tc>
          <w:tcPr>
            <w:tcW w:w="2268" w:type="dxa"/>
            <w:tcBorders>
              <w:top w:val="nil"/>
              <w:left w:val="nil"/>
              <w:bottom w:val="single" w:sz="8" w:space="0" w:color="auto"/>
              <w:right w:val="nil"/>
            </w:tcBorders>
            <w:vAlign w:val="center"/>
            <w:hideMark/>
          </w:tcPr>
          <w:p w14:paraId="058A5AC9" w14:textId="77777777" w:rsidR="00076170" w:rsidRDefault="00076170" w:rsidP="00864DDD">
            <w:pPr>
              <w:adjustRightInd w:val="0"/>
              <w:snapToGrid w:val="0"/>
              <w:jc w:val="center"/>
              <w:rPr>
                <w:rFonts w:ascii="Times New Roman" w:hAnsi="Times New Roman" w:cs="Times New Roman"/>
                <w:b/>
                <w:bCs/>
                <w:sz w:val="24"/>
                <w:szCs w:val="24"/>
              </w:rPr>
            </w:pPr>
            <w:r>
              <w:rPr>
                <w:rFonts w:ascii="Times New Roman" w:hAnsi="Times New Roman" w:cs="Times New Roman"/>
                <w:b/>
                <w:bCs/>
                <w:sz w:val="24"/>
                <w:szCs w:val="24"/>
              </w:rPr>
              <w:t>This work</w:t>
            </w:r>
          </w:p>
        </w:tc>
      </w:tr>
      <w:tr w:rsidR="00076170" w14:paraId="054D41E8" w14:textId="77777777" w:rsidTr="00076170">
        <w:trPr>
          <w:trHeight w:val="454"/>
        </w:trPr>
        <w:tc>
          <w:tcPr>
            <w:tcW w:w="3402" w:type="dxa"/>
            <w:tcBorders>
              <w:top w:val="single" w:sz="8" w:space="0" w:color="auto"/>
              <w:left w:val="nil"/>
              <w:bottom w:val="nil"/>
              <w:right w:val="nil"/>
            </w:tcBorders>
            <w:vAlign w:val="center"/>
            <w:hideMark/>
          </w:tcPr>
          <w:p w14:paraId="773DA134" w14:textId="77777777" w:rsidR="00076170" w:rsidRDefault="00076170" w:rsidP="00864DDD">
            <w:pPr>
              <w:adjustRightInd w:val="0"/>
              <w:snapToGrid w:val="0"/>
              <w:rPr>
                <w:rFonts w:ascii="Times New Roman" w:hAnsi="Times New Roman" w:cs="Times New Roman"/>
                <w:bCs/>
                <w:sz w:val="24"/>
                <w:szCs w:val="24"/>
              </w:rPr>
            </w:pPr>
            <w:r>
              <w:rPr>
                <w:rFonts w:ascii="Times New Roman" w:hAnsi="Times New Roman" w:cs="Times New Roman"/>
                <w:bCs/>
                <w:sz w:val="24"/>
                <w:szCs w:val="24"/>
              </w:rPr>
              <w:t>Arkona and Bornholm Basins</w:t>
            </w:r>
          </w:p>
        </w:tc>
        <w:tc>
          <w:tcPr>
            <w:tcW w:w="2268" w:type="dxa"/>
            <w:tcBorders>
              <w:top w:val="single" w:sz="8" w:space="0" w:color="auto"/>
              <w:left w:val="nil"/>
              <w:bottom w:val="nil"/>
              <w:right w:val="nil"/>
            </w:tcBorders>
            <w:vAlign w:val="center"/>
            <w:hideMark/>
          </w:tcPr>
          <w:p w14:paraId="125E4BFE"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24-30</w:t>
            </w:r>
          </w:p>
        </w:tc>
        <w:tc>
          <w:tcPr>
            <w:tcW w:w="2268" w:type="dxa"/>
            <w:tcBorders>
              <w:top w:val="single" w:sz="8" w:space="0" w:color="auto"/>
              <w:left w:val="nil"/>
              <w:bottom w:val="nil"/>
              <w:right w:val="nil"/>
            </w:tcBorders>
            <w:vAlign w:val="center"/>
            <w:hideMark/>
          </w:tcPr>
          <w:p w14:paraId="46960BBE"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18-23 (n=7)</w:t>
            </w:r>
          </w:p>
        </w:tc>
      </w:tr>
      <w:tr w:rsidR="00076170" w14:paraId="6EB0DD86" w14:textId="77777777" w:rsidTr="00076170">
        <w:trPr>
          <w:trHeight w:val="454"/>
        </w:trPr>
        <w:tc>
          <w:tcPr>
            <w:tcW w:w="3402" w:type="dxa"/>
            <w:tcBorders>
              <w:top w:val="nil"/>
              <w:left w:val="nil"/>
              <w:bottom w:val="nil"/>
              <w:right w:val="nil"/>
            </w:tcBorders>
            <w:vAlign w:val="center"/>
            <w:hideMark/>
          </w:tcPr>
          <w:p w14:paraId="7FE61880" w14:textId="77777777" w:rsidR="00076170" w:rsidRDefault="00076170" w:rsidP="00864DDD">
            <w:pPr>
              <w:adjustRightInd w:val="0"/>
              <w:snapToGrid w:val="0"/>
              <w:rPr>
                <w:rFonts w:ascii="Times New Roman" w:hAnsi="Times New Roman" w:cs="Times New Roman"/>
                <w:bCs/>
                <w:sz w:val="24"/>
                <w:szCs w:val="24"/>
              </w:rPr>
            </w:pPr>
            <w:r>
              <w:rPr>
                <w:rFonts w:ascii="Times New Roman" w:hAnsi="Times New Roman" w:cs="Times New Roman"/>
                <w:bCs/>
                <w:sz w:val="24"/>
                <w:szCs w:val="24"/>
              </w:rPr>
              <w:t>East Gotland Basin</w:t>
            </w:r>
          </w:p>
        </w:tc>
        <w:tc>
          <w:tcPr>
            <w:tcW w:w="2268" w:type="dxa"/>
            <w:tcBorders>
              <w:top w:val="nil"/>
              <w:left w:val="nil"/>
              <w:bottom w:val="nil"/>
              <w:right w:val="nil"/>
            </w:tcBorders>
            <w:vAlign w:val="center"/>
            <w:hideMark/>
          </w:tcPr>
          <w:p w14:paraId="3946E1AF"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28-30</w:t>
            </w:r>
          </w:p>
        </w:tc>
        <w:tc>
          <w:tcPr>
            <w:tcW w:w="2268" w:type="dxa"/>
            <w:tcBorders>
              <w:top w:val="nil"/>
              <w:left w:val="nil"/>
              <w:bottom w:val="nil"/>
              <w:right w:val="nil"/>
            </w:tcBorders>
            <w:vAlign w:val="center"/>
            <w:hideMark/>
          </w:tcPr>
          <w:p w14:paraId="6F4CC1BA"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20-22 (n=5)</w:t>
            </w:r>
          </w:p>
        </w:tc>
      </w:tr>
      <w:tr w:rsidR="00076170" w14:paraId="69268FC5" w14:textId="77777777" w:rsidTr="00076170">
        <w:trPr>
          <w:trHeight w:val="454"/>
        </w:trPr>
        <w:tc>
          <w:tcPr>
            <w:tcW w:w="3402" w:type="dxa"/>
            <w:tcBorders>
              <w:top w:val="nil"/>
              <w:left w:val="nil"/>
              <w:bottom w:val="nil"/>
              <w:right w:val="nil"/>
            </w:tcBorders>
            <w:vAlign w:val="center"/>
            <w:hideMark/>
          </w:tcPr>
          <w:p w14:paraId="122F5FAF" w14:textId="77777777" w:rsidR="00076170" w:rsidRDefault="00076170" w:rsidP="00864DDD">
            <w:pPr>
              <w:adjustRightInd w:val="0"/>
              <w:snapToGrid w:val="0"/>
              <w:rPr>
                <w:rFonts w:ascii="Times New Roman" w:hAnsi="Times New Roman" w:cs="Times New Roman"/>
                <w:bCs/>
                <w:sz w:val="24"/>
                <w:szCs w:val="24"/>
              </w:rPr>
            </w:pPr>
            <w:r>
              <w:rPr>
                <w:rFonts w:ascii="Times New Roman" w:hAnsi="Times New Roman" w:cs="Times New Roman"/>
                <w:bCs/>
                <w:sz w:val="24"/>
                <w:szCs w:val="24"/>
              </w:rPr>
              <w:t>West Gotland Basin</w:t>
            </w:r>
          </w:p>
        </w:tc>
        <w:tc>
          <w:tcPr>
            <w:tcW w:w="2268" w:type="dxa"/>
            <w:tcBorders>
              <w:top w:val="nil"/>
              <w:left w:val="nil"/>
              <w:bottom w:val="nil"/>
              <w:right w:val="nil"/>
            </w:tcBorders>
            <w:vAlign w:val="center"/>
            <w:hideMark/>
          </w:tcPr>
          <w:p w14:paraId="3E7675BF"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30-32</w:t>
            </w:r>
          </w:p>
        </w:tc>
        <w:tc>
          <w:tcPr>
            <w:tcW w:w="2268" w:type="dxa"/>
            <w:tcBorders>
              <w:top w:val="nil"/>
              <w:left w:val="nil"/>
              <w:bottom w:val="nil"/>
              <w:right w:val="nil"/>
            </w:tcBorders>
            <w:vAlign w:val="center"/>
            <w:hideMark/>
          </w:tcPr>
          <w:p w14:paraId="618FEA90"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17-23 (n=4)</w:t>
            </w:r>
          </w:p>
        </w:tc>
      </w:tr>
      <w:tr w:rsidR="00076170" w14:paraId="1D589568" w14:textId="77777777" w:rsidTr="00076170">
        <w:trPr>
          <w:trHeight w:val="454"/>
        </w:trPr>
        <w:tc>
          <w:tcPr>
            <w:tcW w:w="3402" w:type="dxa"/>
            <w:tcBorders>
              <w:top w:val="nil"/>
              <w:left w:val="nil"/>
              <w:bottom w:val="nil"/>
              <w:right w:val="nil"/>
            </w:tcBorders>
            <w:vAlign w:val="center"/>
            <w:hideMark/>
          </w:tcPr>
          <w:p w14:paraId="07666345" w14:textId="77777777" w:rsidR="00076170" w:rsidRDefault="00076170" w:rsidP="00864DDD">
            <w:pPr>
              <w:adjustRightInd w:val="0"/>
              <w:snapToGrid w:val="0"/>
              <w:rPr>
                <w:rFonts w:ascii="Times New Roman" w:hAnsi="Times New Roman" w:cs="Times New Roman"/>
                <w:bCs/>
                <w:sz w:val="24"/>
                <w:szCs w:val="24"/>
              </w:rPr>
            </w:pPr>
            <w:r>
              <w:rPr>
                <w:rFonts w:ascii="Times New Roman" w:hAnsi="Times New Roman" w:cs="Times New Roman"/>
                <w:bCs/>
                <w:sz w:val="24"/>
                <w:szCs w:val="24"/>
              </w:rPr>
              <w:t>Gulf of Finland</w:t>
            </w:r>
          </w:p>
        </w:tc>
        <w:tc>
          <w:tcPr>
            <w:tcW w:w="2268" w:type="dxa"/>
            <w:tcBorders>
              <w:top w:val="nil"/>
              <w:left w:val="nil"/>
              <w:bottom w:val="nil"/>
              <w:right w:val="nil"/>
            </w:tcBorders>
            <w:vAlign w:val="center"/>
            <w:hideMark/>
          </w:tcPr>
          <w:p w14:paraId="7DFAF45A"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30-34</w:t>
            </w:r>
          </w:p>
        </w:tc>
        <w:tc>
          <w:tcPr>
            <w:tcW w:w="2268" w:type="dxa"/>
            <w:tcBorders>
              <w:top w:val="nil"/>
              <w:left w:val="nil"/>
              <w:bottom w:val="nil"/>
              <w:right w:val="nil"/>
            </w:tcBorders>
            <w:vAlign w:val="center"/>
            <w:hideMark/>
          </w:tcPr>
          <w:p w14:paraId="1F7D19EE"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22 (n=1)</w:t>
            </w:r>
          </w:p>
        </w:tc>
      </w:tr>
      <w:tr w:rsidR="00076170" w14:paraId="6ACBB25F" w14:textId="77777777" w:rsidTr="00076170">
        <w:trPr>
          <w:trHeight w:val="454"/>
        </w:trPr>
        <w:tc>
          <w:tcPr>
            <w:tcW w:w="3402" w:type="dxa"/>
            <w:tcBorders>
              <w:top w:val="nil"/>
              <w:left w:val="nil"/>
              <w:bottom w:val="nil"/>
              <w:right w:val="nil"/>
            </w:tcBorders>
            <w:vAlign w:val="center"/>
            <w:hideMark/>
          </w:tcPr>
          <w:p w14:paraId="6A68775E" w14:textId="77777777" w:rsidR="00076170" w:rsidRDefault="00076170" w:rsidP="00864DDD">
            <w:pPr>
              <w:adjustRightInd w:val="0"/>
              <w:snapToGrid w:val="0"/>
              <w:rPr>
                <w:rFonts w:ascii="Times New Roman" w:hAnsi="Times New Roman" w:cs="Times New Roman"/>
                <w:bCs/>
                <w:sz w:val="24"/>
                <w:szCs w:val="24"/>
              </w:rPr>
            </w:pPr>
            <w:r>
              <w:rPr>
                <w:rFonts w:ascii="Times New Roman" w:hAnsi="Times New Roman" w:cs="Times New Roman"/>
                <w:bCs/>
                <w:sz w:val="24"/>
                <w:szCs w:val="24"/>
              </w:rPr>
              <w:t>Bothnian Sea</w:t>
            </w:r>
          </w:p>
        </w:tc>
        <w:tc>
          <w:tcPr>
            <w:tcW w:w="2268" w:type="dxa"/>
            <w:tcBorders>
              <w:top w:val="nil"/>
              <w:left w:val="nil"/>
              <w:bottom w:val="nil"/>
              <w:right w:val="nil"/>
            </w:tcBorders>
            <w:vAlign w:val="center"/>
            <w:hideMark/>
          </w:tcPr>
          <w:p w14:paraId="44B84104"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34-38</w:t>
            </w:r>
          </w:p>
        </w:tc>
        <w:tc>
          <w:tcPr>
            <w:tcW w:w="2268" w:type="dxa"/>
            <w:tcBorders>
              <w:top w:val="nil"/>
              <w:left w:val="nil"/>
              <w:bottom w:val="nil"/>
              <w:right w:val="nil"/>
            </w:tcBorders>
            <w:vAlign w:val="center"/>
            <w:hideMark/>
          </w:tcPr>
          <w:p w14:paraId="6BA3178F"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23 (n=1)</w:t>
            </w:r>
          </w:p>
        </w:tc>
      </w:tr>
      <w:tr w:rsidR="00076170" w14:paraId="41953275" w14:textId="77777777" w:rsidTr="00076170">
        <w:trPr>
          <w:trHeight w:val="454"/>
        </w:trPr>
        <w:tc>
          <w:tcPr>
            <w:tcW w:w="3402" w:type="dxa"/>
            <w:tcBorders>
              <w:top w:val="nil"/>
              <w:left w:val="nil"/>
              <w:bottom w:val="single" w:sz="12" w:space="0" w:color="auto"/>
              <w:right w:val="nil"/>
            </w:tcBorders>
            <w:vAlign w:val="center"/>
            <w:hideMark/>
          </w:tcPr>
          <w:p w14:paraId="2386D63B" w14:textId="77777777" w:rsidR="00076170" w:rsidRDefault="00076170" w:rsidP="00864DDD">
            <w:pPr>
              <w:adjustRightInd w:val="0"/>
              <w:snapToGrid w:val="0"/>
              <w:rPr>
                <w:rFonts w:ascii="Times New Roman" w:hAnsi="Times New Roman" w:cs="Times New Roman"/>
                <w:bCs/>
                <w:sz w:val="24"/>
                <w:szCs w:val="24"/>
              </w:rPr>
            </w:pPr>
            <w:r>
              <w:rPr>
                <w:rFonts w:ascii="Times New Roman" w:hAnsi="Times New Roman" w:cs="Times New Roman"/>
                <w:bCs/>
                <w:sz w:val="24"/>
                <w:szCs w:val="24"/>
              </w:rPr>
              <w:t>Bothnian Bay</w:t>
            </w:r>
          </w:p>
        </w:tc>
        <w:tc>
          <w:tcPr>
            <w:tcW w:w="2268" w:type="dxa"/>
            <w:tcBorders>
              <w:top w:val="nil"/>
              <w:left w:val="nil"/>
              <w:bottom w:val="single" w:sz="12" w:space="0" w:color="auto"/>
              <w:right w:val="nil"/>
            </w:tcBorders>
            <w:vAlign w:val="center"/>
            <w:hideMark/>
          </w:tcPr>
          <w:p w14:paraId="06D568AF"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40-42</w:t>
            </w:r>
          </w:p>
        </w:tc>
        <w:tc>
          <w:tcPr>
            <w:tcW w:w="2268" w:type="dxa"/>
            <w:tcBorders>
              <w:top w:val="nil"/>
              <w:left w:val="nil"/>
              <w:bottom w:val="single" w:sz="12" w:space="0" w:color="auto"/>
              <w:right w:val="nil"/>
            </w:tcBorders>
            <w:vAlign w:val="center"/>
            <w:hideMark/>
          </w:tcPr>
          <w:p w14:paraId="441DAD7B" w14:textId="77777777" w:rsidR="00076170" w:rsidRDefault="00076170" w:rsidP="00864DDD">
            <w:pPr>
              <w:adjustRightInd w:val="0"/>
              <w:snapToGrid w:val="0"/>
              <w:jc w:val="center"/>
              <w:rPr>
                <w:rFonts w:ascii="Times New Roman" w:hAnsi="Times New Roman" w:cs="Times New Roman"/>
                <w:bCs/>
                <w:sz w:val="24"/>
                <w:szCs w:val="24"/>
              </w:rPr>
            </w:pPr>
            <w:r>
              <w:rPr>
                <w:rFonts w:ascii="Times New Roman" w:hAnsi="Times New Roman" w:cs="Times New Roman"/>
                <w:bCs/>
                <w:sz w:val="24"/>
                <w:szCs w:val="24"/>
              </w:rPr>
              <w:t>24 (n=1)</w:t>
            </w:r>
          </w:p>
        </w:tc>
      </w:tr>
    </w:tbl>
    <w:p w14:paraId="13BD8620" w14:textId="77777777" w:rsidR="004A0D65" w:rsidRDefault="004A0D65" w:rsidP="00864DDD">
      <w:pPr>
        <w:adjustRightInd w:val="0"/>
        <w:snapToGrid w:val="0"/>
        <w:spacing w:before="100" w:beforeAutospacing="1" w:after="100" w:afterAutospacing="1" w:line="480" w:lineRule="auto"/>
        <w:rPr>
          <w:b/>
          <w:bCs/>
          <w:sz w:val="28"/>
          <w:szCs w:val="28"/>
        </w:rPr>
      </w:pPr>
    </w:p>
    <w:p w14:paraId="68CF485F" w14:textId="77777777" w:rsidR="004A0D65" w:rsidRDefault="004A0D65" w:rsidP="00864DDD">
      <w:pPr>
        <w:adjustRightInd w:val="0"/>
        <w:snapToGrid w:val="0"/>
        <w:rPr>
          <w:b/>
          <w:bCs/>
          <w:sz w:val="28"/>
          <w:szCs w:val="28"/>
        </w:rPr>
      </w:pPr>
      <w:r>
        <w:rPr>
          <w:b/>
          <w:bCs/>
          <w:sz w:val="28"/>
          <w:szCs w:val="28"/>
        </w:rPr>
        <w:br w:type="page"/>
      </w:r>
    </w:p>
    <w:p w14:paraId="7318610A" w14:textId="77777777" w:rsidR="00076170" w:rsidRPr="004A0D65" w:rsidRDefault="004A0D65" w:rsidP="00864DDD">
      <w:pPr>
        <w:pStyle w:val="SMHeading"/>
        <w:adjustRightInd w:val="0"/>
        <w:snapToGrid w:val="0"/>
        <w:spacing w:before="100" w:beforeAutospacing="1" w:after="100" w:afterAutospacing="1"/>
        <w:rPr>
          <w:sz w:val="28"/>
          <w:szCs w:val="28"/>
        </w:rPr>
      </w:pPr>
      <w:r w:rsidRPr="004A0D65">
        <w:rPr>
          <w:sz w:val="28"/>
          <w:szCs w:val="28"/>
        </w:rPr>
        <w:lastRenderedPageBreak/>
        <w:t>References</w:t>
      </w:r>
    </w:p>
    <w:p w14:paraId="094FB87E"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b/>
          <w:bCs/>
          <w:sz w:val="24"/>
          <w:szCs w:val="24"/>
        </w:rPr>
        <w:fldChar w:fldCharType="begin"/>
      </w:r>
      <w:r w:rsidRPr="00864DDD">
        <w:rPr>
          <w:rFonts w:ascii="Times New Roman" w:hAnsi="Times New Roman" w:cs="Times New Roman"/>
          <w:b/>
          <w:bCs/>
          <w:sz w:val="24"/>
          <w:szCs w:val="24"/>
        </w:rPr>
        <w:instrText xml:space="preserve"> ADDIN ZOTERO_BIBL {"uncited":[],"omitted":[],"custom":[]} CSL_BIBLIOGRAPHY </w:instrText>
      </w:r>
      <w:r w:rsidRPr="00864DDD">
        <w:rPr>
          <w:rFonts w:ascii="Times New Roman" w:hAnsi="Times New Roman" w:cs="Times New Roman"/>
          <w:b/>
          <w:bCs/>
          <w:sz w:val="24"/>
          <w:szCs w:val="24"/>
        </w:rPr>
        <w:fldChar w:fldCharType="separate"/>
      </w:r>
      <w:r w:rsidRPr="00864DDD">
        <w:rPr>
          <w:rFonts w:ascii="Times New Roman" w:hAnsi="Times New Roman" w:cs="Times New Roman"/>
          <w:sz w:val="24"/>
          <w:szCs w:val="24"/>
        </w:rPr>
        <w:t>1.</w:t>
      </w:r>
      <w:r w:rsidRPr="00864DDD">
        <w:rPr>
          <w:rFonts w:ascii="Times New Roman" w:hAnsi="Times New Roman" w:cs="Times New Roman"/>
          <w:sz w:val="24"/>
          <w:szCs w:val="24"/>
        </w:rPr>
        <w:tab/>
        <w:t xml:space="preserve">Fabryka-Martin, J., Bentley, H., Elmore, D. &amp; Airey, P. Natural iodine-129 as an environmental tracer. </w:t>
      </w:r>
      <w:r w:rsidRPr="00864DDD">
        <w:rPr>
          <w:rFonts w:ascii="Times New Roman" w:hAnsi="Times New Roman" w:cs="Times New Roman"/>
          <w:i/>
          <w:iCs/>
          <w:sz w:val="24"/>
          <w:szCs w:val="24"/>
        </w:rPr>
        <w:t>Geochimica et Cosmochimica Acta</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49</w:t>
      </w:r>
      <w:r w:rsidRPr="00864DDD">
        <w:rPr>
          <w:rFonts w:ascii="Times New Roman" w:hAnsi="Times New Roman" w:cs="Times New Roman"/>
          <w:sz w:val="24"/>
          <w:szCs w:val="24"/>
        </w:rPr>
        <w:t>, 337–347 (1985).</w:t>
      </w:r>
    </w:p>
    <w:p w14:paraId="526576FD"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2.</w:t>
      </w:r>
      <w:r w:rsidRPr="00864DDD">
        <w:rPr>
          <w:rFonts w:ascii="Times New Roman" w:hAnsi="Times New Roman" w:cs="Times New Roman"/>
          <w:sz w:val="24"/>
          <w:szCs w:val="24"/>
        </w:rPr>
        <w:tab/>
        <w:t xml:space="preserve">Muller, R. A., Alvarez, L. W., Holley, W. R. &amp; Stephenson, E. J. Quarks with unit charge: a search for anomalous hydrogen. </w:t>
      </w:r>
      <w:r w:rsidRPr="00864DDD">
        <w:rPr>
          <w:rFonts w:ascii="Times New Roman" w:hAnsi="Times New Roman" w:cs="Times New Roman"/>
          <w:i/>
          <w:iCs/>
          <w:sz w:val="24"/>
          <w:szCs w:val="24"/>
        </w:rPr>
        <w:t>Science</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196</w:t>
      </w:r>
      <w:r w:rsidRPr="00864DDD">
        <w:rPr>
          <w:rFonts w:ascii="Times New Roman" w:hAnsi="Times New Roman" w:cs="Times New Roman"/>
          <w:sz w:val="24"/>
          <w:szCs w:val="24"/>
        </w:rPr>
        <w:t>, 521–523 (1977).</w:t>
      </w:r>
    </w:p>
    <w:p w14:paraId="1992B11D"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3.</w:t>
      </w:r>
      <w:r w:rsidRPr="00864DDD">
        <w:rPr>
          <w:rFonts w:ascii="Times New Roman" w:hAnsi="Times New Roman" w:cs="Times New Roman"/>
          <w:sz w:val="24"/>
          <w:szCs w:val="24"/>
        </w:rPr>
        <w:tab/>
        <w:t xml:space="preserve">Steier, P.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Natural and anthropogenic 236U in environmental samples. </w:t>
      </w:r>
      <w:r w:rsidRPr="00864DDD">
        <w:rPr>
          <w:rFonts w:ascii="Times New Roman" w:hAnsi="Times New Roman" w:cs="Times New Roman"/>
          <w:i/>
          <w:iCs/>
          <w:sz w:val="24"/>
          <w:szCs w:val="24"/>
        </w:rPr>
        <w:t>Nuclear Instruments and Methods in Physics Research Section B: Beam Interactions with Materials and Atoms</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266</w:t>
      </w:r>
      <w:r w:rsidRPr="00864DDD">
        <w:rPr>
          <w:rFonts w:ascii="Times New Roman" w:hAnsi="Times New Roman" w:cs="Times New Roman"/>
          <w:sz w:val="24"/>
          <w:szCs w:val="24"/>
        </w:rPr>
        <w:t>, 2246–2250 (2008).</w:t>
      </w:r>
    </w:p>
    <w:p w14:paraId="2BA159E9"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4.</w:t>
      </w:r>
      <w:r w:rsidRPr="00864DDD">
        <w:rPr>
          <w:rFonts w:ascii="Times New Roman" w:hAnsi="Times New Roman" w:cs="Times New Roman"/>
          <w:sz w:val="24"/>
          <w:szCs w:val="24"/>
        </w:rPr>
        <w:tab/>
        <w:t xml:space="preserve">Snyder, G., Aldahan, A. &amp; Possnert, G. Global distribution and long-term fate of anthropogenic 129I in marine and surface water reservoirs. </w:t>
      </w:r>
      <w:r w:rsidRPr="00864DDD">
        <w:rPr>
          <w:rFonts w:ascii="Times New Roman" w:hAnsi="Times New Roman" w:cs="Times New Roman"/>
          <w:i/>
          <w:iCs/>
          <w:sz w:val="24"/>
          <w:szCs w:val="24"/>
        </w:rPr>
        <w:t>Geochemistry, Geophysics, Geosystems</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11</w:t>
      </w:r>
      <w:r w:rsidRPr="00864DDD">
        <w:rPr>
          <w:rFonts w:ascii="Times New Roman" w:hAnsi="Times New Roman" w:cs="Times New Roman"/>
          <w:sz w:val="24"/>
          <w:szCs w:val="24"/>
        </w:rPr>
        <w:t>, (2010).</w:t>
      </w:r>
    </w:p>
    <w:p w14:paraId="68031835"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5.</w:t>
      </w:r>
      <w:r w:rsidRPr="00864DDD">
        <w:rPr>
          <w:rFonts w:ascii="Times New Roman" w:hAnsi="Times New Roman" w:cs="Times New Roman"/>
          <w:sz w:val="24"/>
          <w:szCs w:val="24"/>
        </w:rPr>
        <w:tab/>
        <w:t xml:space="preserve">Sakaguchi, A.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First results on 236U levels in global fallout. </w:t>
      </w:r>
      <w:r w:rsidRPr="00864DDD">
        <w:rPr>
          <w:rFonts w:ascii="Times New Roman" w:hAnsi="Times New Roman" w:cs="Times New Roman"/>
          <w:i/>
          <w:iCs/>
          <w:sz w:val="24"/>
          <w:szCs w:val="24"/>
        </w:rPr>
        <w:t>Science of The Total Environment</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407</w:t>
      </w:r>
      <w:r w:rsidRPr="00864DDD">
        <w:rPr>
          <w:rFonts w:ascii="Times New Roman" w:hAnsi="Times New Roman" w:cs="Times New Roman"/>
          <w:sz w:val="24"/>
          <w:szCs w:val="24"/>
        </w:rPr>
        <w:t>, 4238–4242 (2009).</w:t>
      </w:r>
    </w:p>
    <w:p w14:paraId="59C49DEA"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6.</w:t>
      </w:r>
      <w:r w:rsidRPr="00864DDD">
        <w:rPr>
          <w:rFonts w:ascii="Times New Roman" w:hAnsi="Times New Roman" w:cs="Times New Roman"/>
          <w:sz w:val="24"/>
          <w:szCs w:val="24"/>
        </w:rPr>
        <w:tab/>
        <w:t xml:space="preserve">Casacuberta, N.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A first transect of 236U in the North Atlantic Ocean. </w:t>
      </w:r>
      <w:r w:rsidRPr="00864DDD">
        <w:rPr>
          <w:rFonts w:ascii="Times New Roman" w:hAnsi="Times New Roman" w:cs="Times New Roman"/>
          <w:i/>
          <w:iCs/>
          <w:sz w:val="24"/>
          <w:szCs w:val="24"/>
        </w:rPr>
        <w:t>Geochimica et Cosmochimica Acta</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133</w:t>
      </w:r>
      <w:r w:rsidRPr="00864DDD">
        <w:rPr>
          <w:rFonts w:ascii="Times New Roman" w:hAnsi="Times New Roman" w:cs="Times New Roman"/>
          <w:sz w:val="24"/>
          <w:szCs w:val="24"/>
        </w:rPr>
        <w:t>, 34–46 (2014).</w:t>
      </w:r>
    </w:p>
    <w:p w14:paraId="66EB1317"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7.</w:t>
      </w:r>
      <w:r w:rsidRPr="00864DDD">
        <w:rPr>
          <w:rFonts w:ascii="Times New Roman" w:hAnsi="Times New Roman" w:cs="Times New Roman"/>
          <w:sz w:val="24"/>
          <w:szCs w:val="24"/>
        </w:rPr>
        <w:tab/>
        <w:t xml:space="preserve">Christl, M.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A depth profile of uranium-236 in the Atlantic Ocean. </w:t>
      </w:r>
      <w:r w:rsidRPr="00864DDD">
        <w:rPr>
          <w:rFonts w:ascii="Times New Roman" w:hAnsi="Times New Roman" w:cs="Times New Roman"/>
          <w:i/>
          <w:iCs/>
          <w:sz w:val="24"/>
          <w:szCs w:val="24"/>
        </w:rPr>
        <w:t>Geochimica et Cosmochimica Acta</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77</w:t>
      </w:r>
      <w:r w:rsidRPr="00864DDD">
        <w:rPr>
          <w:rFonts w:ascii="Times New Roman" w:hAnsi="Times New Roman" w:cs="Times New Roman"/>
          <w:sz w:val="24"/>
          <w:szCs w:val="24"/>
        </w:rPr>
        <w:t>, 98–107 (2012).</w:t>
      </w:r>
    </w:p>
    <w:p w14:paraId="63484793"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8.</w:t>
      </w:r>
      <w:r w:rsidRPr="00864DDD">
        <w:rPr>
          <w:rFonts w:ascii="Times New Roman" w:hAnsi="Times New Roman" w:cs="Times New Roman"/>
          <w:sz w:val="24"/>
          <w:szCs w:val="24"/>
        </w:rPr>
        <w:tab/>
        <w:t xml:space="preserve">Winkler, S. R., Steier, P. &amp; Carilli, J. Bomb fall-out 236U as a global oceanic tracer using an annually resolved coral core. </w:t>
      </w:r>
      <w:r w:rsidRPr="00864DDD">
        <w:rPr>
          <w:rFonts w:ascii="Times New Roman" w:hAnsi="Times New Roman" w:cs="Times New Roman"/>
          <w:i/>
          <w:iCs/>
          <w:sz w:val="24"/>
          <w:szCs w:val="24"/>
        </w:rPr>
        <w:t>Earth and Planetary Science Letters</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359–360</w:t>
      </w:r>
      <w:r w:rsidRPr="00864DDD">
        <w:rPr>
          <w:rFonts w:ascii="Times New Roman" w:hAnsi="Times New Roman" w:cs="Times New Roman"/>
          <w:sz w:val="24"/>
          <w:szCs w:val="24"/>
        </w:rPr>
        <w:t>, 124–130 (2012).</w:t>
      </w:r>
    </w:p>
    <w:p w14:paraId="66EEB3A8"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9.</w:t>
      </w:r>
      <w:r w:rsidRPr="00864DDD">
        <w:rPr>
          <w:rFonts w:ascii="Times New Roman" w:hAnsi="Times New Roman" w:cs="Times New Roman"/>
          <w:sz w:val="24"/>
          <w:szCs w:val="24"/>
        </w:rPr>
        <w:tab/>
        <w:t xml:space="preserve">Lin, M.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70-Year Anthropogenic Uranium Imprints of Nuclear Activities in Baltic Sea Sediments. </w:t>
      </w:r>
      <w:r w:rsidRPr="00864DDD">
        <w:rPr>
          <w:rFonts w:ascii="Times New Roman" w:hAnsi="Times New Roman" w:cs="Times New Roman"/>
          <w:i/>
          <w:iCs/>
          <w:sz w:val="24"/>
          <w:szCs w:val="24"/>
        </w:rPr>
        <w:t>Environ. Sci. Technol.</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55</w:t>
      </w:r>
      <w:r w:rsidRPr="00864DDD">
        <w:rPr>
          <w:rFonts w:ascii="Times New Roman" w:hAnsi="Times New Roman" w:cs="Times New Roman"/>
          <w:sz w:val="24"/>
          <w:szCs w:val="24"/>
        </w:rPr>
        <w:t>, 8918–8927 (2021).</w:t>
      </w:r>
    </w:p>
    <w:p w14:paraId="6E6F2B64"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10.</w:t>
      </w:r>
      <w:r w:rsidRPr="00864DDD">
        <w:rPr>
          <w:rFonts w:ascii="Times New Roman" w:hAnsi="Times New Roman" w:cs="Times New Roman"/>
          <w:sz w:val="24"/>
          <w:szCs w:val="24"/>
        </w:rPr>
        <w:tab/>
        <w:t>HELCOM. HELCOM MORS Discharge database. https://helcom.fi/%20baltic-sea-trends/data-maps/databases/ (2020).</w:t>
      </w:r>
    </w:p>
    <w:p w14:paraId="39E082BB"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11.</w:t>
      </w:r>
      <w:r w:rsidRPr="00864DDD">
        <w:rPr>
          <w:rFonts w:ascii="Times New Roman" w:hAnsi="Times New Roman" w:cs="Times New Roman"/>
          <w:sz w:val="24"/>
          <w:szCs w:val="24"/>
        </w:rPr>
        <w:tab/>
        <w:t>OSPAR. OSPAR Liquid Discharges from Nuclear Installations. https://odims.ospar.org/en/search/?dataset=discharges_nuclear (2021).</w:t>
      </w:r>
    </w:p>
    <w:p w14:paraId="75040CE2"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12.</w:t>
      </w:r>
      <w:r w:rsidRPr="00864DDD">
        <w:rPr>
          <w:rFonts w:ascii="Times New Roman" w:hAnsi="Times New Roman" w:cs="Times New Roman"/>
          <w:sz w:val="24"/>
          <w:szCs w:val="24"/>
        </w:rPr>
        <w:tab/>
        <w:t xml:space="preserve">Hou, X.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A review on speciation of iodine-129 in the environmental and biological samples. </w:t>
      </w:r>
      <w:r w:rsidRPr="00864DDD">
        <w:rPr>
          <w:rFonts w:ascii="Times New Roman" w:hAnsi="Times New Roman" w:cs="Times New Roman"/>
          <w:i/>
          <w:iCs/>
          <w:sz w:val="24"/>
          <w:szCs w:val="24"/>
        </w:rPr>
        <w:t>Analytica Chimica Acta</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632</w:t>
      </w:r>
      <w:r w:rsidRPr="00864DDD">
        <w:rPr>
          <w:rFonts w:ascii="Times New Roman" w:hAnsi="Times New Roman" w:cs="Times New Roman"/>
          <w:sz w:val="24"/>
          <w:szCs w:val="24"/>
        </w:rPr>
        <w:t>, 181–196 (2009).</w:t>
      </w:r>
    </w:p>
    <w:p w14:paraId="376F28D9"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13.</w:t>
      </w:r>
      <w:r w:rsidRPr="00864DDD">
        <w:rPr>
          <w:rFonts w:ascii="Times New Roman" w:hAnsi="Times New Roman" w:cs="Times New Roman"/>
          <w:sz w:val="24"/>
          <w:szCs w:val="24"/>
        </w:rPr>
        <w:tab/>
        <w:t xml:space="preserve">Castrillejo, M.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Unravelling 5 decades of anthropogenic 236U discharge from nuclear reprocessing plants. </w:t>
      </w:r>
      <w:r w:rsidRPr="00864DDD">
        <w:rPr>
          <w:rFonts w:ascii="Times New Roman" w:hAnsi="Times New Roman" w:cs="Times New Roman"/>
          <w:i/>
          <w:iCs/>
          <w:sz w:val="24"/>
          <w:szCs w:val="24"/>
        </w:rPr>
        <w:t>Science of The Total Environment</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717</w:t>
      </w:r>
      <w:r w:rsidRPr="00864DDD">
        <w:rPr>
          <w:rFonts w:ascii="Times New Roman" w:hAnsi="Times New Roman" w:cs="Times New Roman"/>
          <w:sz w:val="24"/>
          <w:szCs w:val="24"/>
        </w:rPr>
        <w:t>, 137094 (2020).</w:t>
      </w:r>
    </w:p>
    <w:p w14:paraId="3E7ED24A"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14.</w:t>
      </w:r>
      <w:r w:rsidRPr="00864DDD">
        <w:rPr>
          <w:rFonts w:ascii="Times New Roman" w:hAnsi="Times New Roman" w:cs="Times New Roman"/>
          <w:sz w:val="24"/>
          <w:szCs w:val="24"/>
        </w:rPr>
        <w:tab/>
        <w:t>HELCOM. HELCOM MORS Discharge database. https://helcom.fi/%20baltic-sea-trends/data-maps/databases/ (2020).</w:t>
      </w:r>
    </w:p>
    <w:p w14:paraId="22564956"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15.</w:t>
      </w:r>
      <w:r w:rsidRPr="00864DDD">
        <w:rPr>
          <w:rFonts w:ascii="Times New Roman" w:hAnsi="Times New Roman" w:cs="Times New Roman"/>
          <w:sz w:val="24"/>
          <w:szCs w:val="24"/>
        </w:rPr>
        <w:tab/>
        <w:t xml:space="preserve">Raisbeck, G. M. &amp; Yiou, F. 129I in the oceans: origins and applications. </w:t>
      </w:r>
      <w:r w:rsidRPr="00864DDD">
        <w:rPr>
          <w:rFonts w:ascii="Times New Roman" w:hAnsi="Times New Roman" w:cs="Times New Roman"/>
          <w:i/>
          <w:iCs/>
          <w:sz w:val="24"/>
          <w:szCs w:val="24"/>
        </w:rPr>
        <w:t>Science of The Total Environment</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237–238</w:t>
      </w:r>
      <w:r w:rsidRPr="00864DDD">
        <w:rPr>
          <w:rFonts w:ascii="Times New Roman" w:hAnsi="Times New Roman" w:cs="Times New Roman"/>
          <w:sz w:val="24"/>
          <w:szCs w:val="24"/>
        </w:rPr>
        <w:t>, 31–41 (1999).</w:t>
      </w:r>
    </w:p>
    <w:p w14:paraId="634823A9"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16.</w:t>
      </w:r>
      <w:r w:rsidRPr="00864DDD">
        <w:rPr>
          <w:rFonts w:ascii="Times New Roman" w:hAnsi="Times New Roman" w:cs="Times New Roman"/>
          <w:sz w:val="24"/>
          <w:szCs w:val="24"/>
        </w:rPr>
        <w:tab/>
        <w:t xml:space="preserve">Castrillejo, M.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Anthropogenic 236U and 129I in the Mediterranean Sea: First comprehensive distribution and constrain of their sources. </w:t>
      </w:r>
      <w:r w:rsidRPr="00864DDD">
        <w:rPr>
          <w:rFonts w:ascii="Times New Roman" w:hAnsi="Times New Roman" w:cs="Times New Roman"/>
          <w:i/>
          <w:iCs/>
          <w:sz w:val="24"/>
          <w:szCs w:val="24"/>
        </w:rPr>
        <w:t>Science of The Total Environment</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593–594</w:t>
      </w:r>
      <w:r w:rsidRPr="00864DDD">
        <w:rPr>
          <w:rFonts w:ascii="Times New Roman" w:hAnsi="Times New Roman" w:cs="Times New Roman"/>
          <w:sz w:val="24"/>
          <w:szCs w:val="24"/>
        </w:rPr>
        <w:t>, 745–759 (2017).</w:t>
      </w:r>
    </w:p>
    <w:p w14:paraId="618CE5CE"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17.</w:t>
      </w:r>
      <w:r w:rsidRPr="00864DDD">
        <w:rPr>
          <w:rFonts w:ascii="Times New Roman" w:hAnsi="Times New Roman" w:cs="Times New Roman"/>
          <w:sz w:val="24"/>
          <w:szCs w:val="24"/>
        </w:rPr>
        <w:tab/>
        <w:t xml:space="preserve">Aldahan, A., Alfimov, V. &amp; Possnert, G. 129I anthropogenic budget: Major sources and sinks. </w:t>
      </w:r>
      <w:r w:rsidRPr="00864DDD">
        <w:rPr>
          <w:rFonts w:ascii="Times New Roman" w:hAnsi="Times New Roman" w:cs="Times New Roman"/>
          <w:i/>
          <w:iCs/>
          <w:sz w:val="24"/>
          <w:szCs w:val="24"/>
        </w:rPr>
        <w:t>Applied Geochemistry</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22</w:t>
      </w:r>
      <w:r w:rsidRPr="00864DDD">
        <w:rPr>
          <w:rFonts w:ascii="Times New Roman" w:hAnsi="Times New Roman" w:cs="Times New Roman"/>
          <w:sz w:val="24"/>
          <w:szCs w:val="24"/>
        </w:rPr>
        <w:t>, 606–618 (2007).</w:t>
      </w:r>
    </w:p>
    <w:p w14:paraId="755900C0"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18.</w:t>
      </w:r>
      <w:r w:rsidRPr="00864DDD">
        <w:rPr>
          <w:rFonts w:ascii="Times New Roman" w:hAnsi="Times New Roman" w:cs="Times New Roman"/>
          <w:sz w:val="24"/>
          <w:szCs w:val="24"/>
        </w:rPr>
        <w:tab/>
        <w:t xml:space="preserve">Paul, M.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Measurement of 129I concentrations in the environment after the Chernobyl reactor accident. </w:t>
      </w:r>
      <w:r w:rsidRPr="00864DDD">
        <w:rPr>
          <w:rFonts w:ascii="Times New Roman" w:hAnsi="Times New Roman" w:cs="Times New Roman"/>
          <w:i/>
          <w:iCs/>
          <w:sz w:val="24"/>
          <w:szCs w:val="24"/>
        </w:rPr>
        <w:t>Nuclear Instruments and Methods in Physics Research Section B: Beam Interactions with Materials and Atoms</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29</w:t>
      </w:r>
      <w:r w:rsidRPr="00864DDD">
        <w:rPr>
          <w:rFonts w:ascii="Times New Roman" w:hAnsi="Times New Roman" w:cs="Times New Roman"/>
          <w:sz w:val="24"/>
          <w:szCs w:val="24"/>
        </w:rPr>
        <w:t>, 341–345 (1987).</w:t>
      </w:r>
    </w:p>
    <w:p w14:paraId="727EBBAF"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19.</w:t>
      </w:r>
      <w:r w:rsidRPr="00864DDD">
        <w:rPr>
          <w:rFonts w:ascii="Times New Roman" w:hAnsi="Times New Roman" w:cs="Times New Roman"/>
          <w:sz w:val="24"/>
          <w:szCs w:val="24"/>
        </w:rPr>
        <w:tab/>
      </w:r>
      <w:r w:rsidRPr="00864DDD">
        <w:rPr>
          <w:rFonts w:ascii="Times New Roman" w:hAnsi="Times New Roman" w:cs="Times New Roman"/>
          <w:i/>
          <w:iCs/>
          <w:sz w:val="24"/>
          <w:szCs w:val="24"/>
        </w:rPr>
        <w:t>Sources and effects of ionizing radiation: United Nations Scientific Committee on the Effects of Atomic Radiation: UNSCEAR 2000 report to the General Assembly, with scientific annexes</w:t>
      </w:r>
      <w:r w:rsidRPr="00864DDD">
        <w:rPr>
          <w:rFonts w:ascii="Times New Roman" w:hAnsi="Times New Roman" w:cs="Times New Roman"/>
          <w:sz w:val="24"/>
          <w:szCs w:val="24"/>
        </w:rPr>
        <w:t>. (United Nations, 2000).</w:t>
      </w:r>
    </w:p>
    <w:p w14:paraId="02F3252F"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20.</w:t>
      </w:r>
      <w:r w:rsidRPr="00864DDD">
        <w:rPr>
          <w:rFonts w:ascii="Times New Roman" w:hAnsi="Times New Roman" w:cs="Times New Roman"/>
          <w:sz w:val="24"/>
          <w:szCs w:val="24"/>
        </w:rPr>
        <w:tab/>
        <w:t xml:space="preserve">Salbu, B.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Challenges associated with the behaviour of radioactive particles in the environment. </w:t>
      </w:r>
      <w:r w:rsidRPr="00864DDD">
        <w:rPr>
          <w:rFonts w:ascii="Times New Roman" w:hAnsi="Times New Roman" w:cs="Times New Roman"/>
          <w:i/>
          <w:iCs/>
          <w:sz w:val="24"/>
          <w:szCs w:val="24"/>
        </w:rPr>
        <w:t>Journal of Environmental Radioactivity</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186</w:t>
      </w:r>
      <w:r w:rsidRPr="00864DDD">
        <w:rPr>
          <w:rFonts w:ascii="Times New Roman" w:hAnsi="Times New Roman" w:cs="Times New Roman"/>
          <w:sz w:val="24"/>
          <w:szCs w:val="24"/>
        </w:rPr>
        <w:t>, 101–115 (2018).</w:t>
      </w:r>
    </w:p>
    <w:p w14:paraId="44E6323F"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21.</w:t>
      </w:r>
      <w:r w:rsidRPr="00864DDD">
        <w:rPr>
          <w:rFonts w:ascii="Times New Roman" w:hAnsi="Times New Roman" w:cs="Times New Roman"/>
          <w:sz w:val="24"/>
          <w:szCs w:val="24"/>
        </w:rPr>
        <w:tab/>
        <w:t xml:space="preserve">Hou, X. </w:t>
      </w:r>
      <w:r w:rsidRPr="00864DDD">
        <w:rPr>
          <w:rFonts w:ascii="Times New Roman" w:hAnsi="Times New Roman" w:cs="Times New Roman"/>
          <w:i/>
          <w:iCs/>
          <w:sz w:val="24"/>
          <w:szCs w:val="24"/>
        </w:rPr>
        <w:t>et al.</w:t>
      </w:r>
      <w:r w:rsidRPr="00864DDD">
        <w:rPr>
          <w:rFonts w:ascii="Times New Roman" w:hAnsi="Times New Roman" w:cs="Times New Roman"/>
          <w:sz w:val="24"/>
          <w:szCs w:val="24"/>
        </w:rPr>
        <w:t xml:space="preserve"> Iodine-129 in Seawater Offshore Fukushima: Distribution, Inorganic Speciation, Sources, and Budget. </w:t>
      </w:r>
      <w:r w:rsidRPr="00864DDD">
        <w:rPr>
          <w:rFonts w:ascii="Times New Roman" w:hAnsi="Times New Roman" w:cs="Times New Roman"/>
          <w:i/>
          <w:iCs/>
          <w:sz w:val="24"/>
          <w:szCs w:val="24"/>
        </w:rPr>
        <w:t>Environ. Sci. Technol.</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47</w:t>
      </w:r>
      <w:r w:rsidRPr="00864DDD">
        <w:rPr>
          <w:rFonts w:ascii="Times New Roman" w:hAnsi="Times New Roman" w:cs="Times New Roman"/>
          <w:sz w:val="24"/>
          <w:szCs w:val="24"/>
        </w:rPr>
        <w:t>, 3091–3098 (2013).</w:t>
      </w:r>
    </w:p>
    <w:p w14:paraId="4E22813E"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lastRenderedPageBreak/>
        <w:t>22.</w:t>
      </w:r>
      <w:r w:rsidRPr="00864DDD">
        <w:rPr>
          <w:rFonts w:ascii="Times New Roman" w:hAnsi="Times New Roman" w:cs="Times New Roman"/>
          <w:sz w:val="24"/>
          <w:szCs w:val="24"/>
        </w:rPr>
        <w:tab/>
        <w:t xml:space="preserve">Sakaguchi, A., Steier, P., Takahashi, Y. &amp; Yamamoto, M. Isotopic Compositions of 236U and Pu Isotopes in “Black Substances” Collected from Roadsides in Fukushima Prefecture: Fallout from the Fukushima Dai-ichi Nuclear Power Plant Accident. </w:t>
      </w:r>
      <w:r w:rsidRPr="00864DDD">
        <w:rPr>
          <w:rFonts w:ascii="Times New Roman" w:hAnsi="Times New Roman" w:cs="Times New Roman"/>
          <w:i/>
          <w:iCs/>
          <w:sz w:val="24"/>
          <w:szCs w:val="24"/>
        </w:rPr>
        <w:t>Environ. Sci. Technol.</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48</w:t>
      </w:r>
      <w:r w:rsidRPr="00864DDD">
        <w:rPr>
          <w:rFonts w:ascii="Times New Roman" w:hAnsi="Times New Roman" w:cs="Times New Roman"/>
          <w:sz w:val="24"/>
          <w:szCs w:val="24"/>
        </w:rPr>
        <w:t>, 3691–3697 (2014).</w:t>
      </w:r>
    </w:p>
    <w:p w14:paraId="1CC4F6A6" w14:textId="77777777" w:rsidR="00864DDD" w:rsidRPr="00864DDD" w:rsidRDefault="00864DDD" w:rsidP="00864DDD">
      <w:pPr>
        <w:pStyle w:val="Bibliography"/>
        <w:adjustRightInd w:val="0"/>
        <w:snapToGrid w:val="0"/>
        <w:spacing w:line="240" w:lineRule="auto"/>
        <w:rPr>
          <w:rFonts w:ascii="Times New Roman" w:hAnsi="Times New Roman" w:cs="Times New Roman"/>
          <w:sz w:val="24"/>
          <w:szCs w:val="24"/>
        </w:rPr>
      </w:pPr>
      <w:r w:rsidRPr="00864DDD">
        <w:rPr>
          <w:rFonts w:ascii="Times New Roman" w:hAnsi="Times New Roman" w:cs="Times New Roman"/>
          <w:sz w:val="24"/>
          <w:szCs w:val="24"/>
        </w:rPr>
        <w:t>23.</w:t>
      </w:r>
      <w:r w:rsidRPr="00864DDD">
        <w:rPr>
          <w:rFonts w:ascii="Times New Roman" w:hAnsi="Times New Roman" w:cs="Times New Roman"/>
          <w:sz w:val="24"/>
          <w:szCs w:val="24"/>
        </w:rPr>
        <w:tab/>
        <w:t xml:space="preserve">Meier, H. E. M. Modeling the pathways and ages of inflowing salt- and freshwater in the Baltic Sea. </w:t>
      </w:r>
      <w:r w:rsidRPr="00864DDD">
        <w:rPr>
          <w:rFonts w:ascii="Times New Roman" w:hAnsi="Times New Roman" w:cs="Times New Roman"/>
          <w:i/>
          <w:iCs/>
          <w:sz w:val="24"/>
          <w:szCs w:val="24"/>
        </w:rPr>
        <w:t>Estuarine, Coastal and Shelf Science</w:t>
      </w:r>
      <w:r w:rsidRPr="00864DDD">
        <w:rPr>
          <w:rFonts w:ascii="Times New Roman" w:hAnsi="Times New Roman" w:cs="Times New Roman"/>
          <w:sz w:val="24"/>
          <w:szCs w:val="24"/>
        </w:rPr>
        <w:t xml:space="preserve"> </w:t>
      </w:r>
      <w:r w:rsidRPr="00864DDD">
        <w:rPr>
          <w:rFonts w:ascii="Times New Roman" w:hAnsi="Times New Roman" w:cs="Times New Roman"/>
          <w:b/>
          <w:bCs/>
          <w:sz w:val="24"/>
          <w:szCs w:val="24"/>
        </w:rPr>
        <w:t>74</w:t>
      </w:r>
      <w:r w:rsidRPr="00864DDD">
        <w:rPr>
          <w:rFonts w:ascii="Times New Roman" w:hAnsi="Times New Roman" w:cs="Times New Roman"/>
          <w:sz w:val="24"/>
          <w:szCs w:val="24"/>
        </w:rPr>
        <w:t>, 610–627 (2007).</w:t>
      </w:r>
    </w:p>
    <w:p w14:paraId="4B3710F3" w14:textId="77777777" w:rsidR="004A0D65" w:rsidRDefault="00864DDD" w:rsidP="00864DDD">
      <w:pPr>
        <w:adjustRightInd w:val="0"/>
        <w:snapToGrid w:val="0"/>
        <w:spacing w:after="0" w:line="240" w:lineRule="auto"/>
        <w:rPr>
          <w:b/>
          <w:bCs/>
          <w:sz w:val="28"/>
          <w:szCs w:val="28"/>
        </w:rPr>
      </w:pPr>
      <w:r w:rsidRPr="00864DDD">
        <w:rPr>
          <w:rFonts w:ascii="Times New Roman" w:hAnsi="Times New Roman" w:cs="Times New Roman"/>
          <w:b/>
          <w:bCs/>
          <w:sz w:val="24"/>
          <w:szCs w:val="24"/>
        </w:rPr>
        <w:fldChar w:fldCharType="end"/>
      </w:r>
    </w:p>
    <w:p w14:paraId="1A922188" w14:textId="77777777" w:rsidR="00FD0690" w:rsidRDefault="00FD0690" w:rsidP="00864DDD">
      <w:pPr>
        <w:adjustRightInd w:val="0"/>
        <w:snapToGrid w:val="0"/>
      </w:pPr>
    </w:p>
    <w:sectPr w:rsidR="00FD069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7669E" w14:textId="77777777" w:rsidR="00DB2437" w:rsidRDefault="00DB2437" w:rsidP="00F155B3">
      <w:pPr>
        <w:spacing w:after="0" w:line="240" w:lineRule="auto"/>
      </w:pPr>
      <w:r>
        <w:separator/>
      </w:r>
    </w:p>
  </w:endnote>
  <w:endnote w:type="continuationSeparator" w:id="0">
    <w:p w14:paraId="6A138BF7" w14:textId="77777777" w:rsidR="00DB2437" w:rsidRDefault="00DB2437" w:rsidP="00F15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yriad Pro Light">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no Pro">
    <w:altName w:val="Times New Roman"/>
    <w:panose1 w:val="020205020405060204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08D11" w14:textId="77777777" w:rsidR="00F155B3" w:rsidRDefault="00F155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743525"/>
      <w:docPartObj>
        <w:docPartGallery w:val="Page Numbers (Bottom of Page)"/>
        <w:docPartUnique/>
      </w:docPartObj>
    </w:sdtPr>
    <w:sdtEndPr/>
    <w:sdtContent>
      <w:sdt>
        <w:sdtPr>
          <w:id w:val="1728636285"/>
          <w:docPartObj>
            <w:docPartGallery w:val="Page Numbers (Top of Page)"/>
            <w:docPartUnique/>
          </w:docPartObj>
        </w:sdtPr>
        <w:sdtEndPr/>
        <w:sdtContent>
          <w:p w14:paraId="7EF88A42" w14:textId="129B66E9" w:rsidR="00F155B3" w:rsidRDefault="00F155B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50DEF">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50DEF">
              <w:rPr>
                <w:b/>
                <w:bCs/>
                <w:noProof/>
              </w:rPr>
              <w:t>9</w:t>
            </w:r>
            <w:r>
              <w:rPr>
                <w:b/>
                <w:bCs/>
                <w:sz w:val="24"/>
                <w:szCs w:val="24"/>
              </w:rPr>
              <w:fldChar w:fldCharType="end"/>
            </w:r>
          </w:p>
        </w:sdtContent>
      </w:sdt>
    </w:sdtContent>
  </w:sdt>
  <w:p w14:paraId="1FDD03DC" w14:textId="77777777" w:rsidR="00F155B3" w:rsidRDefault="00F15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E878D" w14:textId="77777777" w:rsidR="00F155B3" w:rsidRDefault="00F155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22D24" w14:textId="77777777" w:rsidR="00DB2437" w:rsidRDefault="00DB2437" w:rsidP="00F155B3">
      <w:pPr>
        <w:spacing w:after="0" w:line="240" w:lineRule="auto"/>
      </w:pPr>
      <w:r>
        <w:separator/>
      </w:r>
    </w:p>
  </w:footnote>
  <w:footnote w:type="continuationSeparator" w:id="0">
    <w:p w14:paraId="64A12430" w14:textId="77777777" w:rsidR="00DB2437" w:rsidRDefault="00DB2437" w:rsidP="00F15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1BCB4" w14:textId="77777777" w:rsidR="00F155B3" w:rsidRDefault="00F155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C050C" w14:textId="77777777" w:rsidR="00F155B3" w:rsidRDefault="00F155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8A62" w14:textId="77777777" w:rsidR="00F155B3" w:rsidRDefault="00F155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W0NDMzNjU0NDY1MDVR0lEKTi0uzszPAykwqwUAd15SwiwAAAA="/>
  </w:docVars>
  <w:rsids>
    <w:rsidRoot w:val="00076170"/>
    <w:rsid w:val="00044881"/>
    <w:rsid w:val="00076170"/>
    <w:rsid w:val="00087D09"/>
    <w:rsid w:val="000B6FB8"/>
    <w:rsid w:val="000C57DC"/>
    <w:rsid w:val="001566AF"/>
    <w:rsid w:val="00170F71"/>
    <w:rsid w:val="002D0210"/>
    <w:rsid w:val="003D2F23"/>
    <w:rsid w:val="00450DEF"/>
    <w:rsid w:val="004A0D65"/>
    <w:rsid w:val="00530FE5"/>
    <w:rsid w:val="00620D15"/>
    <w:rsid w:val="006D0357"/>
    <w:rsid w:val="00731936"/>
    <w:rsid w:val="00746260"/>
    <w:rsid w:val="00864DDD"/>
    <w:rsid w:val="008A067A"/>
    <w:rsid w:val="0090105E"/>
    <w:rsid w:val="00A3238E"/>
    <w:rsid w:val="00A879E9"/>
    <w:rsid w:val="00AF5321"/>
    <w:rsid w:val="00B3112A"/>
    <w:rsid w:val="00B33A20"/>
    <w:rsid w:val="00C54AAE"/>
    <w:rsid w:val="00C67ECD"/>
    <w:rsid w:val="00CD7E56"/>
    <w:rsid w:val="00CF1211"/>
    <w:rsid w:val="00D313A0"/>
    <w:rsid w:val="00D55368"/>
    <w:rsid w:val="00D70704"/>
    <w:rsid w:val="00DB2437"/>
    <w:rsid w:val="00DC1502"/>
    <w:rsid w:val="00E50123"/>
    <w:rsid w:val="00E612B2"/>
    <w:rsid w:val="00E85351"/>
    <w:rsid w:val="00EA0761"/>
    <w:rsid w:val="00EA5C67"/>
    <w:rsid w:val="00EB60F4"/>
    <w:rsid w:val="00F155B3"/>
    <w:rsid w:val="00F463E7"/>
    <w:rsid w:val="00FD0690"/>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33BB"/>
  <w15:chartTrackingRefBased/>
  <w15:docId w15:val="{26402E83-D69A-496F-8907-0F9274829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170"/>
    <w:rPr>
      <w:lang w:val="en-US"/>
    </w:rPr>
  </w:style>
  <w:style w:type="paragraph" w:styleId="Heading1">
    <w:name w:val="heading 1"/>
    <w:basedOn w:val="Normal"/>
    <w:next w:val="Normal"/>
    <w:link w:val="Heading1Char"/>
    <w:uiPriority w:val="9"/>
    <w:qFormat/>
    <w:rsid w:val="00E853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Title">
    <w:name w:val="BA_Title"/>
    <w:basedOn w:val="Normal"/>
    <w:next w:val="BBAuthorName"/>
    <w:autoRedefine/>
    <w:rsid w:val="00076170"/>
    <w:pPr>
      <w:adjustRightInd w:val="0"/>
      <w:snapToGrid w:val="0"/>
      <w:spacing w:before="1400" w:after="180" w:line="360" w:lineRule="auto"/>
    </w:pPr>
    <w:rPr>
      <w:rFonts w:ascii="Myriad Pro Light" w:eastAsia="SimSun" w:hAnsi="Myriad Pro Light" w:cs="Times New Roman"/>
      <w:b/>
      <w:kern w:val="36"/>
      <w:sz w:val="36"/>
      <w:szCs w:val="20"/>
      <w:lang w:eastAsia="en-US"/>
    </w:rPr>
  </w:style>
  <w:style w:type="paragraph" w:customStyle="1" w:styleId="BBAuthorName">
    <w:name w:val="BB_Author_Name"/>
    <w:basedOn w:val="Normal"/>
    <w:next w:val="Normal"/>
    <w:autoRedefine/>
    <w:rsid w:val="00EA0761"/>
    <w:pPr>
      <w:kinsoku w:val="0"/>
      <w:overflowPunct w:val="0"/>
      <w:autoSpaceDE w:val="0"/>
      <w:autoSpaceDN w:val="0"/>
      <w:adjustRightInd w:val="0"/>
      <w:snapToGrid w:val="0"/>
      <w:spacing w:after="180" w:line="360" w:lineRule="auto"/>
    </w:pPr>
    <w:rPr>
      <w:rFonts w:ascii="Arno Pro" w:eastAsia="SimSun" w:hAnsi="Arno Pro" w:cs="Times New Roman"/>
      <w:kern w:val="26"/>
      <w:sz w:val="24"/>
      <w:szCs w:val="20"/>
      <w:lang w:eastAsia="en-US"/>
    </w:rPr>
  </w:style>
  <w:style w:type="paragraph" w:customStyle="1" w:styleId="Teaser">
    <w:name w:val="Teaser"/>
    <w:basedOn w:val="Normal"/>
    <w:rsid w:val="00076170"/>
    <w:pPr>
      <w:spacing w:before="120" w:after="0" w:line="240" w:lineRule="auto"/>
    </w:pPr>
    <w:rPr>
      <w:rFonts w:ascii="Times New Roman" w:eastAsia="Times New Roman" w:hAnsi="Times New Roman" w:cs="Times New Roman"/>
      <w:sz w:val="24"/>
      <w:szCs w:val="24"/>
      <w:lang w:eastAsia="en-US"/>
    </w:rPr>
  </w:style>
  <w:style w:type="table" w:styleId="TableGrid">
    <w:name w:val="Table Grid"/>
    <w:basedOn w:val="TableNormal"/>
    <w:rsid w:val="00076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Heading">
    <w:name w:val="SM Heading"/>
    <w:basedOn w:val="Heading1"/>
    <w:rsid w:val="00E85351"/>
    <w:pPr>
      <w:keepLines w:val="0"/>
      <w:spacing w:after="60" w:line="240" w:lineRule="auto"/>
    </w:pPr>
    <w:rPr>
      <w:rFonts w:ascii="Times New Roman" w:eastAsia="Times New Roman" w:hAnsi="Times New Roman" w:cs="Times New Roman"/>
      <w:b/>
      <w:bCs/>
      <w:color w:val="auto"/>
      <w:kern w:val="32"/>
      <w:sz w:val="24"/>
      <w:szCs w:val="24"/>
      <w:lang w:eastAsia="en-US"/>
    </w:rPr>
  </w:style>
  <w:style w:type="paragraph" w:customStyle="1" w:styleId="SMcaption">
    <w:name w:val="SM caption"/>
    <w:basedOn w:val="Normal"/>
    <w:rsid w:val="00E85351"/>
    <w:pPr>
      <w:spacing w:after="0" w:line="240" w:lineRule="auto"/>
    </w:pPr>
    <w:rPr>
      <w:rFonts w:ascii="Times New Roman" w:eastAsia="Times New Roman" w:hAnsi="Times New Roman" w:cs="Times New Roman"/>
      <w:sz w:val="24"/>
      <w:szCs w:val="20"/>
      <w:lang w:eastAsia="en-US"/>
    </w:rPr>
  </w:style>
  <w:style w:type="paragraph" w:customStyle="1" w:styleId="AbstractSummary">
    <w:name w:val="Abstract/Summary"/>
    <w:basedOn w:val="Normal"/>
    <w:rsid w:val="00E85351"/>
    <w:pPr>
      <w:spacing w:before="120" w:after="0" w:line="240" w:lineRule="auto"/>
    </w:pPr>
    <w:rPr>
      <w:rFonts w:ascii="Times New Roman" w:eastAsia="Times New Roman" w:hAnsi="Times New Roman" w:cs="Times New Roman"/>
      <w:sz w:val="24"/>
      <w:szCs w:val="24"/>
      <w:lang w:eastAsia="en-US"/>
    </w:rPr>
  </w:style>
  <w:style w:type="character" w:customStyle="1" w:styleId="Heading1Char">
    <w:name w:val="Heading 1 Char"/>
    <w:basedOn w:val="DefaultParagraphFont"/>
    <w:link w:val="Heading1"/>
    <w:uiPriority w:val="9"/>
    <w:rsid w:val="00E85351"/>
    <w:rPr>
      <w:rFonts w:asciiTheme="majorHAnsi" w:eastAsiaTheme="majorEastAsia" w:hAnsiTheme="majorHAnsi" w:cstheme="majorBidi"/>
      <w:color w:val="2E74B5" w:themeColor="accent1" w:themeShade="BF"/>
      <w:sz w:val="32"/>
      <w:szCs w:val="32"/>
      <w:lang w:val="en-US"/>
    </w:rPr>
  </w:style>
  <w:style w:type="paragraph" w:styleId="Subtitle">
    <w:name w:val="Subtitle"/>
    <w:aliases w:val="Table 1"/>
    <w:basedOn w:val="Normal"/>
    <w:next w:val="Normal"/>
    <w:link w:val="SubtitleChar"/>
    <w:uiPriority w:val="11"/>
    <w:qFormat/>
    <w:rsid w:val="00E85351"/>
    <w:pPr>
      <w:spacing w:before="60" w:after="60" w:line="240" w:lineRule="auto"/>
    </w:pPr>
    <w:rPr>
      <w:rFonts w:ascii="Arial" w:hAnsi="Arial" w:cs="Arial"/>
      <w:spacing w:val="5"/>
      <w:sz w:val="19"/>
      <w:szCs w:val="36"/>
      <w:lang w:val="en-GB" w:eastAsia="en-US" w:bidi="en-US"/>
    </w:rPr>
  </w:style>
  <w:style w:type="character" w:customStyle="1" w:styleId="SubtitleChar">
    <w:name w:val="Subtitle Char"/>
    <w:aliases w:val="Table 1 Char"/>
    <w:basedOn w:val="DefaultParagraphFont"/>
    <w:link w:val="Subtitle"/>
    <w:uiPriority w:val="11"/>
    <w:rsid w:val="00E85351"/>
    <w:rPr>
      <w:rFonts w:ascii="Arial" w:hAnsi="Arial" w:cs="Arial"/>
      <w:spacing w:val="5"/>
      <w:sz w:val="19"/>
      <w:szCs w:val="36"/>
      <w:lang w:val="en-GB" w:eastAsia="en-US" w:bidi="en-US"/>
    </w:rPr>
  </w:style>
  <w:style w:type="paragraph" w:styleId="Bibliography">
    <w:name w:val="Bibliography"/>
    <w:basedOn w:val="Normal"/>
    <w:next w:val="Normal"/>
    <w:uiPriority w:val="37"/>
    <w:unhideWhenUsed/>
    <w:rsid w:val="00864DDD"/>
    <w:pPr>
      <w:tabs>
        <w:tab w:val="left" w:pos="384"/>
      </w:tabs>
      <w:spacing w:after="0" w:line="480" w:lineRule="auto"/>
      <w:ind w:left="384" w:hanging="384"/>
    </w:pPr>
  </w:style>
  <w:style w:type="paragraph" w:styleId="Header">
    <w:name w:val="header"/>
    <w:basedOn w:val="Normal"/>
    <w:link w:val="HeaderChar"/>
    <w:uiPriority w:val="99"/>
    <w:unhideWhenUsed/>
    <w:rsid w:val="00F155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55B3"/>
    <w:rPr>
      <w:lang w:val="en-US"/>
    </w:rPr>
  </w:style>
  <w:style w:type="paragraph" w:styleId="Footer">
    <w:name w:val="footer"/>
    <w:basedOn w:val="Normal"/>
    <w:link w:val="FooterChar"/>
    <w:uiPriority w:val="99"/>
    <w:unhideWhenUsed/>
    <w:rsid w:val="00F155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55B3"/>
    <w:rPr>
      <w:lang w:val="en-US"/>
    </w:rPr>
  </w:style>
  <w:style w:type="character" w:styleId="CommentReference">
    <w:name w:val="annotation reference"/>
    <w:basedOn w:val="DefaultParagraphFont"/>
    <w:uiPriority w:val="99"/>
    <w:semiHidden/>
    <w:unhideWhenUsed/>
    <w:rsid w:val="00EA0761"/>
    <w:rPr>
      <w:sz w:val="16"/>
      <w:szCs w:val="16"/>
    </w:rPr>
  </w:style>
  <w:style w:type="paragraph" w:styleId="CommentText">
    <w:name w:val="annotation text"/>
    <w:basedOn w:val="Normal"/>
    <w:link w:val="CommentTextChar"/>
    <w:uiPriority w:val="99"/>
    <w:unhideWhenUsed/>
    <w:rsid w:val="00EA0761"/>
    <w:pPr>
      <w:spacing w:line="240" w:lineRule="auto"/>
    </w:pPr>
    <w:rPr>
      <w:sz w:val="20"/>
      <w:szCs w:val="20"/>
    </w:rPr>
  </w:style>
  <w:style w:type="character" w:customStyle="1" w:styleId="CommentTextChar">
    <w:name w:val="Comment Text Char"/>
    <w:basedOn w:val="DefaultParagraphFont"/>
    <w:link w:val="CommentText"/>
    <w:uiPriority w:val="99"/>
    <w:rsid w:val="00EA0761"/>
    <w:rPr>
      <w:sz w:val="20"/>
      <w:szCs w:val="20"/>
      <w:lang w:val="en-US"/>
    </w:rPr>
  </w:style>
  <w:style w:type="paragraph" w:styleId="CommentSubject">
    <w:name w:val="annotation subject"/>
    <w:basedOn w:val="CommentText"/>
    <w:next w:val="CommentText"/>
    <w:link w:val="CommentSubjectChar"/>
    <w:uiPriority w:val="99"/>
    <w:semiHidden/>
    <w:unhideWhenUsed/>
    <w:rsid w:val="00EA0761"/>
    <w:rPr>
      <w:b/>
      <w:bCs/>
    </w:rPr>
  </w:style>
  <w:style w:type="character" w:customStyle="1" w:styleId="CommentSubjectChar">
    <w:name w:val="Comment Subject Char"/>
    <w:basedOn w:val="CommentTextChar"/>
    <w:link w:val="CommentSubject"/>
    <w:uiPriority w:val="99"/>
    <w:semiHidden/>
    <w:rsid w:val="00EA0761"/>
    <w:rPr>
      <w:b/>
      <w:bCs/>
      <w:sz w:val="20"/>
      <w:szCs w:val="20"/>
      <w:lang w:val="en-US"/>
    </w:rPr>
  </w:style>
  <w:style w:type="paragraph" w:customStyle="1" w:styleId="Paragraph">
    <w:name w:val="Paragraph"/>
    <w:basedOn w:val="Normal"/>
    <w:rsid w:val="00CD7E56"/>
    <w:pPr>
      <w:spacing w:before="120" w:after="0" w:line="240" w:lineRule="auto"/>
      <w:ind w:firstLine="720"/>
    </w:pPr>
    <w:rPr>
      <w:rFonts w:ascii="Times New Roman" w:eastAsia="Times New Roman" w:hAnsi="Times New Roman" w:cs="Times New Roman"/>
      <w:sz w:val="24"/>
      <w:szCs w:val="24"/>
      <w:lang w:eastAsia="en-US"/>
    </w:rPr>
  </w:style>
  <w:style w:type="paragraph" w:customStyle="1" w:styleId="Head">
    <w:name w:val="Head"/>
    <w:basedOn w:val="Normal"/>
    <w:rsid w:val="00CD7E56"/>
    <w:pPr>
      <w:keepNext/>
      <w:spacing w:before="120" w:after="120" w:line="240" w:lineRule="auto"/>
      <w:jc w:val="center"/>
      <w:outlineLvl w:val="0"/>
    </w:pPr>
    <w:rPr>
      <w:rFonts w:ascii="Times New Roman" w:eastAsia="Times New Roman" w:hAnsi="Times New Roman" w:cs="Times New Roman"/>
      <w:b/>
      <w:bCs/>
      <w:kern w:val="28"/>
      <w:sz w:val="28"/>
      <w:szCs w:val="28"/>
      <w:lang w:eastAsia="en-US"/>
    </w:rPr>
  </w:style>
  <w:style w:type="character" w:styleId="Hyperlink">
    <w:name w:val="Hyperlink"/>
    <w:basedOn w:val="DefaultParagraphFont"/>
    <w:uiPriority w:val="99"/>
    <w:unhideWhenUsed/>
    <w:rsid w:val="00CD7E56"/>
    <w:rPr>
      <w:color w:val="0563C1" w:themeColor="hyperlink"/>
      <w:u w:val="single"/>
    </w:rPr>
  </w:style>
  <w:style w:type="character" w:customStyle="1" w:styleId="UnresolvedMention">
    <w:name w:val="Unresolved Mention"/>
    <w:basedOn w:val="DefaultParagraphFont"/>
    <w:uiPriority w:val="99"/>
    <w:semiHidden/>
    <w:unhideWhenUsed/>
    <w:rsid w:val="00CD7E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811415">
      <w:bodyDiv w:val="1"/>
      <w:marLeft w:val="0"/>
      <w:marRight w:val="0"/>
      <w:marTop w:val="0"/>
      <w:marBottom w:val="0"/>
      <w:divBdr>
        <w:top w:val="none" w:sz="0" w:space="0" w:color="auto"/>
        <w:left w:val="none" w:sz="0" w:space="0" w:color="auto"/>
        <w:bottom w:val="none" w:sz="0" w:space="0" w:color="auto"/>
        <w:right w:val="none" w:sz="0" w:space="0" w:color="auto"/>
      </w:divBdr>
    </w:div>
    <w:div w:id="963118432">
      <w:bodyDiv w:val="1"/>
      <w:marLeft w:val="0"/>
      <w:marRight w:val="0"/>
      <w:marTop w:val="0"/>
      <w:marBottom w:val="0"/>
      <w:divBdr>
        <w:top w:val="none" w:sz="0" w:space="0" w:color="auto"/>
        <w:left w:val="none" w:sz="0" w:space="0" w:color="auto"/>
        <w:bottom w:val="none" w:sz="0" w:space="0" w:color="auto"/>
        <w:right w:val="none" w:sz="0" w:space="0" w:color="auto"/>
      </w:divBdr>
    </w:div>
    <w:div w:id="181922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77177-7A2B-46C0-8BEA-423ABF0C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8129</Words>
  <Characters>46340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DTU</Company>
  <LinksUpToDate>false</LinksUpToDate>
  <CharactersWithSpaces>54361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 Lin</dc:creator>
  <cp:keywords/>
  <dc:description/>
  <cp:lastModifiedBy>Jixin Qiao</cp:lastModifiedBy>
  <cp:revision>3</cp:revision>
  <dcterms:created xsi:type="dcterms:W3CDTF">2023-06-21T14:35:00Z</dcterms:created>
  <dcterms:modified xsi:type="dcterms:W3CDTF">2023-06-21T14:35:00Z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zotero-version="6.0.12"&gt;&lt;session id="0iLjcIAx"/&gt;&lt;style id="http://www.zotero.org/styles/nature" hasBibliography="1" bibliographyStyleHasBeenSet="1"/&gt;&lt;prefs&gt;&lt;pref name="fieldType" value="Field"/&gt;&lt;/prefs&gt;&lt;/data&gt;</vt:lpwstr>
  </property>
</Properties>
</file>