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3F2B" w14:textId="77777777" w:rsidR="007B3883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  <w:r w:rsidRPr="00DA4B94">
        <w:rPr>
          <w:rFonts w:ascii="Times New Roman" w:eastAsia="ＭＳ 明朝" w:hAnsi="Times New Roman"/>
        </w:rPr>
        <w:t xml:space="preserve">Figure </w:t>
      </w:r>
      <w:r>
        <w:rPr>
          <w:rFonts w:ascii="Times New Roman" w:eastAsia="ＭＳ 明朝" w:hAnsi="Times New Roman"/>
        </w:rPr>
        <w:t>S1</w:t>
      </w:r>
    </w:p>
    <w:p w14:paraId="03F61EBB" w14:textId="77777777" w:rsidR="007B3883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  <w:r w:rsidRPr="00DA4B94">
        <w:rPr>
          <w:rFonts w:ascii="Times New Roman" w:eastAsia="ＭＳ 明朝" w:hAnsi="Times New Roman"/>
        </w:rPr>
        <w:t xml:space="preserve">Expression of the </w:t>
      </w:r>
      <w:r w:rsidRPr="00E554BA">
        <w:rPr>
          <w:rFonts w:ascii="Times New Roman" w:eastAsia="ＭＳ 明朝" w:hAnsi="Times New Roman"/>
          <w:i/>
          <w:iCs/>
        </w:rPr>
        <w:t>RNF213</w:t>
      </w:r>
      <w:r w:rsidRPr="00DA4B94">
        <w:rPr>
          <w:rFonts w:ascii="Times New Roman" w:eastAsia="ＭＳ 明朝" w:hAnsi="Times New Roman"/>
        </w:rPr>
        <w:t xml:space="preserve"> was measured by qPCR in iMG cells</w:t>
      </w:r>
      <w:r>
        <w:rPr>
          <w:rFonts w:ascii="Times New Roman" w:eastAsia="ＭＳ 明朝" w:hAnsi="Times New Roman"/>
        </w:rPr>
        <w:t xml:space="preserve"> and monocyte</w:t>
      </w:r>
      <w:r w:rsidRPr="00DA4B94">
        <w:rPr>
          <w:rFonts w:ascii="Times New Roman" w:eastAsia="ＭＳ 明朝" w:hAnsi="Times New Roman"/>
        </w:rPr>
        <w:t>. Fold changes were measured using the ΔΔ Ct method.</w:t>
      </w:r>
      <w:r w:rsidRPr="00DA4B94">
        <w:rPr>
          <w:rFonts w:ascii="Times New Roman" w:eastAsia="ＭＳ 明朝" w:hAnsi="Times New Roman"/>
          <w:lang w:eastAsia="ja-JP"/>
        </w:rPr>
        <w:t xml:space="preserve"> </w:t>
      </w:r>
      <w:r w:rsidRPr="00DA4B94">
        <w:rPr>
          <w:rFonts w:ascii="Times New Roman" w:eastAsia="ＭＳ 明朝" w:hAnsi="Times New Roman"/>
        </w:rPr>
        <w:t xml:space="preserve">The relative expression (fold change) of </w:t>
      </w:r>
      <w:r w:rsidRPr="00E554BA">
        <w:rPr>
          <w:rFonts w:ascii="Times New Roman" w:eastAsia="ＭＳ 明朝" w:hAnsi="Times New Roman"/>
          <w:i/>
          <w:iCs/>
        </w:rPr>
        <w:t>RNF213</w:t>
      </w:r>
      <w:r>
        <w:rPr>
          <w:rFonts w:ascii="Times New Roman" w:eastAsia="ＭＳ 明朝" w:hAnsi="Times New Roman"/>
          <w:i/>
          <w:iCs/>
        </w:rPr>
        <w:t xml:space="preserve"> </w:t>
      </w:r>
      <w:r w:rsidRPr="00DA4B94">
        <w:rPr>
          <w:rFonts w:ascii="Times New Roman" w:eastAsia="ＭＳ 明朝" w:hAnsi="Times New Roman"/>
        </w:rPr>
        <w:t xml:space="preserve">was </w:t>
      </w:r>
      <w:r>
        <w:rPr>
          <w:rFonts w:ascii="Times New Roman" w:eastAsia="ＭＳ 明朝" w:hAnsi="Times New Roman"/>
        </w:rPr>
        <w:t xml:space="preserve">not </w:t>
      </w:r>
      <w:r w:rsidRPr="00DA4B94">
        <w:rPr>
          <w:rFonts w:ascii="Times New Roman" w:eastAsia="ＭＳ 明朝" w:hAnsi="Times New Roman"/>
        </w:rPr>
        <w:t xml:space="preserve">significantly </w:t>
      </w:r>
      <w:r>
        <w:rPr>
          <w:rFonts w:ascii="Times New Roman" w:eastAsia="ＭＳ 明朝" w:hAnsi="Times New Roman"/>
        </w:rPr>
        <w:t xml:space="preserve">different in resting, M1-, </w:t>
      </w:r>
      <w:r w:rsidRPr="00DA4B94">
        <w:rPr>
          <w:rFonts w:ascii="Times New Roman" w:eastAsia="ＭＳ 明朝" w:hAnsi="Times New Roman"/>
        </w:rPr>
        <w:t>M2-induced iMG cells</w:t>
      </w:r>
      <w:r>
        <w:rPr>
          <w:rFonts w:ascii="Times New Roman" w:eastAsia="ＭＳ 明朝" w:hAnsi="Times New Roman"/>
        </w:rPr>
        <w:t xml:space="preserve"> and monocyte in comparison to MMD and control group</w:t>
      </w:r>
      <w:r w:rsidRPr="00DA4B94">
        <w:rPr>
          <w:rFonts w:ascii="Times New Roman" w:eastAsia="ＭＳ 明朝" w:hAnsi="Times New Roman"/>
        </w:rPr>
        <w:t>.</w:t>
      </w:r>
    </w:p>
    <w:p w14:paraId="140591B3" w14:textId="77777777" w:rsidR="007B3883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</w:p>
    <w:p w14:paraId="34B3487C" w14:textId="77777777" w:rsidR="007B3883" w:rsidRPr="00DA4B94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  <w:r>
        <w:rPr>
          <w:rFonts w:ascii="Times New Roman" w:eastAsia="ＭＳ 明朝" w:hAnsi="Times New Roman" w:hint="eastAsia"/>
        </w:rPr>
        <w:t>F</w:t>
      </w:r>
      <w:r>
        <w:rPr>
          <w:rFonts w:ascii="Times New Roman" w:eastAsia="ＭＳ 明朝" w:hAnsi="Times New Roman"/>
        </w:rPr>
        <w:t>igure S2</w:t>
      </w:r>
    </w:p>
    <w:p w14:paraId="5CF08953" w14:textId="77777777" w:rsidR="007B3883" w:rsidRPr="00DA4B94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  <w:lang w:eastAsia="ja-JP"/>
        </w:rPr>
      </w:pPr>
      <w:r>
        <w:rPr>
          <w:rFonts w:ascii="Times New Roman" w:eastAsia="ＭＳ 明朝" w:hAnsi="Times New Roman"/>
        </w:rPr>
        <w:t>Expression of t</w:t>
      </w:r>
      <w:r w:rsidRPr="00DA4B94">
        <w:rPr>
          <w:rFonts w:ascii="Times New Roman" w:eastAsia="ＭＳ 明朝" w:hAnsi="Times New Roman"/>
        </w:rPr>
        <w:t xml:space="preserve">he angiogenic factors </w:t>
      </w:r>
      <w:r w:rsidRPr="00DA4B94">
        <w:rPr>
          <w:rFonts w:ascii="Times New Roman" w:eastAsia="ＭＳ 明朝" w:hAnsi="Times New Roman"/>
          <w:i/>
          <w:iCs/>
        </w:rPr>
        <w:t>MMP9</w:t>
      </w:r>
      <w:r w:rsidRPr="00DA4B94">
        <w:rPr>
          <w:rFonts w:ascii="Times New Roman" w:eastAsia="ＭＳ 明朝" w:hAnsi="Times New Roman"/>
        </w:rPr>
        <w:t xml:space="preserve">, </w:t>
      </w:r>
      <w:r w:rsidRPr="00DA4B94">
        <w:rPr>
          <w:rFonts w:ascii="Times New Roman" w:eastAsia="ＭＳ 明朝" w:hAnsi="Times New Roman"/>
          <w:i/>
          <w:iCs/>
        </w:rPr>
        <w:t>VEGFA</w:t>
      </w:r>
      <w:r w:rsidRPr="00DA4B94">
        <w:rPr>
          <w:rFonts w:ascii="Times New Roman" w:eastAsia="ＭＳ 明朝" w:hAnsi="Times New Roman"/>
        </w:rPr>
        <w:t xml:space="preserve">, and </w:t>
      </w:r>
      <w:r w:rsidRPr="00DA4B94">
        <w:rPr>
          <w:rFonts w:ascii="Times New Roman" w:eastAsia="ＭＳ 明朝" w:hAnsi="Times New Roman"/>
          <w:i/>
          <w:iCs/>
        </w:rPr>
        <w:t>TGFB1</w:t>
      </w:r>
      <w:r w:rsidRPr="00DA4B94">
        <w:rPr>
          <w:rFonts w:ascii="Times New Roman" w:eastAsia="ＭＳ 明朝" w:hAnsi="Times New Roman"/>
        </w:rPr>
        <w:t xml:space="preserve"> was measured by qPCR in </w:t>
      </w:r>
      <w:r>
        <w:rPr>
          <w:rFonts w:ascii="Times New Roman" w:eastAsia="ＭＳ 明朝" w:hAnsi="Times New Roman"/>
        </w:rPr>
        <w:t xml:space="preserve">iMG cells and monocytes. </w:t>
      </w:r>
      <w:r w:rsidRPr="00DA4B94">
        <w:rPr>
          <w:rFonts w:ascii="Times New Roman" w:eastAsia="ＭＳ 明朝" w:hAnsi="Times New Roman"/>
          <w:lang w:eastAsia="ja-JP"/>
        </w:rPr>
        <w:t xml:space="preserve">Fold changes were measured using the </w:t>
      </w:r>
      <w:r w:rsidRPr="00DA4B94">
        <w:rPr>
          <w:rFonts w:ascii="Times New Roman" w:eastAsia="ＭＳ 明朝" w:hAnsi="Times New Roman"/>
        </w:rPr>
        <w:t>ΔΔ Ct method.</w:t>
      </w:r>
    </w:p>
    <w:p w14:paraId="12D10B8C" w14:textId="77777777" w:rsidR="007B3883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  <w:r w:rsidRPr="00DA4B94">
        <w:rPr>
          <w:rFonts w:ascii="Times New Roman" w:eastAsia="ＭＳ 明朝" w:hAnsi="Times New Roman"/>
        </w:rPr>
        <w:t xml:space="preserve">The relative expression (fold change) of </w:t>
      </w:r>
      <w:r>
        <w:rPr>
          <w:rFonts w:ascii="Times New Roman" w:eastAsia="ＭＳ 明朝" w:hAnsi="Times New Roman"/>
          <w:i/>
          <w:iCs/>
        </w:rPr>
        <w:t>MMP9</w:t>
      </w:r>
      <w:r w:rsidRPr="00DA4B94">
        <w:rPr>
          <w:rFonts w:ascii="Times New Roman" w:eastAsia="ＭＳ 明朝" w:hAnsi="Times New Roman"/>
        </w:rPr>
        <w:t xml:space="preserve"> expression was significantly </w:t>
      </w:r>
      <w:r>
        <w:rPr>
          <w:rFonts w:ascii="Times New Roman" w:eastAsia="ＭＳ 明朝" w:hAnsi="Times New Roman"/>
        </w:rPr>
        <w:t>upregulated</w:t>
      </w:r>
      <w:r w:rsidRPr="00DA4B94">
        <w:rPr>
          <w:rFonts w:ascii="Times New Roman" w:eastAsia="ＭＳ 明朝" w:hAnsi="Times New Roman"/>
        </w:rPr>
        <w:t xml:space="preserve"> in </w:t>
      </w:r>
      <w:r>
        <w:rPr>
          <w:rFonts w:ascii="Times New Roman" w:eastAsia="ＭＳ 明朝" w:hAnsi="Times New Roman"/>
        </w:rPr>
        <w:t>resting</w:t>
      </w:r>
      <w:r w:rsidRPr="00DA4B94">
        <w:rPr>
          <w:rFonts w:ascii="Times New Roman" w:eastAsia="ＭＳ 明朝" w:hAnsi="Times New Roman"/>
        </w:rPr>
        <w:t xml:space="preserve"> iMG cells in MMD. The relative expression (fold change) of </w:t>
      </w:r>
      <w:r w:rsidRPr="00E554BA">
        <w:rPr>
          <w:rFonts w:ascii="Times New Roman" w:eastAsia="ＭＳ 明朝" w:hAnsi="Times New Roman"/>
          <w:i/>
          <w:iCs/>
        </w:rPr>
        <w:t>VEGFA</w:t>
      </w:r>
      <w:r>
        <w:rPr>
          <w:rFonts w:ascii="Times New Roman" w:eastAsia="ＭＳ 明朝" w:hAnsi="Times New Roman"/>
        </w:rPr>
        <w:t xml:space="preserve"> </w:t>
      </w:r>
      <w:r w:rsidRPr="00DA4B94">
        <w:rPr>
          <w:rFonts w:ascii="Times New Roman" w:eastAsia="ＭＳ 明朝" w:hAnsi="Times New Roman"/>
        </w:rPr>
        <w:t>was</w:t>
      </w:r>
      <w:r>
        <w:rPr>
          <w:rFonts w:ascii="Times New Roman" w:eastAsia="ＭＳ 明朝" w:hAnsi="Times New Roman"/>
        </w:rPr>
        <w:t xml:space="preserve"> not </w:t>
      </w:r>
      <w:r w:rsidRPr="00DA4B94">
        <w:rPr>
          <w:rFonts w:ascii="Times New Roman" w:eastAsia="ＭＳ 明朝" w:hAnsi="Times New Roman"/>
        </w:rPr>
        <w:t xml:space="preserve">significantly </w:t>
      </w:r>
      <w:r>
        <w:rPr>
          <w:rFonts w:ascii="Times New Roman" w:eastAsia="ＭＳ 明朝" w:hAnsi="Times New Roman"/>
        </w:rPr>
        <w:t>different</w:t>
      </w:r>
      <w:r w:rsidRPr="00DA4B94">
        <w:rPr>
          <w:rFonts w:ascii="Times New Roman" w:eastAsia="ＭＳ 明朝" w:hAnsi="Times New Roman"/>
        </w:rPr>
        <w:t xml:space="preserve"> in </w:t>
      </w:r>
      <w:r>
        <w:rPr>
          <w:rFonts w:ascii="Times New Roman" w:eastAsia="ＭＳ 明朝" w:hAnsi="Times New Roman"/>
        </w:rPr>
        <w:t xml:space="preserve">resting, M1-induced iMG cells and monocytes in comparison to MMD and control group. </w:t>
      </w:r>
      <w:r w:rsidRPr="00DA4B94">
        <w:rPr>
          <w:rFonts w:ascii="Times New Roman" w:eastAsia="ＭＳ 明朝" w:hAnsi="Times New Roman"/>
        </w:rPr>
        <w:t xml:space="preserve">The relative expression (fold change) of </w:t>
      </w:r>
      <w:r>
        <w:rPr>
          <w:rFonts w:ascii="Times New Roman" w:eastAsia="ＭＳ 明朝" w:hAnsi="Times New Roman"/>
          <w:i/>
          <w:iCs/>
        </w:rPr>
        <w:t>TGFB1</w:t>
      </w:r>
      <w:r w:rsidRPr="00DA4B94">
        <w:rPr>
          <w:rFonts w:ascii="Times New Roman" w:eastAsia="ＭＳ 明朝" w:hAnsi="Times New Roman"/>
        </w:rPr>
        <w:t xml:space="preserve"> expression was significantly </w:t>
      </w:r>
      <w:r>
        <w:rPr>
          <w:rFonts w:ascii="Times New Roman" w:eastAsia="ＭＳ 明朝" w:hAnsi="Times New Roman"/>
        </w:rPr>
        <w:t>lower</w:t>
      </w:r>
      <w:r w:rsidRPr="00DA4B94">
        <w:rPr>
          <w:rFonts w:ascii="Times New Roman" w:eastAsia="ＭＳ 明朝" w:hAnsi="Times New Roman"/>
        </w:rPr>
        <w:t xml:space="preserve"> in </w:t>
      </w:r>
      <w:r>
        <w:rPr>
          <w:rFonts w:ascii="Times New Roman" w:eastAsia="ＭＳ 明朝" w:hAnsi="Times New Roman"/>
        </w:rPr>
        <w:t>monocytes</w:t>
      </w:r>
      <w:r w:rsidRPr="00DA4B94">
        <w:rPr>
          <w:rFonts w:ascii="Times New Roman" w:eastAsia="ＭＳ 明朝" w:hAnsi="Times New Roman"/>
        </w:rPr>
        <w:t xml:space="preserve"> </w:t>
      </w:r>
      <w:r>
        <w:rPr>
          <w:rFonts w:ascii="Times New Roman" w:eastAsia="ＭＳ 明朝" w:hAnsi="Times New Roman"/>
        </w:rPr>
        <w:t>of</w:t>
      </w:r>
      <w:r w:rsidRPr="00DA4B94">
        <w:rPr>
          <w:rFonts w:ascii="Times New Roman" w:eastAsia="ＭＳ 明朝" w:hAnsi="Times New Roman"/>
        </w:rPr>
        <w:t xml:space="preserve"> MMD.</w:t>
      </w:r>
    </w:p>
    <w:p w14:paraId="50BF86EA" w14:textId="77777777" w:rsidR="00772A01" w:rsidRDefault="00772A01" w:rsidP="00772A01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</w:p>
    <w:p w14:paraId="5673876B" w14:textId="7F6A5FDD" w:rsidR="00772A01" w:rsidRPr="00DA4B94" w:rsidRDefault="00772A01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  <w:r>
        <w:rPr>
          <w:rFonts w:ascii="Times New Roman" w:eastAsia="ＭＳ 明朝" w:hAnsi="Times New Roman" w:hint="eastAsia"/>
        </w:rPr>
        <w:t>F</w:t>
      </w:r>
      <w:r>
        <w:rPr>
          <w:rFonts w:ascii="Times New Roman" w:eastAsia="ＭＳ 明朝" w:hAnsi="Times New Roman"/>
        </w:rPr>
        <w:t>igure S</w:t>
      </w:r>
      <w:r w:rsidR="00E731B4">
        <w:rPr>
          <w:rFonts w:ascii="Times New Roman" w:eastAsia="ＭＳ 明朝" w:hAnsi="Times New Roman"/>
        </w:rPr>
        <w:t>3</w:t>
      </w:r>
    </w:p>
    <w:p w14:paraId="339C8D4F" w14:textId="77777777" w:rsidR="007B3883" w:rsidRPr="00DA4B94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  <w:lang w:eastAsia="ja-JP"/>
        </w:rPr>
      </w:pPr>
      <w:r w:rsidRPr="00DA4B94">
        <w:rPr>
          <w:rFonts w:ascii="Times New Roman" w:eastAsia="ＭＳ 明朝" w:hAnsi="Times New Roman"/>
        </w:rPr>
        <w:t xml:space="preserve">Expression of the angiogenic factors </w:t>
      </w:r>
      <w:r w:rsidRPr="00DA4B94">
        <w:rPr>
          <w:rFonts w:ascii="Times New Roman" w:eastAsia="ＭＳ 明朝" w:hAnsi="Times New Roman"/>
          <w:i/>
          <w:iCs/>
        </w:rPr>
        <w:t>MMP9</w:t>
      </w:r>
      <w:r w:rsidRPr="00DA4B94">
        <w:rPr>
          <w:rFonts w:ascii="Times New Roman" w:eastAsia="ＭＳ 明朝" w:hAnsi="Times New Roman"/>
        </w:rPr>
        <w:t xml:space="preserve">, </w:t>
      </w:r>
      <w:r w:rsidRPr="00DA4B94">
        <w:rPr>
          <w:rFonts w:ascii="Times New Roman" w:eastAsia="ＭＳ 明朝" w:hAnsi="Times New Roman"/>
          <w:i/>
          <w:iCs/>
        </w:rPr>
        <w:t>VEGFA</w:t>
      </w:r>
      <w:r w:rsidRPr="00DA4B94">
        <w:rPr>
          <w:rFonts w:ascii="Times New Roman" w:eastAsia="ＭＳ 明朝" w:hAnsi="Times New Roman"/>
        </w:rPr>
        <w:t xml:space="preserve">, and </w:t>
      </w:r>
      <w:r w:rsidRPr="00DA4B94">
        <w:rPr>
          <w:rFonts w:ascii="Times New Roman" w:eastAsia="ＭＳ 明朝" w:hAnsi="Times New Roman"/>
          <w:i/>
          <w:iCs/>
        </w:rPr>
        <w:t>TGFB1</w:t>
      </w:r>
      <w:r w:rsidRPr="00DA4B94">
        <w:rPr>
          <w:rFonts w:ascii="Times New Roman" w:eastAsia="ＭＳ 明朝" w:hAnsi="Times New Roman"/>
        </w:rPr>
        <w:t xml:space="preserve"> was measured by </w:t>
      </w:r>
      <w:r w:rsidRPr="00DA4B94">
        <w:rPr>
          <w:rFonts w:ascii="Times New Roman" w:eastAsia="ＭＳ 明朝" w:hAnsi="Times New Roman"/>
        </w:rPr>
        <w:lastRenderedPageBreak/>
        <w:t xml:space="preserve">qPCR </w:t>
      </w:r>
      <w:r>
        <w:rPr>
          <w:rFonts w:ascii="Times New Roman" w:eastAsia="ＭＳ 明朝" w:hAnsi="Times New Roman"/>
        </w:rPr>
        <w:t>of resting, M1- and M2</w:t>
      </w:r>
      <w:r w:rsidRPr="00DA4B94">
        <w:rPr>
          <w:rFonts w:ascii="Times New Roman" w:eastAsia="ＭＳ 明朝" w:hAnsi="Times New Roman"/>
        </w:rPr>
        <w:t>-induced iMG cells</w:t>
      </w:r>
      <w:r w:rsidRPr="002454C0">
        <w:rPr>
          <w:rFonts w:ascii="Times New Roman" w:eastAsia="ＭＳ 明朝" w:hAnsi="Times New Roman"/>
        </w:rPr>
        <w:t xml:space="preserve"> </w:t>
      </w:r>
      <w:r w:rsidRPr="00DA4B94">
        <w:rPr>
          <w:rFonts w:ascii="Times New Roman" w:eastAsia="ＭＳ 明朝" w:hAnsi="Times New Roman"/>
        </w:rPr>
        <w:t>in the progressive and stable groups.</w:t>
      </w:r>
      <w:r w:rsidRPr="00DA4B94">
        <w:rPr>
          <w:rFonts w:ascii="Times New Roman" w:eastAsia="ＭＳ 明朝" w:hAnsi="Times New Roman"/>
          <w:lang w:eastAsia="ja-JP"/>
        </w:rPr>
        <w:t xml:space="preserve"> Fold changes were measured using the </w:t>
      </w:r>
      <w:r w:rsidRPr="00DA4B94">
        <w:rPr>
          <w:rFonts w:ascii="Times New Roman" w:eastAsia="ＭＳ 明朝" w:hAnsi="Times New Roman"/>
        </w:rPr>
        <w:t>ΔΔ Ct method.</w:t>
      </w:r>
    </w:p>
    <w:p w14:paraId="17E5EAF7" w14:textId="756EB4F5" w:rsidR="007B3883" w:rsidRPr="00DA4B94" w:rsidRDefault="007B3883" w:rsidP="007B3883">
      <w:pPr>
        <w:widowControl w:val="0"/>
        <w:tabs>
          <w:tab w:val="left" w:pos="3360"/>
        </w:tabs>
        <w:spacing w:line="480" w:lineRule="auto"/>
        <w:rPr>
          <w:rFonts w:ascii="Times New Roman" w:eastAsia="ＭＳ 明朝" w:hAnsi="Times New Roman"/>
        </w:rPr>
      </w:pPr>
      <w:r w:rsidRPr="00DA4B94">
        <w:rPr>
          <w:rFonts w:ascii="Times New Roman" w:eastAsia="ＭＳ 明朝" w:hAnsi="Times New Roman"/>
        </w:rPr>
        <w:t xml:space="preserve">The relative expression (fold change) of angiogenic factors </w:t>
      </w:r>
      <w:r w:rsidRPr="00DA4B94">
        <w:rPr>
          <w:rFonts w:ascii="Times New Roman" w:eastAsia="ＭＳ 明朝" w:hAnsi="Times New Roman"/>
          <w:i/>
          <w:iCs/>
        </w:rPr>
        <w:t>MMP9</w:t>
      </w:r>
      <w:r w:rsidRPr="00DA4B94">
        <w:rPr>
          <w:rFonts w:ascii="Times New Roman" w:eastAsia="ＭＳ 明朝" w:hAnsi="Times New Roman"/>
        </w:rPr>
        <w:t xml:space="preserve">, </w:t>
      </w:r>
      <w:r w:rsidRPr="00DA4B94">
        <w:rPr>
          <w:rFonts w:ascii="Times New Roman" w:eastAsia="ＭＳ 明朝" w:hAnsi="Times New Roman"/>
          <w:i/>
          <w:iCs/>
        </w:rPr>
        <w:t>VEGFA</w:t>
      </w:r>
      <w:r w:rsidRPr="00DA4B94">
        <w:rPr>
          <w:rFonts w:ascii="Times New Roman" w:eastAsia="ＭＳ 明朝" w:hAnsi="Times New Roman"/>
        </w:rPr>
        <w:t xml:space="preserve">, and </w:t>
      </w:r>
      <w:r w:rsidRPr="00DA4B94">
        <w:rPr>
          <w:rFonts w:ascii="Times New Roman" w:eastAsia="ＭＳ 明朝" w:hAnsi="Times New Roman"/>
          <w:i/>
          <w:iCs/>
        </w:rPr>
        <w:t>TGFB1</w:t>
      </w:r>
      <w:r>
        <w:rPr>
          <w:rFonts w:ascii="Times New Roman" w:eastAsia="ＭＳ 明朝" w:hAnsi="Times New Roman"/>
        </w:rPr>
        <w:t xml:space="preserve"> </w:t>
      </w:r>
      <w:r w:rsidRPr="00DA4B94">
        <w:rPr>
          <w:rFonts w:ascii="Times New Roman" w:eastAsia="ＭＳ 明朝" w:hAnsi="Times New Roman"/>
        </w:rPr>
        <w:t>w</w:t>
      </w:r>
      <w:r>
        <w:rPr>
          <w:rFonts w:ascii="Times New Roman" w:eastAsia="ＭＳ 明朝" w:hAnsi="Times New Roman"/>
        </w:rPr>
        <w:t xml:space="preserve">ere not </w:t>
      </w:r>
      <w:r w:rsidRPr="00DA4B94">
        <w:rPr>
          <w:rFonts w:ascii="Times New Roman" w:eastAsia="ＭＳ 明朝" w:hAnsi="Times New Roman"/>
        </w:rPr>
        <w:t xml:space="preserve">significantly </w:t>
      </w:r>
      <w:r>
        <w:rPr>
          <w:rFonts w:ascii="Times New Roman" w:eastAsia="ＭＳ 明朝" w:hAnsi="Times New Roman"/>
        </w:rPr>
        <w:t>different</w:t>
      </w:r>
      <w:r w:rsidRPr="00DA4B94">
        <w:rPr>
          <w:rFonts w:ascii="Times New Roman" w:eastAsia="ＭＳ 明朝" w:hAnsi="Times New Roman"/>
        </w:rPr>
        <w:t xml:space="preserve"> in </w:t>
      </w:r>
      <w:r>
        <w:rPr>
          <w:rFonts w:ascii="Times New Roman" w:eastAsia="ＭＳ 明朝" w:hAnsi="Times New Roman"/>
        </w:rPr>
        <w:t>resting, M1-induced iMG cells and monocytes in comparison to the progressive and stable groups.</w:t>
      </w:r>
    </w:p>
    <w:p w14:paraId="2914B288" w14:textId="77777777" w:rsidR="007B3883" w:rsidRDefault="007B3883"/>
    <w:sectPr w:rsidR="007B38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83"/>
    <w:rsid w:val="00772A01"/>
    <w:rsid w:val="007B3883"/>
    <w:rsid w:val="00E7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DC7BD6"/>
  <w15:chartTrackingRefBased/>
  <w15:docId w15:val="{8B1E78C7-00BE-9843-BCC6-09CC2875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883"/>
    <w:pPr>
      <w:suppressAutoHyphens/>
    </w:pPr>
    <w:rPr>
      <w:rFonts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2023-03-22T12:09:00Z</dcterms:created>
  <dcterms:modified xsi:type="dcterms:W3CDTF">2023-03-22T12:09:00Z</dcterms:modified>
</cp:coreProperties>
</file>