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F173A" w14:textId="77777777" w:rsidR="00A5115F" w:rsidRPr="00264214" w:rsidRDefault="00A5115F" w:rsidP="00A5115F">
      <w:pPr>
        <w:spacing w:line="360" w:lineRule="auto"/>
        <w:jc w:val="both"/>
        <w:rPr>
          <w:b/>
          <w:bCs/>
          <w:sz w:val="28"/>
          <w:szCs w:val="28"/>
          <w:u w:color="000000"/>
          <w:lang w:val="en-US"/>
        </w:rPr>
      </w:pPr>
      <w:r w:rsidRPr="00264214">
        <w:rPr>
          <w:b/>
          <w:bCs/>
          <w:sz w:val="28"/>
          <w:szCs w:val="28"/>
          <w:u w:color="000000"/>
          <w:lang w:val="en-US"/>
        </w:rPr>
        <w:t>Fading SARS-CoV-2</w:t>
      </w:r>
      <w:r>
        <w:rPr>
          <w:b/>
          <w:bCs/>
          <w:sz w:val="28"/>
          <w:szCs w:val="28"/>
          <w:u w:color="000000"/>
          <w:lang w:val="en-US"/>
        </w:rPr>
        <w:t xml:space="preserve"> humoral VOC cross-reactivity</w:t>
      </w:r>
      <w:r w:rsidRPr="00264214">
        <w:rPr>
          <w:b/>
          <w:bCs/>
          <w:sz w:val="28"/>
          <w:szCs w:val="28"/>
          <w:u w:color="000000"/>
          <w:lang w:val="en-US"/>
        </w:rPr>
        <w:t xml:space="preserve"> </w:t>
      </w:r>
      <w:r>
        <w:rPr>
          <w:b/>
          <w:bCs/>
          <w:sz w:val="28"/>
          <w:szCs w:val="28"/>
          <w:u w:color="000000"/>
          <w:lang w:val="en-US"/>
        </w:rPr>
        <w:t>versus</w:t>
      </w:r>
      <w:r w:rsidRPr="00264214">
        <w:rPr>
          <w:b/>
          <w:bCs/>
          <w:sz w:val="28"/>
          <w:szCs w:val="28"/>
          <w:u w:color="000000"/>
          <w:lang w:val="en-US"/>
        </w:rPr>
        <w:t xml:space="preserve"> sustained cellular immunity in convalescent children and adolescents</w:t>
      </w:r>
    </w:p>
    <w:p w14:paraId="4230BE14" w14:textId="77777777" w:rsidR="00911BF3" w:rsidRPr="003C36B1" w:rsidRDefault="00911BF3" w:rsidP="00911BF3">
      <w:pPr>
        <w:spacing w:line="360" w:lineRule="auto"/>
        <w:jc w:val="both"/>
        <w:rPr>
          <w:b/>
          <w:bCs/>
          <w:lang w:val="en-US"/>
        </w:rPr>
      </w:pPr>
    </w:p>
    <w:p w14:paraId="62F8CA93" w14:textId="2300FE50" w:rsidR="00911BF3" w:rsidRPr="003C36B1" w:rsidRDefault="00911BF3" w:rsidP="00911BF3">
      <w:pPr>
        <w:spacing w:line="360" w:lineRule="auto"/>
        <w:jc w:val="both"/>
        <w:rPr>
          <w:b/>
          <w:bCs/>
          <w:lang w:val="en-US"/>
        </w:rPr>
      </w:pPr>
      <w:r w:rsidRPr="003C36B1">
        <w:rPr>
          <w:b/>
          <w:bCs/>
          <w:lang w:val="en-US"/>
        </w:rPr>
        <w:t>Supplemental Material - Table of Contents</w:t>
      </w:r>
    </w:p>
    <w:p w14:paraId="7D8043EA" w14:textId="77777777" w:rsidR="00911BF3" w:rsidRPr="003C36B1" w:rsidRDefault="00911BF3" w:rsidP="00911BF3">
      <w:pPr>
        <w:spacing w:line="360" w:lineRule="auto"/>
        <w:jc w:val="both"/>
        <w:rPr>
          <w:b/>
          <w:bCs/>
          <w:lang w:val="en-US"/>
        </w:rPr>
      </w:pPr>
    </w:p>
    <w:p w14:paraId="3CBA5208" w14:textId="50A482F4" w:rsidR="00911BF3" w:rsidRPr="003C36B1" w:rsidRDefault="00911BF3" w:rsidP="00911BF3">
      <w:pPr>
        <w:spacing w:line="360" w:lineRule="auto"/>
        <w:jc w:val="both"/>
        <w:rPr>
          <w:b/>
          <w:bCs/>
          <w:lang w:val="en-US"/>
        </w:rPr>
      </w:pPr>
      <w:r w:rsidRPr="003C36B1">
        <w:rPr>
          <w:b/>
          <w:bCs/>
          <w:lang w:val="en-US"/>
        </w:rPr>
        <w:t>Supplementary Table</w:t>
      </w:r>
    </w:p>
    <w:p w14:paraId="7002AD81" w14:textId="33557B6F" w:rsidR="00911BF3" w:rsidRPr="00021CDB" w:rsidRDefault="00911BF3" w:rsidP="00021CDB">
      <w:pPr>
        <w:pStyle w:val="Body"/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021CDB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t>Table S1:</w:t>
      </w:r>
      <w:r w:rsidRPr="00021CDB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Fluorochrome coupled antibodies and fluorescent dye for analysis of SARS-CoV-2 reactive T cells</w:t>
      </w:r>
    </w:p>
    <w:p w14:paraId="716D20E5" w14:textId="0010C7E9" w:rsidR="00170220" w:rsidRPr="00021CDB" w:rsidRDefault="00170220" w:rsidP="00021CDB">
      <w:pPr>
        <w:pStyle w:val="Body"/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021CDB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t>Table S2.</w:t>
      </w:r>
      <w:r w:rsidRPr="00021CDB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Detailed results of the pseudovirus assay</w:t>
      </w:r>
    </w:p>
    <w:p w14:paraId="31C72287" w14:textId="77777777" w:rsidR="00911BF3" w:rsidRPr="003C36B1" w:rsidRDefault="00911BF3" w:rsidP="00911BF3">
      <w:pPr>
        <w:rPr>
          <w:bCs/>
          <w:lang w:val="en-US"/>
        </w:rPr>
      </w:pPr>
    </w:p>
    <w:p w14:paraId="1A96471F" w14:textId="576553E5" w:rsidR="00911BF3" w:rsidRPr="003C36B1" w:rsidRDefault="00911BF3" w:rsidP="00911BF3">
      <w:pPr>
        <w:pStyle w:val="Body"/>
        <w:spacing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</w:pPr>
      <w:r w:rsidRPr="003C36B1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t>Supplementary Figure</w:t>
      </w:r>
    </w:p>
    <w:p w14:paraId="50928873" w14:textId="1ED1D784" w:rsidR="00911BF3" w:rsidRPr="003C36B1" w:rsidRDefault="00911BF3" w:rsidP="00911BF3">
      <w:pPr>
        <w:pStyle w:val="Body"/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3C36B1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t xml:space="preserve">Figure S1. </w:t>
      </w:r>
      <w:r w:rsidRPr="003C36B1">
        <w:rPr>
          <w:rFonts w:ascii="Times New Roman" w:eastAsia="Arial" w:hAnsi="Times New Roman" w:cs="Times New Roman"/>
          <w:sz w:val="24"/>
          <w:szCs w:val="24"/>
          <w:lang w:val="en-US"/>
        </w:rPr>
        <w:t>Flow cytometry gating strategy for identification and quantification of SARS-CoV-2 reactive T cells</w:t>
      </w:r>
    </w:p>
    <w:p w14:paraId="7345B152" w14:textId="65E08C48" w:rsidR="00170220" w:rsidRPr="003C36B1" w:rsidRDefault="00170220" w:rsidP="00911BF3">
      <w:pPr>
        <w:pStyle w:val="Body"/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3C36B1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t>Figure S2.</w:t>
      </w:r>
      <w:r w:rsidRPr="003C36B1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="006A70CD" w:rsidRPr="00021CDB">
        <w:rPr>
          <w:rFonts w:ascii="Times New Roman" w:eastAsia="Arial" w:hAnsi="Times New Roman" w:cs="Times New Roman"/>
          <w:sz w:val="24"/>
          <w:szCs w:val="24"/>
          <w:lang w:val="en-US"/>
        </w:rPr>
        <w:t>A</w:t>
      </w:r>
      <w:r w:rsidR="00721C71" w:rsidRPr="00021CDB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nalysis of SARS-CoV-2 specific T cell frequencies </w:t>
      </w:r>
      <w:r w:rsidR="006A70CD" w:rsidRPr="00021CDB">
        <w:rPr>
          <w:rFonts w:ascii="Times New Roman" w:eastAsia="Arial" w:hAnsi="Times New Roman" w:cs="Times New Roman"/>
          <w:sz w:val="24"/>
          <w:szCs w:val="24"/>
          <w:lang w:val="en-US"/>
        </w:rPr>
        <w:t>in</w:t>
      </w:r>
      <w:r w:rsidR="00721C71" w:rsidRPr="00021CDB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pediatric subjects with known convalescent duration</w:t>
      </w:r>
    </w:p>
    <w:p w14:paraId="1B6D98F6" w14:textId="3B05C0B2" w:rsidR="00170220" w:rsidRPr="003C36B1" w:rsidRDefault="00170220" w:rsidP="00911BF3">
      <w:pPr>
        <w:pStyle w:val="Body"/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3C36B1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t>Figure S3.</w:t>
      </w:r>
      <w:r w:rsidR="00F25797" w:rsidRPr="003C36B1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="006A70CD" w:rsidRPr="00021CDB">
        <w:rPr>
          <w:rFonts w:ascii="Times New Roman" w:eastAsia="Arial" w:hAnsi="Times New Roman" w:cs="Times New Roman"/>
          <w:sz w:val="24"/>
          <w:szCs w:val="24"/>
          <w:lang w:val="en-US"/>
        </w:rPr>
        <w:t>A</w:t>
      </w:r>
      <w:r w:rsidR="00F25797" w:rsidRPr="00021CDB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nalysis of NAb titers </w:t>
      </w:r>
      <w:r w:rsidR="006A70CD" w:rsidRPr="00021CDB">
        <w:rPr>
          <w:rFonts w:ascii="Times New Roman" w:eastAsia="Arial" w:hAnsi="Times New Roman" w:cs="Times New Roman"/>
          <w:sz w:val="24"/>
          <w:szCs w:val="24"/>
          <w:lang w:val="en-US"/>
        </w:rPr>
        <w:t>in</w:t>
      </w:r>
      <w:r w:rsidR="00021CDB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="00F25797" w:rsidRPr="00021CDB">
        <w:rPr>
          <w:rFonts w:ascii="Times New Roman" w:eastAsia="Arial" w:hAnsi="Times New Roman" w:cs="Times New Roman"/>
          <w:sz w:val="24"/>
          <w:szCs w:val="24"/>
          <w:lang w:val="en-US"/>
        </w:rPr>
        <w:t>pediatric subjects with known convalescent duration</w:t>
      </w:r>
    </w:p>
    <w:p w14:paraId="1475674E" w14:textId="3622BE75" w:rsidR="00170220" w:rsidRPr="003C36B1" w:rsidRDefault="00170220" w:rsidP="00911BF3">
      <w:pPr>
        <w:pStyle w:val="Body"/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3C36B1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t>Figure S4.</w:t>
      </w:r>
      <w:r w:rsidR="00F25797" w:rsidRPr="003C36B1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="00937A47" w:rsidRPr="003C36B1">
        <w:rPr>
          <w:rFonts w:ascii="Times New Roman" w:eastAsia="Arial" w:hAnsi="Times New Roman" w:cs="Times New Roman"/>
          <w:b/>
          <w:bCs/>
          <w:lang w:val="en-US"/>
        </w:rPr>
        <w:t xml:space="preserve">Comparison between C+V+ and children in subjects </w:t>
      </w:r>
      <w:r w:rsidR="00F25797" w:rsidRPr="003C36B1">
        <w:rPr>
          <w:rFonts w:ascii="Times New Roman" w:hAnsi="Times New Roman" w:cs="Times New Roman"/>
          <w:lang w:val="en-US"/>
        </w:rPr>
        <w:t>known convalescent duration</w:t>
      </w:r>
    </w:p>
    <w:p w14:paraId="06A51B2A" w14:textId="77777777" w:rsidR="00A04C94" w:rsidRPr="003C36B1" w:rsidRDefault="00A04C94" w:rsidP="00911BF3">
      <w:pPr>
        <w:pStyle w:val="Body"/>
        <w:spacing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</w:pPr>
    </w:p>
    <w:p w14:paraId="6950DA2F" w14:textId="77777777" w:rsidR="00911BF3" w:rsidRPr="003C36B1" w:rsidRDefault="00911BF3">
      <w:pPr>
        <w:rPr>
          <w:b/>
          <w:lang w:val="en-US"/>
        </w:rPr>
      </w:pPr>
      <w:r w:rsidRPr="003C36B1">
        <w:rPr>
          <w:b/>
          <w:lang w:val="en-US"/>
        </w:rPr>
        <w:br w:type="page"/>
      </w:r>
    </w:p>
    <w:p w14:paraId="763FB683" w14:textId="5E223015" w:rsidR="00911BF3" w:rsidRPr="003C36B1" w:rsidRDefault="00911BF3" w:rsidP="00911BF3">
      <w:pPr>
        <w:rPr>
          <w:bCs/>
          <w:lang w:val="en-US"/>
        </w:rPr>
      </w:pPr>
      <w:r w:rsidRPr="003C36B1">
        <w:rPr>
          <w:b/>
          <w:lang w:val="en-US"/>
        </w:rPr>
        <w:lastRenderedPageBreak/>
        <w:t xml:space="preserve">Table S1: </w:t>
      </w:r>
      <w:r w:rsidRPr="003C36B1">
        <w:rPr>
          <w:bCs/>
          <w:lang w:val="en-US"/>
        </w:rPr>
        <w:t xml:space="preserve">Fluorochrome coupled antibodies and fluorescent dye for analysis of SARS-CoV-2 reactive T cells </w:t>
      </w:r>
    </w:p>
    <w:p w14:paraId="0549B1B6" w14:textId="77777777" w:rsidR="00911BF3" w:rsidRPr="003C36B1" w:rsidRDefault="00911BF3" w:rsidP="00911BF3">
      <w:pPr>
        <w:rPr>
          <w:bCs/>
          <w:lang w:val="en-US"/>
        </w:rPr>
      </w:pPr>
    </w:p>
    <w:tbl>
      <w:tblPr>
        <w:tblStyle w:val="table"/>
        <w:tblW w:w="8245" w:type="dxa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8"/>
        <w:gridCol w:w="1701"/>
        <w:gridCol w:w="1701"/>
        <w:gridCol w:w="1195"/>
      </w:tblGrid>
      <w:tr w:rsidR="00911BF3" w:rsidRPr="003C36B1" w14:paraId="0A8A37AF" w14:textId="77777777" w:rsidTr="00AB0DDF">
        <w:trPr>
          <w:trHeight w:val="191"/>
        </w:trPr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73338CE" w14:textId="77777777" w:rsidR="00911BF3" w:rsidRPr="003C36B1" w:rsidRDefault="00911BF3" w:rsidP="00DC5B6B">
            <w:pPr>
              <w:rPr>
                <w:b/>
                <w:color w:val="000000"/>
                <w:sz w:val="24"/>
                <w:szCs w:val="24"/>
              </w:rPr>
            </w:pPr>
            <w:r w:rsidRPr="003C36B1">
              <w:rPr>
                <w:b/>
                <w:color w:val="000000"/>
                <w:sz w:val="24"/>
                <w:szCs w:val="24"/>
              </w:rPr>
              <w:t>Antibodies or fluorescent dye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3171EB1" w14:textId="77777777" w:rsidR="00911BF3" w:rsidRPr="003C36B1" w:rsidRDefault="00911BF3" w:rsidP="00DC5B6B">
            <w:pPr>
              <w:rPr>
                <w:b/>
                <w:color w:val="000000"/>
                <w:sz w:val="24"/>
                <w:szCs w:val="24"/>
              </w:rPr>
            </w:pPr>
            <w:r w:rsidRPr="003C36B1">
              <w:rPr>
                <w:b/>
                <w:color w:val="000000"/>
                <w:sz w:val="24"/>
                <w:szCs w:val="24"/>
              </w:rPr>
              <w:t>Fluorochrome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901167D" w14:textId="77777777" w:rsidR="00911BF3" w:rsidRPr="003C36B1" w:rsidRDefault="00911BF3" w:rsidP="00DC5B6B">
            <w:pPr>
              <w:rPr>
                <w:b/>
                <w:color w:val="000000"/>
                <w:sz w:val="24"/>
                <w:szCs w:val="24"/>
              </w:rPr>
            </w:pPr>
            <w:r w:rsidRPr="003C36B1">
              <w:rPr>
                <w:b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9C87701" w14:textId="77777777" w:rsidR="00911BF3" w:rsidRPr="003C36B1" w:rsidRDefault="00911BF3" w:rsidP="00DC5B6B">
            <w:pPr>
              <w:rPr>
                <w:b/>
                <w:color w:val="000000"/>
                <w:sz w:val="24"/>
                <w:szCs w:val="24"/>
                <w:lang w:val="en-US"/>
              </w:rPr>
            </w:pPr>
            <w:r w:rsidRPr="003C36B1">
              <w:rPr>
                <w:b/>
                <w:color w:val="000000"/>
                <w:sz w:val="24"/>
                <w:szCs w:val="24"/>
                <w:lang w:val="en-US"/>
              </w:rPr>
              <w:t>Cat. Nr.</w:t>
            </w:r>
          </w:p>
        </w:tc>
      </w:tr>
      <w:tr w:rsidR="00911BF3" w:rsidRPr="003C36B1" w14:paraId="25ED7F53" w14:textId="77777777" w:rsidTr="00AB0DD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7386F1A3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  <w:lang w:val="en-US"/>
              </w:rPr>
            </w:pPr>
            <w:r w:rsidRPr="003C36B1">
              <w:rPr>
                <w:sz w:val="24"/>
                <w:szCs w:val="24"/>
                <w:lang w:val="en-US"/>
              </w:rPr>
              <w:t>Fixable Viability-Dye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0FBD8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  <w:lang w:val="en-US"/>
              </w:rPr>
            </w:pPr>
            <w:r w:rsidRPr="003C36B1">
              <w:rPr>
                <w:sz w:val="24"/>
                <w:szCs w:val="24"/>
                <w:lang w:val="en-US"/>
              </w:rPr>
              <w:t>eFluor780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29FA4A3D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  <w:lang w:val="en-US"/>
              </w:rPr>
            </w:pPr>
            <w:r w:rsidRPr="003C36B1">
              <w:rPr>
                <w:color w:val="000000"/>
                <w:sz w:val="24"/>
                <w:szCs w:val="24"/>
                <w:lang w:val="en-US"/>
              </w:rPr>
              <w:t>eBioscience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01FEC58E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  <w:lang w:val="en-US"/>
              </w:rPr>
            </w:pPr>
            <w:r w:rsidRPr="003C36B1">
              <w:rPr>
                <w:color w:val="000000"/>
                <w:sz w:val="24"/>
                <w:szCs w:val="24"/>
                <w:lang w:val="en-US"/>
              </w:rPr>
              <w:t>65-0865-14</w:t>
            </w:r>
          </w:p>
        </w:tc>
      </w:tr>
      <w:tr w:rsidR="00911BF3" w:rsidRPr="003C36B1" w14:paraId="109E1FFA" w14:textId="77777777" w:rsidTr="00AB0DD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233A6979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anti CD4 (clone OKT4)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D1B08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A700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2D32ADBE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0C400F78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317426</w:t>
            </w:r>
          </w:p>
        </w:tc>
      </w:tr>
      <w:tr w:rsidR="00911BF3" w:rsidRPr="003C36B1" w14:paraId="2FD3664A" w14:textId="77777777" w:rsidTr="00AB0DD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1D3D61D6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  <w:lang w:val="fr-FR"/>
              </w:rPr>
            </w:pPr>
            <w:r w:rsidRPr="003C36B1">
              <w:rPr>
                <w:color w:val="000000"/>
                <w:sz w:val="24"/>
                <w:szCs w:val="24"/>
                <w:lang w:val="fr-FR"/>
              </w:rPr>
              <w:t>anti CD8 (clone RPA-T8)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F0211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bookmarkStart w:id="0" w:name="OLE_LINK3"/>
            <w:r w:rsidRPr="003C36B1">
              <w:rPr>
                <w:color w:val="000000"/>
                <w:sz w:val="24"/>
                <w:szCs w:val="24"/>
              </w:rPr>
              <w:t>V500</w:t>
            </w:r>
            <w:bookmarkEnd w:id="0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445F3046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BD Biosciences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12CBCF10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560775</w:t>
            </w:r>
          </w:p>
        </w:tc>
      </w:tr>
      <w:tr w:rsidR="00911BF3" w:rsidRPr="003C36B1" w14:paraId="16E89E0D" w14:textId="77777777" w:rsidTr="00AB0DD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5C07F7AD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  <w:lang w:val="en-US"/>
              </w:rPr>
            </w:pPr>
            <w:r w:rsidRPr="003C36B1">
              <w:rPr>
                <w:color w:val="000000"/>
                <w:sz w:val="24"/>
                <w:szCs w:val="24"/>
                <w:lang w:val="en-US"/>
              </w:rPr>
              <w:t>anti CD137 (4-1BB) (clone 4B4-1)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59D09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bookmarkStart w:id="1" w:name="OLE_LINK4"/>
            <w:r w:rsidRPr="003C36B1">
              <w:rPr>
                <w:color w:val="000000"/>
                <w:sz w:val="24"/>
                <w:szCs w:val="24"/>
              </w:rPr>
              <w:t>PE-Cy</w:t>
            </w:r>
            <w:bookmarkEnd w:id="1"/>
            <w:r w:rsidRPr="003C36B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2A563F68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49CB4A27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309818</w:t>
            </w:r>
          </w:p>
        </w:tc>
      </w:tr>
      <w:tr w:rsidR="00911BF3" w:rsidRPr="003C36B1" w14:paraId="4E87E236" w14:textId="77777777" w:rsidTr="00AB0DD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75041111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anti CD154 (CD40L) (clone 24-31)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FA9CB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bookmarkStart w:id="2" w:name="OLE_LINK7"/>
            <w:r w:rsidRPr="003C36B1">
              <w:rPr>
                <w:color w:val="000000"/>
                <w:sz w:val="24"/>
                <w:szCs w:val="24"/>
              </w:rPr>
              <w:t>A647</w:t>
            </w:r>
            <w:bookmarkEnd w:id="2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4BF1AAE2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11358DA6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310818</w:t>
            </w:r>
          </w:p>
        </w:tc>
      </w:tr>
      <w:tr w:rsidR="00911BF3" w:rsidRPr="003C36B1" w14:paraId="25A62968" w14:textId="77777777" w:rsidTr="00AB0DD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4DFE0157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anti CD3 (clone OKT3)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64AA3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bookmarkStart w:id="3" w:name="OLE_LINK2"/>
            <w:r w:rsidRPr="003C36B1">
              <w:rPr>
                <w:color w:val="000000"/>
                <w:sz w:val="24"/>
                <w:szCs w:val="24"/>
              </w:rPr>
              <w:t>BV785</w:t>
            </w:r>
            <w:bookmarkEnd w:id="3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4EEA157F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05479184" w14:textId="77777777" w:rsidR="00911BF3" w:rsidRPr="003C36B1" w:rsidRDefault="00911BF3" w:rsidP="00DC5B6B">
            <w:pPr>
              <w:rPr>
                <w:color w:val="000000"/>
                <w:sz w:val="24"/>
                <w:szCs w:val="24"/>
              </w:rPr>
            </w:pPr>
            <w:r w:rsidRPr="003C36B1">
              <w:rPr>
                <w:color w:val="000000"/>
                <w:sz w:val="24"/>
                <w:szCs w:val="24"/>
              </w:rPr>
              <w:t>317330</w:t>
            </w:r>
          </w:p>
        </w:tc>
      </w:tr>
    </w:tbl>
    <w:p w14:paraId="6CF65E27" w14:textId="77777777" w:rsidR="00911BF3" w:rsidRPr="003C36B1" w:rsidRDefault="00911BF3" w:rsidP="00911BF3">
      <w:pPr>
        <w:rPr>
          <w:lang w:val="en-US"/>
        </w:rPr>
      </w:pPr>
    </w:p>
    <w:p w14:paraId="4CD9D6B7" w14:textId="099FE1DE" w:rsidR="00AB0DDF" w:rsidRPr="003C36B1" w:rsidRDefault="00AB0DDF" w:rsidP="00AB0DDF">
      <w:pPr>
        <w:rPr>
          <w:lang w:val="en-US"/>
        </w:rPr>
      </w:pPr>
      <w:r w:rsidRPr="003C36B1">
        <w:rPr>
          <w:b/>
          <w:bCs/>
          <w:lang w:val="en-US"/>
        </w:rPr>
        <w:t>Table S2.</w:t>
      </w:r>
      <w:r w:rsidRPr="003C36B1">
        <w:rPr>
          <w:lang w:val="en-US"/>
        </w:rPr>
        <w:t xml:space="preserve"> </w:t>
      </w:r>
      <w:r w:rsidR="00A04C94" w:rsidRPr="003C36B1">
        <w:rPr>
          <w:lang w:val="en-US"/>
        </w:rPr>
        <w:t>Detailed results of the pseudovirus assay</w:t>
      </w:r>
    </w:p>
    <w:p w14:paraId="55A8C90E" w14:textId="77777777" w:rsidR="00A04C94" w:rsidRPr="003C36B1" w:rsidRDefault="00A04C94" w:rsidP="00AB0DDF">
      <w:pPr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682"/>
        <w:gridCol w:w="1129"/>
        <w:gridCol w:w="1134"/>
        <w:gridCol w:w="1074"/>
      </w:tblGrid>
      <w:tr w:rsidR="00AB0DDF" w:rsidRPr="003C36B1" w14:paraId="77A76B3E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5C23A2E" w14:textId="3E4D92CD" w:rsidR="00AB0DDF" w:rsidRPr="003C36B1" w:rsidRDefault="00AB0DDF" w:rsidP="00AB0DDF">
            <w:pPr>
              <w:rPr>
                <w:b/>
                <w:bCs/>
              </w:rPr>
            </w:pPr>
            <w:r w:rsidRPr="003C36B1">
              <w:rPr>
                <w:b/>
                <w:bCs/>
              </w:rPr>
              <w:t>Patient ID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73EA8D6" w14:textId="77777777" w:rsidR="00AB0DDF" w:rsidRPr="003C36B1" w:rsidRDefault="00AB0DDF" w:rsidP="00AB0DDF">
            <w:pPr>
              <w:jc w:val="center"/>
            </w:pPr>
            <w:r w:rsidRPr="003C36B1">
              <w:rPr>
                <w:b/>
                <w:bCs/>
                <w:color w:val="000000"/>
              </w:rPr>
              <w:t>WT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9E00771" w14:textId="77777777" w:rsidR="00AB0DDF" w:rsidRPr="003C36B1" w:rsidRDefault="00AB0DDF" w:rsidP="00AB0DDF">
            <w:pPr>
              <w:jc w:val="center"/>
            </w:pPr>
            <w:r w:rsidRPr="003C36B1">
              <w:rPr>
                <w:b/>
                <w:bCs/>
                <w:color w:val="000000"/>
              </w:rPr>
              <w:t>Alpha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28A2A88" w14:textId="77777777" w:rsidR="00AB0DDF" w:rsidRPr="003C36B1" w:rsidRDefault="00AB0DDF" w:rsidP="00AB0DDF">
            <w:pPr>
              <w:jc w:val="center"/>
            </w:pPr>
            <w:r w:rsidRPr="003C36B1">
              <w:rPr>
                <w:b/>
                <w:bCs/>
                <w:color w:val="000000"/>
              </w:rPr>
              <w:t>Delta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98E6AE3" w14:textId="77777777" w:rsidR="00AB0DDF" w:rsidRPr="003C36B1" w:rsidRDefault="00AB0DDF" w:rsidP="00AB0DDF">
            <w:pPr>
              <w:jc w:val="center"/>
            </w:pPr>
            <w:r w:rsidRPr="003C36B1">
              <w:rPr>
                <w:b/>
                <w:bCs/>
                <w:color w:val="000000"/>
              </w:rPr>
              <w:t>Omicron</w:t>
            </w:r>
          </w:p>
        </w:tc>
      </w:tr>
      <w:tr w:rsidR="00AB0DDF" w:rsidRPr="003C36B1" w14:paraId="3F12B6B1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CCA0F20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EB3242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97ECACD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037041E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9A5F77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6AC0E629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BF77BD1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04-KindCoV7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055E0C2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87.34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99C588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33.57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DFD1C2A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26.7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22E7165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55D12DC6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54AB520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04-KIndCoV9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E133444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1C8CB8D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F35B890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AF64C1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2AB017BF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4D5D9AC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04-KindCoV23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B0C860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94.17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A7EC5FD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160.7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C7E2FAA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90.48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FF73B70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20</w:t>
            </w:r>
          </w:p>
        </w:tc>
      </w:tr>
      <w:tr w:rsidR="00AB0DDF" w:rsidRPr="003C36B1" w14:paraId="7C1FBB3F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08BCEFB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04-KindCoV30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E904FCB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238.3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1520C12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60.38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3A5C28B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349.8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925043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33.86</w:t>
            </w:r>
          </w:p>
        </w:tc>
      </w:tr>
      <w:tr w:rsidR="00AB0DDF" w:rsidRPr="003C36B1" w14:paraId="458C48E5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85F5718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04-KindCoV31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C9D339F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5D236ED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C91E59D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4225E66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4CB9369C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1D54ADD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04-KindCoV33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EA5D9AC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294.4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B9C901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131.6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04FF4A7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56.81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6699D0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5CE84ED4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870D343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04-KindCoV35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B65B45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567.1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7C34E62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296.4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AA2DFF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187.1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576E2D2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20</w:t>
            </w:r>
          </w:p>
        </w:tc>
      </w:tr>
      <w:tr w:rsidR="00AB0DDF" w:rsidRPr="003C36B1" w14:paraId="12D3EB14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725123A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04-KindCoV38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439148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233.7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CD5A0F6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413.7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A8CEB5E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23.6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B2E1B2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3C3D4C60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6EE1E2D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04-KindCoV45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808A23A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175.9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E446AE7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170.1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1C605F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49.48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4DFE412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3E8314C2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6A7D472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04-KindCoV51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F8DDD86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423.9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0783BCA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191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F9A939D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22.81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81DE91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05BCC381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5C01950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04-KindCoV52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597ECCC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0644D0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2EC4716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D6FD14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58CB8587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5A4D826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04-KindCoV53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004EAB2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7AC6DAE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CF87CD6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3D9E24E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5054A177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2CE78EB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04-KindCoV55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6017FED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295758C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ACB5C84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6A919ED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297B619A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9C3428C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04-KindCoV56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2DCD96A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64.26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D8D8834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9AF24C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98.7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F22EA17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20</w:t>
            </w:r>
          </w:p>
        </w:tc>
      </w:tr>
      <w:tr w:rsidR="00AB0DDF" w:rsidRPr="003C36B1" w14:paraId="7DC99917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D5C247D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04-KindCoV58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2F0BD8E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575.1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8A4CB05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1402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50D883C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276.3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33044BB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110.9</w:t>
            </w:r>
          </w:p>
        </w:tc>
      </w:tr>
      <w:tr w:rsidR="00AB0DDF" w:rsidRPr="003C36B1" w14:paraId="73D378EA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A02FB6C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04-KindCoV69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F741FA6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950.4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4EEECBC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1250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CFCC270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345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7BC09DF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245.3</w:t>
            </w:r>
          </w:p>
        </w:tc>
      </w:tr>
      <w:tr w:rsidR="00AB0DDF" w:rsidRPr="003C36B1" w14:paraId="096CFBA2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2D29F19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04-KindCoV71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52E3FC0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104.6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A506F0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191.7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AC06E4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127.7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3539AF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20</w:t>
            </w:r>
          </w:p>
        </w:tc>
      </w:tr>
      <w:tr w:rsidR="00AB0DDF" w:rsidRPr="003C36B1" w14:paraId="629D4853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4FE19AB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04-KindCoV72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32B883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251.9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81590AF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526.4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E5C2FDD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101.4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1A50427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52.65</w:t>
            </w:r>
          </w:p>
        </w:tc>
      </w:tr>
      <w:tr w:rsidR="00AB0DDF" w:rsidRPr="003C36B1" w14:paraId="3CE3D1FB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6EC713E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04-KindCoV74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7C1303C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1035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9647066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1323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D38C39C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321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5B5073E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130</w:t>
            </w:r>
          </w:p>
        </w:tc>
      </w:tr>
      <w:tr w:rsidR="00AB0DDF" w:rsidRPr="003C36B1" w14:paraId="3BB4C298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AFB58C9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04-KindCoV75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789DF40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280.1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F4677FD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458.1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D75E14E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67.67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E51303F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20</w:t>
            </w:r>
          </w:p>
        </w:tc>
      </w:tr>
      <w:tr w:rsidR="00AB0DDF" w:rsidRPr="003C36B1" w14:paraId="0E5534B5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09A15AA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04-KindCoV76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23DE96F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128.6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C311686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626.9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239EC4B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43.59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32ADC6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2E901B09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5D3B175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04-KindCoV77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54BCE10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468.2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82D1FB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1513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625A802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237.8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DAB4557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31439CBD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969E8A1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04-KindCoV78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F0E69D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229.3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6FE3E0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29EA134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A9B421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53D2FB57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9E0C89E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04-KindCoV80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F7D139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360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C65588E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319.7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7030B1D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236.1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ACE34F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560</w:t>
            </w:r>
          </w:p>
        </w:tc>
      </w:tr>
      <w:tr w:rsidR="00AB0DDF" w:rsidRPr="003C36B1" w14:paraId="41D3CC67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0010C26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04-KindCoV83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33BFBF4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297.5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F3D739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586.4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38756CC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64.88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A1990C5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45.91</w:t>
            </w:r>
          </w:p>
        </w:tc>
      </w:tr>
      <w:tr w:rsidR="00AB0DDF" w:rsidRPr="003C36B1" w14:paraId="40CF4B78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555688D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04-KindCoV84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898E0F5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221.3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BFAFB0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210.6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67D4E8D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256.4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03B5F9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338.7</w:t>
            </w:r>
          </w:p>
        </w:tc>
      </w:tr>
      <w:tr w:rsidR="00AB0DDF" w:rsidRPr="003C36B1" w14:paraId="535A4933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B8F2118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04-KindCoV94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CF5822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596.1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18E72A0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970.4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0D02BFB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734.5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D341D70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711.1</w:t>
            </w:r>
          </w:p>
        </w:tc>
      </w:tr>
      <w:tr w:rsidR="00AB0DDF" w:rsidRPr="003C36B1" w14:paraId="70A1787F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9B6F894" w14:textId="4098C193" w:rsidR="00AB0DDF" w:rsidRPr="003C36B1" w:rsidRDefault="00A04C94" w:rsidP="00A04C94">
            <w:pPr>
              <w:rPr>
                <w:color w:val="000000"/>
              </w:rPr>
            </w:pPr>
            <w:r w:rsidRPr="003C36B1">
              <w:rPr>
                <w:color w:val="000000"/>
              </w:rPr>
              <w:lastRenderedPageBreak/>
              <w:t xml:space="preserve"> </w:t>
            </w:r>
            <w:r w:rsidR="00AB0DDF" w:rsidRPr="003C36B1">
              <w:rPr>
                <w:color w:val="000000"/>
              </w:rPr>
              <w:t>04-KindCoV98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B6B1172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253.5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589076D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108.1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4EE9F3E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86.49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15FBB4F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27.17</w:t>
            </w:r>
          </w:p>
        </w:tc>
      </w:tr>
      <w:tr w:rsidR="00AB0DDF" w:rsidRPr="003C36B1" w14:paraId="649FD3D2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D98A62E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04-KindCoV103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42C314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468.7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E6ACF9A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173.8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2AB0EE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191919"/>
              </w:rPr>
              <w:t>240.6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7668F9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51.96</w:t>
            </w:r>
          </w:p>
        </w:tc>
      </w:tr>
      <w:tr w:rsidR="00AB0DDF" w:rsidRPr="003C36B1" w14:paraId="1BC0DB32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8E0710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04-CoV297-V001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1E09A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40.86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2747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40.91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A270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F85424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4E5F333D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A5D924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04-CoV300-V001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81AF7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1205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F23E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331.7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0911C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453.7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BAA3F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249</w:t>
            </w:r>
          </w:p>
        </w:tc>
      </w:tr>
      <w:tr w:rsidR="00AB0DDF" w:rsidRPr="003C36B1" w14:paraId="01C115AD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3D8AC5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04-CoV303-V001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178B7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0D374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3CF437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1AB2F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</w:tr>
      <w:tr w:rsidR="00AB0DDF" w:rsidRPr="003C36B1" w14:paraId="12269CF5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693B07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04-CoV310-V001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0A69B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5763A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15817C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559E7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0</w:t>
            </w:r>
          </w:p>
        </w:tc>
      </w:tr>
      <w:tr w:rsidR="00AB0DDF" w:rsidRPr="003C36B1" w14:paraId="24A07EBE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012A8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04-CoV312-V001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8A4F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9CEA1A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CDA99C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08810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</w:tr>
      <w:tr w:rsidR="00AB0DDF" w:rsidRPr="003C36B1" w14:paraId="733C4338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2B09F4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04-CoV315-V001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9A1B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CEB2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60790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D1BB2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1251</w:t>
            </w:r>
          </w:p>
        </w:tc>
      </w:tr>
      <w:tr w:rsidR="00AB0DDF" w:rsidRPr="003C36B1" w14:paraId="67AFBAE4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BA717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04-CoV318-V001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5FEFE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1418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C3FD6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939.2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C91C4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309.6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0B4AA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120.4</w:t>
            </w:r>
          </w:p>
        </w:tc>
      </w:tr>
      <w:tr w:rsidR="00AB0DDF" w:rsidRPr="003C36B1" w14:paraId="07364CFD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1B490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04-CoV265-V003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8DC3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2707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4228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1582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ECC5D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1200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6EC98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1372</w:t>
            </w:r>
          </w:p>
        </w:tc>
      </w:tr>
      <w:tr w:rsidR="00AB0DDF" w:rsidRPr="003C36B1" w14:paraId="7B81C573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342CA6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04-CoV319-V001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A1B29F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E613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1464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F3702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1174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1D8AA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726.1</w:t>
            </w:r>
          </w:p>
        </w:tc>
      </w:tr>
      <w:tr w:rsidR="00AB0DDF" w:rsidRPr="003C36B1" w14:paraId="76C3AD85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0C8DC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04-CoV323-V001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671F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F0CF7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2081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51195A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2137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65F5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1516</w:t>
            </w:r>
          </w:p>
        </w:tc>
      </w:tr>
      <w:tr w:rsidR="00AB0DDF" w:rsidRPr="003C36B1" w14:paraId="62ACDAEA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4B443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04-CoV511 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E44C6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1290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2D725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1654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1458DE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711.8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A21FDB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610.8</w:t>
            </w:r>
          </w:p>
        </w:tc>
      </w:tr>
      <w:tr w:rsidR="00AB0DDF" w:rsidRPr="003C36B1" w14:paraId="7254080B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7325B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04-CoV512 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37D6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48.97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5E1EDF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44.29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33E0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63.9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F9DC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20</w:t>
            </w:r>
          </w:p>
        </w:tc>
      </w:tr>
      <w:tr w:rsidR="00AB0DDF" w:rsidRPr="003C36B1" w14:paraId="3EB073C5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595C5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04-CoV513 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F5F2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C1A0DF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457F14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8E39A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</w:tr>
      <w:tr w:rsidR="00AB0DDF" w:rsidRPr="003C36B1" w14:paraId="4D962EA3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62AD4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04-CoV514 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5CDD4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5E414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1893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BB798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655.9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F2474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</w:tr>
      <w:tr w:rsidR="00AB0DDF" w:rsidRPr="003C36B1" w14:paraId="7ED1C318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7FB69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04-CoV518 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4969B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27946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3386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1508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180702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</w:tr>
      <w:tr w:rsidR="00AB0DDF" w:rsidRPr="003C36B1" w14:paraId="3BDFD38D" w14:textId="77777777" w:rsidTr="00A04C94">
        <w:trPr>
          <w:trHeight w:hRule="exact" w:val="34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67B16" w14:textId="77777777" w:rsidR="00AB0DDF" w:rsidRPr="003C36B1" w:rsidRDefault="00AB0DDF" w:rsidP="00AB0DDF">
            <w:pPr>
              <w:jc w:val="center"/>
              <w:rPr>
                <w:color w:val="000000"/>
              </w:rPr>
            </w:pPr>
            <w:r w:rsidRPr="003C36B1">
              <w:rPr>
                <w:color w:val="000000"/>
              </w:rPr>
              <w:t>04-CoV519 V001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CCF23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2018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434AE1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2560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C796C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978.5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AFC59" w14:textId="77777777" w:rsidR="00AB0DDF" w:rsidRPr="003C36B1" w:rsidRDefault="00AB0DDF" w:rsidP="00AB0DDF">
            <w:pPr>
              <w:jc w:val="center"/>
            </w:pPr>
            <w:r w:rsidRPr="003C36B1">
              <w:rPr>
                <w:color w:val="000000"/>
              </w:rPr>
              <w:t>285.3</w:t>
            </w:r>
          </w:p>
        </w:tc>
      </w:tr>
    </w:tbl>
    <w:p w14:paraId="453FC551" w14:textId="77777777" w:rsidR="00AB0DDF" w:rsidRPr="003C36B1" w:rsidRDefault="00AB0DDF" w:rsidP="00AB0DDF">
      <w:pPr>
        <w:ind w:firstLine="720"/>
        <w:rPr>
          <w:lang w:val="en-US"/>
        </w:rPr>
      </w:pPr>
    </w:p>
    <w:p w14:paraId="728F33F3" w14:textId="3A8193BC" w:rsidR="00AB0DDF" w:rsidRPr="003C36B1" w:rsidRDefault="00AB0DDF" w:rsidP="00AB0DDF">
      <w:pPr>
        <w:tabs>
          <w:tab w:val="left" w:pos="795"/>
        </w:tabs>
        <w:rPr>
          <w:lang w:val="en-US"/>
        </w:rPr>
        <w:sectPr w:rsidR="00AB0DDF" w:rsidRPr="003C36B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3C36B1">
        <w:rPr>
          <w:lang w:val="en-US"/>
        </w:rPr>
        <w:tab/>
      </w:r>
    </w:p>
    <w:p w14:paraId="2EDCA246" w14:textId="5DCF1C3B" w:rsidR="00911BF3" w:rsidRPr="003C36B1" w:rsidRDefault="00911BF3" w:rsidP="00911BF3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00" w:line="360" w:lineRule="auto"/>
        <w:jc w:val="both"/>
        <w:rPr>
          <w:rFonts w:ascii="Times New Roman" w:eastAsia="Arial" w:hAnsi="Times New Roman" w:cs="Times New Roman"/>
          <w:b/>
          <w:bCs/>
          <w:lang w:val="en-US"/>
        </w:rPr>
      </w:pPr>
      <w:r w:rsidRPr="003C36B1">
        <w:rPr>
          <w:rFonts w:ascii="Times New Roman" w:eastAsia="Arial" w:hAnsi="Times New Roman" w:cs="Times New Roman"/>
          <w:b/>
          <w:bCs/>
          <w:noProof/>
          <w:lang w:eastAsia="de-DE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30654447" wp14:editId="74C44FC8">
            <wp:extent cx="5731510" cy="4265930"/>
            <wp:effectExtent l="0" t="0" r="0" b="1270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69DE5" w14:textId="4D8A785E" w:rsidR="00911BF3" w:rsidRPr="003C36B1" w:rsidRDefault="00911BF3" w:rsidP="00911BF3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00" w:line="360" w:lineRule="auto"/>
        <w:jc w:val="both"/>
        <w:rPr>
          <w:rFonts w:ascii="Times New Roman" w:eastAsia="Arial" w:hAnsi="Times New Roman" w:cs="Times New Roman"/>
          <w:lang w:val="en-US"/>
        </w:rPr>
      </w:pPr>
      <w:r w:rsidRPr="003C36B1">
        <w:rPr>
          <w:rFonts w:ascii="Times New Roman" w:eastAsia="Arial" w:hAnsi="Times New Roman" w:cs="Times New Roman"/>
          <w:b/>
          <w:bCs/>
          <w:lang w:val="en-US"/>
        </w:rPr>
        <w:t>Figure S1. Flow cytometry gating strategy for identification and quantification of SARS-CoV-2 reactive T cells.</w:t>
      </w:r>
      <w:r w:rsidRPr="003C36B1">
        <w:rPr>
          <w:rFonts w:ascii="Times New Roman" w:eastAsia="Arial" w:hAnsi="Times New Roman" w:cs="Times New Roman"/>
          <w:lang w:val="en-US"/>
        </w:rPr>
        <w:t xml:space="preserve"> PBMCs were stimulated for 16 h with one of the following: </w:t>
      </w:r>
      <w:r w:rsidRPr="003C36B1">
        <w:rPr>
          <w:rFonts w:ascii="Times New Roman" w:eastAsia="Times New Roman" w:hAnsi="Times New Roman" w:cs="Times New Roman"/>
          <w:color w:val="auto"/>
          <w:bdr w:val="none" w:sz="0" w:space="0" w:color="auto"/>
          <w:lang w:val="en-US"/>
        </w:rPr>
        <w:t>the pool of B1.617.2 (delta) Spike mutant peptides (</w:t>
      </w:r>
      <w:r w:rsidRPr="003C36B1">
        <w:rPr>
          <w:rFonts w:ascii="Times New Roman" w:hAnsi="Times New Roman" w:cs="Times New Roman"/>
          <w:color w:val="auto"/>
          <w:u w:color="000000"/>
          <w:lang w:val="en-US"/>
        </w:rPr>
        <w:t xml:space="preserve">Miltenyi Biotec), their reference pool of peptides (Miltenyi Biotec), </w:t>
      </w:r>
      <w:r w:rsidRPr="003C36B1">
        <w:rPr>
          <w:rFonts w:ascii="Times New Roman" w:eastAsia="Times New Roman" w:hAnsi="Times New Roman" w:cs="Times New Roman"/>
          <w:color w:val="auto"/>
          <w:bdr w:val="none" w:sz="0" w:space="0" w:color="auto"/>
          <w:lang w:val="en-US"/>
        </w:rPr>
        <w:t>the pool of B.1.1529 (omicron) Spike mutant peptides (</w:t>
      </w:r>
      <w:r w:rsidRPr="003C36B1">
        <w:rPr>
          <w:rFonts w:ascii="Times New Roman" w:hAnsi="Times New Roman" w:cs="Times New Roman"/>
          <w:color w:val="auto"/>
          <w:u w:color="000000"/>
          <w:lang w:val="en-US"/>
        </w:rPr>
        <w:t xml:space="preserve">Miltenyi Biotec), their reference pool of peptides (Miltenyi Biotec), the complete sequence </w:t>
      </w:r>
      <w:r w:rsidRPr="003C36B1">
        <w:rPr>
          <w:rFonts w:ascii="Times New Roman" w:eastAsia="Times New Roman" w:hAnsi="Times New Roman" w:cs="Times New Roman"/>
          <w:color w:val="auto"/>
          <w:bdr w:val="none" w:sz="0" w:space="0" w:color="auto"/>
          <w:lang w:val="en-US"/>
        </w:rPr>
        <w:t>WT S-protein</w:t>
      </w:r>
      <w:r w:rsidRPr="003C36B1">
        <w:rPr>
          <w:rFonts w:ascii="Times New Roman" w:hAnsi="Times New Roman" w:cs="Times New Roman"/>
          <w:color w:val="auto"/>
          <w:u w:color="000000"/>
          <w:lang w:val="en-US"/>
        </w:rPr>
        <w:t xml:space="preserve"> (Miltenyi Biotec) or left untreated as a control.</w:t>
      </w:r>
      <w:r w:rsidRPr="003C36B1">
        <w:rPr>
          <w:rFonts w:ascii="Times New Roman" w:eastAsia="Arial" w:hAnsi="Times New Roman" w:cs="Times New Roman"/>
          <w:lang w:val="en-US"/>
        </w:rPr>
        <w:t xml:space="preserve"> Living single lymphocytes were analyzed for expression of CD3, CD4, and CD8. CD4+ T cells (orange boxes) were analyzed for the expression of CD154 and CD137. CD8+ T cells (blue boxes) were analyzed for expression of CD137. Both CD4+ and CD8+ T cells were further analyzed for the production of cytokines IFNγ, TNFα, IL2 and GrB. Evaluation of the memory subsets was performed using the markers CCR7 and CD45RA (T</w:t>
      </w:r>
      <w:r w:rsidRPr="003C36B1">
        <w:rPr>
          <w:rFonts w:ascii="Times New Roman" w:eastAsia="Arial" w:hAnsi="Times New Roman" w:cs="Times New Roman"/>
          <w:vertAlign w:val="subscript"/>
          <w:lang w:val="en-US"/>
        </w:rPr>
        <w:t>CM</w:t>
      </w:r>
      <w:r w:rsidRPr="003C36B1">
        <w:rPr>
          <w:rFonts w:ascii="Times New Roman" w:eastAsia="Arial" w:hAnsi="Times New Roman" w:cs="Times New Roman"/>
          <w:lang w:val="en-US"/>
        </w:rPr>
        <w:t>=CD45RA-CCR7+, T</w:t>
      </w:r>
      <w:r w:rsidRPr="003C36B1">
        <w:rPr>
          <w:rFonts w:ascii="Times New Roman" w:eastAsia="Arial" w:hAnsi="Times New Roman" w:cs="Times New Roman"/>
          <w:vertAlign w:val="subscript"/>
          <w:lang w:val="en-US"/>
        </w:rPr>
        <w:t>NAIVE</w:t>
      </w:r>
      <w:r w:rsidRPr="003C36B1">
        <w:rPr>
          <w:rFonts w:ascii="Times New Roman" w:eastAsia="Arial" w:hAnsi="Times New Roman" w:cs="Times New Roman"/>
          <w:lang w:val="en-US"/>
        </w:rPr>
        <w:t>=CD45RA+CCR7+, T</w:t>
      </w:r>
      <w:r w:rsidRPr="003C36B1">
        <w:rPr>
          <w:rFonts w:ascii="Times New Roman" w:eastAsia="Arial" w:hAnsi="Times New Roman" w:cs="Times New Roman"/>
          <w:vertAlign w:val="subscript"/>
          <w:lang w:val="en-US"/>
        </w:rPr>
        <w:t>EM</w:t>
      </w:r>
      <w:r w:rsidRPr="003C36B1">
        <w:rPr>
          <w:rFonts w:ascii="Times New Roman" w:eastAsia="Arial" w:hAnsi="Times New Roman" w:cs="Times New Roman"/>
          <w:lang w:val="en-US"/>
        </w:rPr>
        <w:t>=CD45RA-CCR7- T</w:t>
      </w:r>
      <w:r w:rsidRPr="003C36B1">
        <w:rPr>
          <w:rFonts w:ascii="Times New Roman" w:eastAsia="Arial" w:hAnsi="Times New Roman" w:cs="Times New Roman"/>
          <w:vertAlign w:val="subscript"/>
          <w:lang w:val="en-US"/>
        </w:rPr>
        <w:t>EMRA</w:t>
      </w:r>
      <w:r w:rsidRPr="003C36B1">
        <w:rPr>
          <w:rFonts w:ascii="Times New Roman" w:eastAsia="Arial" w:hAnsi="Times New Roman" w:cs="Times New Roman"/>
          <w:lang w:val="en-US"/>
        </w:rPr>
        <w:t>=CD45RA+CCR7-). Furthermore, CD4+CD154+CD137+, CD8+CD137+ and cells were analyzed for the expression of CD3low. Representative example of 32 convalescent children and 34 convalescent adults. Plots of a pediatric study subject are depicted.</w:t>
      </w:r>
    </w:p>
    <w:p w14:paraId="54389134" w14:textId="77777777" w:rsidR="00F25797" w:rsidRPr="003C36B1" w:rsidRDefault="00F25797" w:rsidP="00911BF3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00" w:line="360" w:lineRule="auto"/>
        <w:jc w:val="both"/>
        <w:rPr>
          <w:rFonts w:ascii="Times New Roman" w:eastAsia="Arial" w:hAnsi="Times New Roman" w:cs="Times New Roman"/>
          <w:lang w:val="en-US"/>
        </w:rPr>
      </w:pPr>
    </w:p>
    <w:p w14:paraId="1534FC13" w14:textId="77777777" w:rsidR="00F25797" w:rsidRPr="003C36B1" w:rsidRDefault="00F25797" w:rsidP="00F25797">
      <w:pPr>
        <w:pStyle w:val="Body"/>
        <w:spacing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</w:pPr>
    </w:p>
    <w:p w14:paraId="069999A4" w14:textId="572D8CC0" w:rsidR="00F25797" w:rsidRPr="003C36B1" w:rsidRDefault="00F25797" w:rsidP="00F25797">
      <w:pPr>
        <w:pStyle w:val="Body"/>
        <w:spacing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</w:pPr>
      <w:r w:rsidRPr="003C36B1"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de-DE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5F444B64" wp14:editId="11BEF377">
            <wp:extent cx="5731510" cy="4336415"/>
            <wp:effectExtent l="0" t="0" r="0" b="0"/>
            <wp:docPr id="3" name="Picture 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phical user inte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E530A" w14:textId="6849C256" w:rsidR="00F25797" w:rsidRPr="003C36B1" w:rsidRDefault="00F25797" w:rsidP="00F25797">
      <w:pPr>
        <w:pStyle w:val="Body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3C36B1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t>Figure S2.</w:t>
      </w:r>
      <w:r w:rsidRPr="003C36B1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="004A727A" w:rsidRPr="003C36B1">
        <w:rPr>
          <w:rFonts w:ascii="Times New Roman" w:hAnsi="Times New Roman" w:cs="Times New Roman"/>
          <w:b/>
          <w:bCs/>
          <w:lang w:val="en-US"/>
        </w:rPr>
        <w:t>A</w:t>
      </w:r>
      <w:r w:rsidRPr="003C36B1">
        <w:rPr>
          <w:rFonts w:ascii="Times New Roman" w:hAnsi="Times New Roman" w:cs="Times New Roman"/>
          <w:b/>
          <w:bCs/>
          <w:lang w:val="en-US"/>
        </w:rPr>
        <w:t xml:space="preserve">nalysis of SARS-CoV-2 specific T cell frequencies </w:t>
      </w:r>
      <w:r w:rsidR="004A727A" w:rsidRPr="003C36B1">
        <w:rPr>
          <w:rFonts w:ascii="Times New Roman" w:hAnsi="Times New Roman" w:cs="Times New Roman"/>
          <w:b/>
          <w:bCs/>
          <w:lang w:val="en-US"/>
        </w:rPr>
        <w:t>in</w:t>
      </w:r>
      <w:r w:rsidRPr="003C36B1">
        <w:rPr>
          <w:rFonts w:ascii="Times New Roman" w:hAnsi="Times New Roman" w:cs="Times New Roman"/>
          <w:b/>
          <w:bCs/>
          <w:lang w:val="en-US"/>
        </w:rPr>
        <w:t xml:space="preserve"> pediatric subjects with known convalescent duration</w:t>
      </w:r>
      <w:r w:rsidR="00035541" w:rsidRPr="003C36B1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035541" w:rsidRPr="003C36B1">
        <w:rPr>
          <w:rFonts w:ascii="Times New Roman" w:hAnsi="Times New Roman" w:cs="Times New Roman"/>
          <w:lang w:val="en-US"/>
        </w:rPr>
        <w:t>Re-analysis</w:t>
      </w:r>
      <w:r w:rsidR="00035541" w:rsidRPr="003C36B1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of SARS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noBreakHyphen/>
        <w:t xml:space="preserve">CoV-2 Spike-reactive T cells </w:t>
      </w:r>
      <w:proofErr w:type="gramStart"/>
      <w:r w:rsidR="004A727A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was</w:t>
      </w:r>
      <w:proofErr w:type="gramEnd"/>
      <w:r w:rsidR="004A727A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 performed 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in pediatric subjects </w:t>
      </w:r>
      <w:r w:rsidR="004A727A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excluding patients 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with </w:t>
      </w:r>
      <w:r w:rsidR="004A727A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un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known convalescent duration. (A) Frequencies of WT-, delta- and omicron-reactive CD4+ T cells. (B) </w:t>
      </w:r>
      <w:r w:rsidR="00035541" w:rsidRPr="003C36B1">
        <w:rPr>
          <w:rFonts w:ascii="Times New Roman" w:hAnsi="Times New Roman" w:cs="Times New Roman"/>
          <w:lang w:val="en-US"/>
        </w:rPr>
        <w:t xml:space="preserve">Avidity of SARS-CoV-2 Spike-reactive T cells as defined by determining 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the CD3low+ cells among CD4+CD154+CD137+ and CD8+CD137+ cells. Frequencies of WT-, delta- and omicron-reactive CD4+CD3low+ T cells are depicted. (C) Frequencies of WT-, delta- and omicron-reactive CD8+ T cells. SARS-CoV-2 Spike-reactive CD4+ and CD8+ T cells are defined as CD4+CD154+CD137+ and CD8+CD137+ cells, respectively.  </w:t>
      </w:r>
      <w:r w:rsidR="00035541" w:rsidRPr="003C36B1">
        <w:rPr>
          <w:rFonts w:ascii="Times New Roman" w:hAnsi="Times New Roman" w:cs="Times New Roman"/>
          <w:color w:val="auto"/>
          <w:u w:color="000000"/>
          <w:lang w:val="en-US"/>
        </w:rPr>
        <w:t>Antigen-reactive responses were considered positive after the non-reactive background was subtracted, and more than 0.01% were detectable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="00035541" w:rsidRPr="003C36B1">
        <w:rPr>
          <w:rFonts w:ascii="Times New Roman" w:hAnsi="Times New Roman" w:cs="Times New Roman"/>
          <w:lang w:val="en-US"/>
        </w:rPr>
        <w:t>Scatterplots show line at median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. Unpaired data were compared with Mann-Whitney-test. P&lt;0.05 was considered significant, only significant p values are documented in the figures.</w:t>
      </w:r>
    </w:p>
    <w:p w14:paraId="1DBC4B3A" w14:textId="5B9EA3C5" w:rsidR="00F25797" w:rsidRPr="003C36B1" w:rsidRDefault="00F25797" w:rsidP="00F25797">
      <w:pPr>
        <w:pStyle w:val="Body"/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3C36B1"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de-DE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6FFDA324" wp14:editId="70688F77">
            <wp:extent cx="4508500" cy="3848100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C4AEA" w14:textId="453301B7" w:rsidR="00F25797" w:rsidRPr="003C36B1" w:rsidRDefault="00F25797" w:rsidP="00F25797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00" w:line="360" w:lineRule="auto"/>
        <w:jc w:val="both"/>
        <w:rPr>
          <w:rFonts w:ascii="Times New Roman" w:hAnsi="Times New Roman" w:cs="Times New Roman"/>
          <w:lang w:val="en-US"/>
        </w:rPr>
      </w:pPr>
      <w:r w:rsidRPr="003C36B1">
        <w:rPr>
          <w:rFonts w:ascii="Times New Roman" w:eastAsia="Arial" w:hAnsi="Times New Roman" w:cs="Times New Roman"/>
          <w:b/>
          <w:bCs/>
          <w:lang w:val="en-US"/>
        </w:rPr>
        <w:t>Figure S3.</w:t>
      </w:r>
      <w:r w:rsidRPr="003C36B1">
        <w:rPr>
          <w:rFonts w:ascii="Times New Roman" w:eastAsia="Arial" w:hAnsi="Times New Roman" w:cs="Times New Roman"/>
          <w:lang w:val="en-US"/>
        </w:rPr>
        <w:t xml:space="preserve"> </w:t>
      </w:r>
      <w:r w:rsidR="004A727A" w:rsidRPr="003C36B1">
        <w:rPr>
          <w:rFonts w:ascii="Times New Roman" w:hAnsi="Times New Roman" w:cs="Times New Roman"/>
          <w:b/>
          <w:bCs/>
          <w:lang w:val="en-US"/>
        </w:rPr>
        <w:t>A</w:t>
      </w:r>
      <w:r w:rsidRPr="003C36B1">
        <w:rPr>
          <w:rFonts w:ascii="Times New Roman" w:hAnsi="Times New Roman" w:cs="Times New Roman"/>
          <w:b/>
          <w:bCs/>
          <w:lang w:val="en-US"/>
        </w:rPr>
        <w:t xml:space="preserve">nalysis of NAb titers </w:t>
      </w:r>
      <w:r w:rsidR="004A727A" w:rsidRPr="003C36B1">
        <w:rPr>
          <w:rFonts w:ascii="Times New Roman" w:hAnsi="Times New Roman" w:cs="Times New Roman"/>
          <w:b/>
          <w:bCs/>
          <w:lang w:val="en-US"/>
        </w:rPr>
        <w:t xml:space="preserve">in </w:t>
      </w:r>
      <w:r w:rsidRPr="003C36B1">
        <w:rPr>
          <w:rFonts w:ascii="Times New Roman" w:hAnsi="Times New Roman" w:cs="Times New Roman"/>
          <w:b/>
          <w:bCs/>
          <w:lang w:val="en-US"/>
        </w:rPr>
        <w:t xml:space="preserve">pediatric subjects with known convalescent duration. </w:t>
      </w:r>
      <w:r w:rsidRPr="003C36B1">
        <w:rPr>
          <w:rFonts w:ascii="Times New Roman" w:hAnsi="Times New Roman" w:cs="Times New Roman"/>
          <w:lang w:val="en-US"/>
        </w:rPr>
        <w:t xml:space="preserve">Re-analysis of WT, alpha, </w:t>
      </w:r>
      <w:proofErr w:type="gramStart"/>
      <w:r w:rsidRPr="003C36B1">
        <w:rPr>
          <w:rFonts w:ascii="Times New Roman" w:hAnsi="Times New Roman" w:cs="Times New Roman"/>
          <w:lang w:val="en-US"/>
        </w:rPr>
        <w:t>delta</w:t>
      </w:r>
      <w:proofErr w:type="gramEnd"/>
      <w:r w:rsidRPr="003C36B1">
        <w:rPr>
          <w:rFonts w:ascii="Times New Roman" w:hAnsi="Times New Roman" w:cs="Times New Roman"/>
          <w:lang w:val="en-US"/>
        </w:rPr>
        <w:t xml:space="preserve"> and omicron NAbs titers via pseudovirus neutralization assay </w:t>
      </w:r>
      <w:r w:rsidR="004A727A" w:rsidRPr="003C36B1">
        <w:rPr>
          <w:rFonts w:ascii="Times New Roman" w:hAnsi="Times New Roman" w:cs="Times New Roman"/>
          <w:lang w:val="en-US"/>
        </w:rPr>
        <w:t xml:space="preserve">was performed in pediatric patients </w:t>
      </w:r>
      <w:r w:rsidRPr="003C36B1">
        <w:rPr>
          <w:rFonts w:ascii="Times New Roman" w:hAnsi="Times New Roman" w:cs="Times New Roman"/>
          <w:lang w:val="en-US"/>
        </w:rPr>
        <w:t xml:space="preserve">excluding subjects with unknown convalescent time. </w:t>
      </w:r>
      <w:r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Unpaired data were compared with Mann-Whitney-test. P&lt;0.05 was considered significant, only significant p values are documented in the figures.</w:t>
      </w:r>
    </w:p>
    <w:p w14:paraId="7FD22404" w14:textId="1B82F1CA" w:rsidR="00F25797" w:rsidRPr="003C36B1" w:rsidRDefault="00F25797" w:rsidP="00F25797">
      <w:pPr>
        <w:pStyle w:val="Body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F6A6D66" w14:textId="10F3D2E6" w:rsidR="00F25797" w:rsidRPr="003C36B1" w:rsidRDefault="00F25797" w:rsidP="00F25797">
      <w:pPr>
        <w:pStyle w:val="Body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4EE8A28" w14:textId="77777777" w:rsidR="00F25797" w:rsidRPr="003C36B1" w:rsidRDefault="00F25797" w:rsidP="00F25797">
      <w:pPr>
        <w:pStyle w:val="Body"/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75683B9D" w14:textId="78B12BD1" w:rsidR="00F25797" w:rsidRPr="003C36B1" w:rsidRDefault="00F25797" w:rsidP="00F25797">
      <w:pPr>
        <w:pStyle w:val="Body"/>
        <w:spacing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</w:pPr>
      <w:r w:rsidRPr="003C36B1"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de-DE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06B9C2BA" wp14:editId="2E17F2B7">
            <wp:extent cx="5731510" cy="4235450"/>
            <wp:effectExtent l="0" t="0" r="0" b="0"/>
            <wp:docPr id="4" name="Picture 4" descr="A screenshot of a computer scre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 screen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70059" w14:textId="42673C08" w:rsidR="00035541" w:rsidRPr="002D32EC" w:rsidRDefault="00F25797" w:rsidP="00035541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0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3C36B1">
        <w:rPr>
          <w:rFonts w:ascii="Times New Roman" w:eastAsia="Arial" w:hAnsi="Times New Roman" w:cs="Times New Roman"/>
          <w:b/>
          <w:bCs/>
          <w:lang w:val="en-US"/>
        </w:rPr>
        <w:t xml:space="preserve">Figure S4. </w:t>
      </w:r>
      <w:r w:rsidR="004A727A" w:rsidRPr="003C36B1">
        <w:rPr>
          <w:rFonts w:ascii="Times New Roman" w:eastAsia="Arial" w:hAnsi="Times New Roman" w:cs="Times New Roman"/>
          <w:b/>
          <w:bCs/>
          <w:lang w:val="en-US"/>
        </w:rPr>
        <w:t xml:space="preserve">Comparison  between C+V+ </w:t>
      </w:r>
      <w:r w:rsidR="00021CDB">
        <w:rPr>
          <w:rFonts w:ascii="Times New Roman" w:eastAsia="Arial" w:hAnsi="Times New Roman" w:cs="Times New Roman"/>
          <w:b/>
          <w:bCs/>
          <w:lang w:val="en-US"/>
        </w:rPr>
        <w:t xml:space="preserve">adults </w:t>
      </w:r>
      <w:r w:rsidR="004A727A" w:rsidRPr="003C36B1">
        <w:rPr>
          <w:rFonts w:ascii="Times New Roman" w:eastAsia="Arial" w:hAnsi="Times New Roman" w:cs="Times New Roman"/>
          <w:b/>
          <w:bCs/>
          <w:lang w:val="en-US"/>
        </w:rPr>
        <w:t>and children in subjects with</w:t>
      </w:r>
      <w:r w:rsidR="00021CDB">
        <w:rPr>
          <w:rFonts w:ascii="Times New Roman" w:eastAsia="Arial" w:hAnsi="Times New Roman" w:cs="Times New Roman"/>
          <w:b/>
          <w:bCs/>
          <w:lang w:val="en-US"/>
        </w:rPr>
        <w:t xml:space="preserve"> </w:t>
      </w:r>
      <w:r w:rsidRPr="003C36B1">
        <w:rPr>
          <w:rFonts w:ascii="Times New Roman" w:hAnsi="Times New Roman" w:cs="Times New Roman"/>
          <w:b/>
          <w:bCs/>
          <w:lang w:val="en-US"/>
        </w:rPr>
        <w:t>known convalescent duration</w:t>
      </w:r>
      <w:r w:rsidR="00035541" w:rsidRPr="003C36B1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Comparison of SARS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noBreakHyphen/>
        <w:t xml:space="preserve">CoV-2 S-reactive T cells among C+V+ adults and children </w:t>
      </w:r>
      <w:r w:rsidR="004A727A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was performed after subjects with unknown 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convalescent duration</w:t>
      </w:r>
      <w:r w:rsidR="004A727A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 were excluded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. (A) Frequencies of WT-, delta- and omicron-reactive CD4+ T cells among children and C+V+. (B) Frequencies of WT-, delta- and omicron-reactive CD4+CD3low+ T cells. (C) Frequencies of WT-, delta- and omicron-reactive CD8+ T cells. (D) Frequencies of WT-, delta- and omicron-reactive CD8+CD3low+ T cells. SARS-CoV-2 S-reactive CD4+ and CD8+ T cells are defined as CD4+CD154+CD137+ and CD8+CD137+ cells respectively.  </w:t>
      </w:r>
      <w:r w:rsidR="00035541" w:rsidRPr="003C36B1">
        <w:rPr>
          <w:rFonts w:ascii="Times New Roman" w:hAnsi="Times New Roman" w:cs="Times New Roman"/>
          <w:color w:val="auto"/>
          <w:u w:color="000000"/>
          <w:lang w:val="en-US"/>
        </w:rPr>
        <w:t>Antigen-reactive responses were considered positive after the non-reactive background was subtracted, and more than 0.01% were detectable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="00035541" w:rsidRPr="003C36B1">
        <w:rPr>
          <w:rFonts w:ascii="Times New Roman" w:hAnsi="Times New Roman" w:cs="Times New Roman"/>
          <w:lang w:val="en-US"/>
        </w:rPr>
        <w:t>Scatterplots show line at median</w:t>
      </w:r>
      <w:r w:rsidR="00035541" w:rsidRPr="003C36B1">
        <w:rPr>
          <w:rFonts w:ascii="Times New Roman" w:eastAsia="Arial" w:hAnsi="Times New Roman" w:cs="Times New Roman"/>
          <w:color w:val="auto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. Unpaired data were compared with Mann-Whitney-test. P&lt;0.05 was considered significant, only significant p values are documented in the figures.</w:t>
      </w:r>
    </w:p>
    <w:p w14:paraId="3BBC9AC6" w14:textId="6CD50C34" w:rsidR="00F25797" w:rsidRDefault="00F25797" w:rsidP="00F25797">
      <w:pPr>
        <w:pStyle w:val="Body"/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4E74D7C3" w14:textId="77777777" w:rsidR="00F25797" w:rsidRDefault="00F25797" w:rsidP="00911BF3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00" w:line="360" w:lineRule="auto"/>
        <w:jc w:val="both"/>
        <w:rPr>
          <w:rFonts w:ascii="Times New Roman" w:eastAsia="Arial" w:hAnsi="Times New Roman" w:cs="Times New Roman"/>
          <w:lang w:val="en-US"/>
        </w:rPr>
      </w:pPr>
    </w:p>
    <w:p w14:paraId="78C9FE21" w14:textId="77777777" w:rsidR="00ED40F1" w:rsidRPr="00911BF3" w:rsidRDefault="00ED40F1">
      <w:pPr>
        <w:rPr>
          <w:lang w:val="en-US"/>
        </w:rPr>
      </w:pPr>
    </w:p>
    <w:sectPr w:rsidR="00ED40F1" w:rsidRPr="00911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BF3"/>
    <w:rsid w:val="00021CDB"/>
    <w:rsid w:val="00035541"/>
    <w:rsid w:val="00170220"/>
    <w:rsid w:val="003C36B1"/>
    <w:rsid w:val="003D65D0"/>
    <w:rsid w:val="004A727A"/>
    <w:rsid w:val="004E4823"/>
    <w:rsid w:val="006A70CD"/>
    <w:rsid w:val="00721C71"/>
    <w:rsid w:val="008B3C0C"/>
    <w:rsid w:val="00911BF3"/>
    <w:rsid w:val="00930106"/>
    <w:rsid w:val="00937A47"/>
    <w:rsid w:val="00A04C94"/>
    <w:rsid w:val="00A5115F"/>
    <w:rsid w:val="00AB0DDF"/>
    <w:rsid w:val="00C91EC2"/>
    <w:rsid w:val="00E64E0E"/>
    <w:rsid w:val="00ED40F1"/>
    <w:rsid w:val="00F2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5330C2"/>
  <w15:chartTrackingRefBased/>
  <w15:docId w15:val="{D12FF583-FA80-1347-BB50-5512F3A7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BF3"/>
    <w:rPr>
      <w:rFonts w:ascii="Times New Roman" w:eastAsia="Times New Roman" w:hAnsi="Times New Roman" w:cs="Times New Roman"/>
      <w:lang w:val="de-D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1BF3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val="de-DE" w:eastAsia="en-GB"/>
      <w14:textOutline w14:w="0" w14:cap="flat" w14:cmpd="sng" w14:algn="ctr">
        <w14:noFill/>
        <w14:prstDash w14:val="solid"/>
        <w14:bevel/>
      </w14:textOutline>
    </w:rPr>
  </w:style>
  <w:style w:type="table" w:customStyle="1" w:styleId="table">
    <w:name w:val="table"/>
    <w:rsid w:val="00911BF3"/>
    <w:rPr>
      <w:rFonts w:ascii="Segoe UI" w:eastAsia="Segoe UI" w:hAnsi="Segoe UI" w:cs="Segoe UI"/>
      <w:sz w:val="20"/>
      <w:szCs w:val="20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911BF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de-DE" w:eastAsia="en-GB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AB0DDF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6A70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0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0CD"/>
    <w:rPr>
      <w:rFonts w:ascii="Times New Roman" w:eastAsia="Times New Roman" w:hAnsi="Times New Roman" w:cs="Times New Roman"/>
      <w:sz w:val="20"/>
      <w:szCs w:val="20"/>
      <w:lang w:val="de-DE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0CD"/>
    <w:rPr>
      <w:rFonts w:ascii="Times New Roman" w:eastAsia="Times New Roman" w:hAnsi="Times New Roman" w:cs="Times New Roman"/>
      <w:b/>
      <w:bCs/>
      <w:sz w:val="20"/>
      <w:szCs w:val="20"/>
      <w:lang w:val="de-DE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0CD"/>
    <w:rPr>
      <w:rFonts w:ascii="Segoe UI" w:eastAsia="Times New Roman" w:hAnsi="Segoe UI" w:cs="Segoe UI"/>
      <w:sz w:val="18"/>
      <w:szCs w:val="18"/>
      <w:lang w:val="de-D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8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980</Words>
  <Characters>5589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Krystallenia Paniskaki</dc:creator>
  <cp:keywords/>
  <dc:description/>
  <cp:lastModifiedBy>Krystallenia Paniskaki</cp:lastModifiedBy>
  <cp:revision>6</cp:revision>
  <cp:lastPrinted>2023-03-20T18:08:00Z</cp:lastPrinted>
  <dcterms:created xsi:type="dcterms:W3CDTF">2023-03-20T18:08:00Z</dcterms:created>
  <dcterms:modified xsi:type="dcterms:W3CDTF">2023-05-21T09:21:00Z</dcterms:modified>
</cp:coreProperties>
</file>