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3232D8" w14:textId="5A33B015" w:rsidR="00BA4851" w:rsidRPr="004B7D51" w:rsidRDefault="00BA4851" w:rsidP="004B7D51">
      <w:pPr>
        <w:spacing w:line="276" w:lineRule="auto"/>
        <w:jc w:val="center"/>
        <w:rPr>
          <w:rFonts w:eastAsia="等线" w:cs="Times New Roman"/>
          <w:b/>
          <w:sz w:val="22"/>
          <w:szCs w:val="22"/>
        </w:rPr>
      </w:pPr>
      <w:r w:rsidRPr="004B7D51">
        <w:rPr>
          <w:rFonts w:cs="Times New Roman"/>
          <w:noProof/>
          <w:sz w:val="22"/>
          <w:szCs w:val="22"/>
        </w:rPr>
        <w:drawing>
          <wp:inline distT="0" distB="0" distL="0" distR="0" wp14:anchorId="0BF70DF8" wp14:editId="30D769D4">
            <wp:extent cx="5274310" cy="493903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274310" cy="4939030"/>
                    </a:xfrm>
                    <a:prstGeom prst="rect">
                      <a:avLst/>
                    </a:prstGeom>
                  </pic:spPr>
                </pic:pic>
              </a:graphicData>
            </a:graphic>
          </wp:inline>
        </w:drawing>
      </w:r>
    </w:p>
    <w:p w14:paraId="772D271B" w14:textId="6EA9DE8C" w:rsidR="00482A25" w:rsidRPr="004B7D51" w:rsidRDefault="00BA4851" w:rsidP="004B7D51">
      <w:pPr>
        <w:spacing w:line="276" w:lineRule="auto"/>
        <w:rPr>
          <w:rFonts w:eastAsia="等线" w:cs="Times New Roman"/>
          <w:sz w:val="22"/>
          <w:szCs w:val="22"/>
        </w:rPr>
      </w:pPr>
      <w:r w:rsidRPr="004B7D51">
        <w:rPr>
          <w:rFonts w:eastAsia="宋体" w:cs="Times New Roman"/>
          <w:b/>
          <w:bCs/>
          <w:sz w:val="22"/>
          <w:szCs w:val="22"/>
        </w:rPr>
        <w:t>Fig. S1.</w:t>
      </w:r>
      <w:r w:rsidRPr="004B7D51">
        <w:rPr>
          <w:rFonts w:eastAsia="宋体" w:cs="Times New Roman"/>
          <w:sz w:val="22"/>
          <w:szCs w:val="22"/>
        </w:rPr>
        <w:t xml:space="preserve"> (A) Differential expression of PTPNs in human </w:t>
      </w:r>
      <w:proofErr w:type="spellStart"/>
      <w:r w:rsidRPr="004B7D51">
        <w:rPr>
          <w:rFonts w:eastAsia="宋体" w:cs="Times New Roman"/>
          <w:sz w:val="22"/>
          <w:szCs w:val="22"/>
        </w:rPr>
        <w:t>Oncomine</w:t>
      </w:r>
      <w:proofErr w:type="spellEnd"/>
      <w:r w:rsidRPr="004B7D51">
        <w:rPr>
          <w:rFonts w:eastAsia="宋体" w:cs="Times New Roman"/>
          <w:sz w:val="22"/>
          <w:szCs w:val="22"/>
        </w:rPr>
        <w:t xml:space="preserve"> datasets. (B-D) Differential expression of PTPNs among clinical stage, pathologic stage, and subtypes.</w:t>
      </w:r>
      <w:r w:rsidR="00482A25" w:rsidRPr="004B7D51">
        <w:rPr>
          <w:rFonts w:eastAsia="等线" w:cs="Times New Roman"/>
          <w:b/>
          <w:sz w:val="22"/>
          <w:szCs w:val="22"/>
        </w:rPr>
        <w:br w:type="page"/>
      </w:r>
    </w:p>
    <w:p w14:paraId="48424F1B" w14:textId="75B740B8" w:rsidR="00BA4851" w:rsidRPr="004B7D51" w:rsidRDefault="00482A25" w:rsidP="004B7D51">
      <w:pPr>
        <w:spacing w:line="276" w:lineRule="auto"/>
        <w:jc w:val="center"/>
        <w:rPr>
          <w:rFonts w:eastAsia="等线" w:cs="Times New Roman"/>
          <w:b/>
          <w:sz w:val="22"/>
          <w:szCs w:val="22"/>
        </w:rPr>
      </w:pPr>
      <w:r w:rsidRPr="004B7D51">
        <w:rPr>
          <w:rFonts w:cs="Times New Roman"/>
          <w:noProof/>
          <w:sz w:val="22"/>
          <w:szCs w:val="22"/>
        </w:rPr>
        <w:lastRenderedPageBreak/>
        <w:drawing>
          <wp:inline distT="0" distB="0" distL="0" distR="0" wp14:anchorId="123ACF74" wp14:editId="35CBF96F">
            <wp:extent cx="4615775" cy="7050922"/>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627672" cy="7069095"/>
                    </a:xfrm>
                    <a:prstGeom prst="rect">
                      <a:avLst/>
                    </a:prstGeom>
                  </pic:spPr>
                </pic:pic>
              </a:graphicData>
            </a:graphic>
          </wp:inline>
        </w:drawing>
      </w:r>
    </w:p>
    <w:p w14:paraId="3BF4B31E" w14:textId="53BFEA03" w:rsidR="00482A25" w:rsidRPr="004B7D51" w:rsidRDefault="00482A25" w:rsidP="004B7D51">
      <w:pPr>
        <w:spacing w:line="276" w:lineRule="auto"/>
        <w:rPr>
          <w:rFonts w:eastAsia="等线" w:cs="Times New Roman"/>
          <w:sz w:val="22"/>
          <w:szCs w:val="22"/>
        </w:rPr>
      </w:pPr>
      <w:r w:rsidRPr="004B7D51">
        <w:rPr>
          <w:rFonts w:eastAsia="宋体" w:cs="Times New Roman"/>
          <w:b/>
          <w:bCs/>
          <w:sz w:val="22"/>
          <w:szCs w:val="22"/>
        </w:rPr>
        <w:t>Fig. S2.</w:t>
      </w:r>
      <w:r w:rsidRPr="004B7D51">
        <w:rPr>
          <w:rFonts w:eastAsia="宋体" w:cs="Times New Roman"/>
          <w:sz w:val="22"/>
          <w:szCs w:val="22"/>
        </w:rPr>
        <w:t xml:space="preserve"> </w:t>
      </w:r>
      <w:r w:rsidRPr="004B7D51">
        <w:rPr>
          <w:rFonts w:eastAsia="等线" w:cs="Times New Roman"/>
          <w:sz w:val="22"/>
          <w:szCs w:val="22"/>
        </w:rPr>
        <w:t>(A) Summary of variants for PTPNs in pan-cancer. (B) The frequency of mutations for PTPNs in pan-cancer. (C) The correlation between PTPNs expression and CNV. (D) The difference of PTPNs methylation between tumor and normal samples in pan-cancer. (E) The correlation between PTPNs expression and methylation. (F-H) Prognostic associations of CNV, SNV, and methylation in PTPNs. (I) Enrichment analysis for metabolism pathway and cancer signaling between high and low enrichment scores of PTPNs. (J) Correlation between PTPNs expression and drug IC50.</w:t>
      </w:r>
      <w:r w:rsidRPr="004B7D51">
        <w:rPr>
          <w:rFonts w:eastAsia="等线" w:cs="Times New Roman"/>
          <w:sz w:val="22"/>
          <w:szCs w:val="22"/>
        </w:rPr>
        <w:br w:type="page"/>
      </w:r>
    </w:p>
    <w:p w14:paraId="048147BD" w14:textId="48CD919B" w:rsidR="00482A25" w:rsidRPr="004B7D51" w:rsidRDefault="00482A25" w:rsidP="004B7D51">
      <w:pPr>
        <w:spacing w:line="276" w:lineRule="auto"/>
        <w:jc w:val="center"/>
        <w:rPr>
          <w:rFonts w:eastAsia="等线" w:cs="Times New Roman"/>
          <w:sz w:val="22"/>
          <w:szCs w:val="22"/>
        </w:rPr>
      </w:pPr>
      <w:r w:rsidRPr="004B7D51">
        <w:rPr>
          <w:rFonts w:cs="Times New Roman"/>
          <w:noProof/>
          <w:sz w:val="22"/>
          <w:szCs w:val="22"/>
        </w:rPr>
        <w:lastRenderedPageBreak/>
        <w:drawing>
          <wp:inline distT="0" distB="0" distL="0" distR="0" wp14:anchorId="1157B829" wp14:editId="1CA402A0">
            <wp:extent cx="5274310" cy="6276975"/>
            <wp:effectExtent l="0" t="0" r="2540" b="952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274310" cy="6276975"/>
                    </a:xfrm>
                    <a:prstGeom prst="rect">
                      <a:avLst/>
                    </a:prstGeom>
                  </pic:spPr>
                </pic:pic>
              </a:graphicData>
            </a:graphic>
          </wp:inline>
        </w:drawing>
      </w:r>
    </w:p>
    <w:p w14:paraId="0BD51B57" w14:textId="7C48B370" w:rsidR="00482A25" w:rsidRPr="004B7D51" w:rsidRDefault="00482A25" w:rsidP="004B7D51">
      <w:pPr>
        <w:spacing w:line="276" w:lineRule="auto"/>
        <w:rPr>
          <w:rFonts w:eastAsia="宋体" w:cs="Times New Roman"/>
          <w:sz w:val="22"/>
          <w:szCs w:val="22"/>
        </w:rPr>
      </w:pPr>
      <w:r w:rsidRPr="004B7D51">
        <w:rPr>
          <w:rFonts w:eastAsia="宋体" w:cs="Times New Roman"/>
          <w:b/>
          <w:bCs/>
          <w:sz w:val="22"/>
          <w:szCs w:val="22"/>
        </w:rPr>
        <w:t>Fig. S3.</w:t>
      </w:r>
      <w:r w:rsidRPr="004B7D51">
        <w:rPr>
          <w:rFonts w:eastAsia="宋体" w:cs="Times New Roman"/>
          <w:sz w:val="22"/>
          <w:szCs w:val="22"/>
        </w:rPr>
        <w:t xml:space="preserve"> (A) Expression analysis of PTPN2 protein in pan-cancer. (B) Differential gene expression analysis of PTPN2 in the paired samples. (C-D) RNA and protein expression score of PTPN2. (E) Subcellular localization of PTPN2 in different cancer cell lines. (F-G) Expression of PTPN2 in different cell lines and tissues.</w:t>
      </w:r>
      <w:r w:rsidRPr="004B7D51">
        <w:rPr>
          <w:rFonts w:eastAsia="宋体" w:cs="Times New Roman"/>
          <w:sz w:val="22"/>
          <w:szCs w:val="22"/>
        </w:rPr>
        <w:br w:type="page"/>
      </w:r>
    </w:p>
    <w:p w14:paraId="0C18C15B" w14:textId="36940B5E" w:rsidR="00482A25" w:rsidRPr="004B7D51" w:rsidRDefault="00482A25" w:rsidP="004B7D51">
      <w:pPr>
        <w:spacing w:line="276" w:lineRule="auto"/>
        <w:jc w:val="center"/>
        <w:rPr>
          <w:rFonts w:eastAsia="宋体" w:cs="Times New Roman"/>
          <w:sz w:val="22"/>
          <w:szCs w:val="22"/>
        </w:rPr>
      </w:pPr>
      <w:r w:rsidRPr="004B7D51">
        <w:rPr>
          <w:rFonts w:cs="Times New Roman"/>
          <w:noProof/>
          <w:sz w:val="22"/>
          <w:szCs w:val="22"/>
        </w:rPr>
        <w:lastRenderedPageBreak/>
        <w:drawing>
          <wp:inline distT="0" distB="0" distL="0" distR="0" wp14:anchorId="6884D74F" wp14:editId="3AD29E04">
            <wp:extent cx="5274310" cy="5799455"/>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274310" cy="5799455"/>
                    </a:xfrm>
                    <a:prstGeom prst="rect">
                      <a:avLst/>
                    </a:prstGeom>
                  </pic:spPr>
                </pic:pic>
              </a:graphicData>
            </a:graphic>
          </wp:inline>
        </w:drawing>
      </w:r>
    </w:p>
    <w:p w14:paraId="3FDCAF5A" w14:textId="7D0094AF" w:rsidR="00482A25" w:rsidRPr="004B7D51" w:rsidRDefault="00482A25" w:rsidP="004B7D51">
      <w:pPr>
        <w:spacing w:line="276" w:lineRule="auto"/>
        <w:rPr>
          <w:rFonts w:eastAsia="宋体" w:cs="Times New Roman"/>
          <w:sz w:val="22"/>
          <w:szCs w:val="22"/>
        </w:rPr>
      </w:pPr>
      <w:r w:rsidRPr="004B7D51">
        <w:rPr>
          <w:rFonts w:eastAsia="宋体" w:cs="Times New Roman"/>
          <w:b/>
          <w:bCs/>
          <w:sz w:val="22"/>
          <w:szCs w:val="22"/>
        </w:rPr>
        <w:t>Fig. S4.</w:t>
      </w:r>
      <w:r w:rsidRPr="004B7D51">
        <w:rPr>
          <w:rFonts w:eastAsia="宋体" w:cs="Times New Roman"/>
          <w:sz w:val="22"/>
          <w:szCs w:val="22"/>
        </w:rPr>
        <w:t xml:space="preserve"> (A) lollipop of PTPN2. (B) Mutation count of PTPN2. (C)PTPN2 expression in different types of CNV. (D) FGA of PTPN2. (E) Correlation between PTPN2 and MMRs related genes.</w:t>
      </w:r>
      <w:r w:rsidRPr="004B7D51">
        <w:rPr>
          <w:rFonts w:eastAsia="宋体" w:cs="Times New Roman"/>
          <w:sz w:val="22"/>
          <w:szCs w:val="22"/>
        </w:rPr>
        <w:br w:type="page"/>
      </w:r>
    </w:p>
    <w:p w14:paraId="1A54E940" w14:textId="46C7A27A" w:rsidR="00482A25" w:rsidRPr="004B7D51" w:rsidRDefault="00482A25" w:rsidP="004B7D51">
      <w:pPr>
        <w:spacing w:line="276" w:lineRule="auto"/>
        <w:rPr>
          <w:rFonts w:eastAsia="宋体" w:cs="Times New Roman"/>
          <w:sz w:val="22"/>
          <w:szCs w:val="22"/>
        </w:rPr>
      </w:pPr>
      <w:r w:rsidRPr="004B7D51">
        <w:rPr>
          <w:rFonts w:cs="Times New Roman"/>
          <w:noProof/>
          <w:sz w:val="22"/>
          <w:szCs w:val="22"/>
        </w:rPr>
        <w:lastRenderedPageBreak/>
        <w:drawing>
          <wp:inline distT="0" distB="0" distL="0" distR="0" wp14:anchorId="73B0FE8E" wp14:editId="6223ABEE">
            <wp:extent cx="5274310" cy="5818505"/>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274310" cy="5818505"/>
                    </a:xfrm>
                    <a:prstGeom prst="rect">
                      <a:avLst/>
                    </a:prstGeom>
                  </pic:spPr>
                </pic:pic>
              </a:graphicData>
            </a:graphic>
          </wp:inline>
        </w:drawing>
      </w:r>
    </w:p>
    <w:p w14:paraId="685DB5C1" w14:textId="58EF8361" w:rsidR="00482A25" w:rsidRPr="004B7D51" w:rsidRDefault="00482A25" w:rsidP="004B7D51">
      <w:pPr>
        <w:spacing w:line="276" w:lineRule="auto"/>
        <w:rPr>
          <w:rFonts w:eastAsia="宋体" w:cs="Times New Roman"/>
          <w:sz w:val="22"/>
          <w:szCs w:val="22"/>
        </w:rPr>
      </w:pPr>
      <w:r w:rsidRPr="004B7D51">
        <w:rPr>
          <w:rFonts w:eastAsia="宋体" w:cs="Times New Roman"/>
          <w:b/>
          <w:bCs/>
          <w:sz w:val="22"/>
          <w:szCs w:val="22"/>
        </w:rPr>
        <w:t>Fig. S5.</w:t>
      </w:r>
      <w:r w:rsidRPr="004B7D51">
        <w:rPr>
          <w:rFonts w:eastAsia="宋体" w:cs="Times New Roman"/>
          <w:sz w:val="22"/>
          <w:szCs w:val="22"/>
        </w:rPr>
        <w:t xml:space="preserve"> (A) Correlation between PTPN2 and immunomodulatory genes. (B-D) Correlation of PTPN2 expression with ESTIMATE score, Immune score, and Stromal score.</w:t>
      </w:r>
      <w:r w:rsidRPr="004B7D51">
        <w:rPr>
          <w:rFonts w:eastAsia="宋体" w:cs="Times New Roman"/>
          <w:sz w:val="22"/>
          <w:szCs w:val="22"/>
        </w:rPr>
        <w:br w:type="page"/>
      </w:r>
    </w:p>
    <w:p w14:paraId="779003AA" w14:textId="648E9457" w:rsidR="00482A25" w:rsidRPr="004B7D51" w:rsidRDefault="00482A25" w:rsidP="004B7D51">
      <w:pPr>
        <w:spacing w:line="276" w:lineRule="auto"/>
        <w:jc w:val="center"/>
        <w:rPr>
          <w:rFonts w:eastAsia="宋体" w:cs="Times New Roman"/>
          <w:sz w:val="22"/>
          <w:szCs w:val="22"/>
        </w:rPr>
      </w:pPr>
      <w:r w:rsidRPr="004B7D51">
        <w:rPr>
          <w:rFonts w:cs="Times New Roman"/>
          <w:noProof/>
          <w:sz w:val="22"/>
          <w:szCs w:val="22"/>
        </w:rPr>
        <w:lastRenderedPageBreak/>
        <w:drawing>
          <wp:inline distT="0" distB="0" distL="0" distR="0" wp14:anchorId="4CDDA772" wp14:editId="0D51BC7A">
            <wp:extent cx="5274310" cy="5185410"/>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274310" cy="5185410"/>
                    </a:xfrm>
                    <a:prstGeom prst="rect">
                      <a:avLst/>
                    </a:prstGeom>
                  </pic:spPr>
                </pic:pic>
              </a:graphicData>
            </a:graphic>
          </wp:inline>
        </w:drawing>
      </w:r>
    </w:p>
    <w:p w14:paraId="2CEC344B" w14:textId="20BD9488" w:rsidR="004B7D51" w:rsidRPr="004B7D51" w:rsidRDefault="00482A25" w:rsidP="004B7D51">
      <w:pPr>
        <w:spacing w:line="276" w:lineRule="auto"/>
        <w:rPr>
          <w:rFonts w:eastAsia="宋体" w:cs="Times New Roman"/>
          <w:sz w:val="22"/>
          <w:szCs w:val="22"/>
        </w:rPr>
      </w:pPr>
      <w:r w:rsidRPr="004B7D51">
        <w:rPr>
          <w:rFonts w:eastAsia="宋体" w:cs="Times New Roman"/>
          <w:b/>
          <w:bCs/>
          <w:sz w:val="22"/>
          <w:szCs w:val="22"/>
        </w:rPr>
        <w:t>Fig. S6.</w:t>
      </w:r>
      <w:r w:rsidRPr="004B7D51">
        <w:rPr>
          <w:rFonts w:eastAsia="宋体" w:cs="Times New Roman"/>
          <w:sz w:val="22"/>
          <w:szCs w:val="22"/>
        </w:rPr>
        <w:t xml:space="preserve"> (A-C) Correlation between PTPN2 expression and (A) disease-specific survival, (B) disease-free interval, and (C) progression-free interval. (D) A Comparison of PTPN2 expression before and after ICB treatments across different tumor models in vitro. (E) The top 12 drugs negatively correlated with PTPN2 expression in the </w:t>
      </w:r>
      <w:proofErr w:type="spellStart"/>
      <w:r w:rsidRPr="004B7D51">
        <w:rPr>
          <w:rFonts w:eastAsia="宋体" w:cs="Times New Roman"/>
          <w:sz w:val="22"/>
          <w:szCs w:val="22"/>
        </w:rPr>
        <w:t>CellMiner</w:t>
      </w:r>
      <w:proofErr w:type="spellEnd"/>
      <w:r w:rsidRPr="004B7D51">
        <w:rPr>
          <w:rFonts w:eastAsia="宋体" w:cs="Times New Roman"/>
          <w:sz w:val="22"/>
          <w:szCs w:val="22"/>
        </w:rPr>
        <w:t xml:space="preserve"> database.</w:t>
      </w:r>
      <w:r w:rsidR="004B7D51" w:rsidRPr="004B7D51">
        <w:rPr>
          <w:rFonts w:eastAsia="宋体" w:cs="Times New Roman"/>
          <w:sz w:val="22"/>
          <w:szCs w:val="22"/>
        </w:rPr>
        <w:br w:type="page"/>
      </w:r>
    </w:p>
    <w:p w14:paraId="23F7F4D5" w14:textId="07430A55" w:rsidR="00482A25" w:rsidRPr="004B7D51" w:rsidRDefault="004B7D51" w:rsidP="004B7D51">
      <w:pPr>
        <w:spacing w:line="276" w:lineRule="auto"/>
        <w:jc w:val="center"/>
        <w:rPr>
          <w:rFonts w:eastAsia="宋体" w:cs="Times New Roman"/>
          <w:sz w:val="22"/>
          <w:szCs w:val="22"/>
        </w:rPr>
      </w:pPr>
      <w:r w:rsidRPr="004B7D51">
        <w:rPr>
          <w:rFonts w:cs="Times New Roman"/>
          <w:noProof/>
          <w:sz w:val="22"/>
          <w:szCs w:val="22"/>
        </w:rPr>
        <w:lastRenderedPageBreak/>
        <w:drawing>
          <wp:inline distT="0" distB="0" distL="0" distR="0" wp14:anchorId="31F01B92" wp14:editId="4B6E1621">
            <wp:extent cx="5274310" cy="5687060"/>
            <wp:effectExtent l="0" t="0" r="2540" b="889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274310" cy="5687060"/>
                    </a:xfrm>
                    <a:prstGeom prst="rect">
                      <a:avLst/>
                    </a:prstGeom>
                  </pic:spPr>
                </pic:pic>
              </a:graphicData>
            </a:graphic>
          </wp:inline>
        </w:drawing>
      </w:r>
    </w:p>
    <w:p w14:paraId="27019196" w14:textId="2B1F6908" w:rsidR="004B7D51" w:rsidRPr="004B7D51" w:rsidRDefault="004B7D51" w:rsidP="004B7D51">
      <w:pPr>
        <w:spacing w:line="276" w:lineRule="auto"/>
        <w:rPr>
          <w:rFonts w:eastAsia="宋体" w:cs="Times New Roman"/>
          <w:sz w:val="22"/>
          <w:szCs w:val="22"/>
        </w:rPr>
      </w:pPr>
      <w:r w:rsidRPr="004B7D51">
        <w:rPr>
          <w:rFonts w:eastAsia="宋体" w:cs="Times New Roman"/>
          <w:b/>
          <w:bCs/>
          <w:sz w:val="22"/>
          <w:szCs w:val="22"/>
        </w:rPr>
        <w:t>Fig. S7.</w:t>
      </w:r>
      <w:r w:rsidRPr="004B7D51">
        <w:rPr>
          <w:rFonts w:eastAsia="宋体" w:cs="Times New Roman"/>
          <w:sz w:val="22"/>
          <w:szCs w:val="22"/>
        </w:rPr>
        <w:t xml:space="preserve"> The predictive value of PTPN2 to predict survival prognosis in patients in immunotherapy cohorts.</w:t>
      </w:r>
      <w:r w:rsidRPr="004B7D51">
        <w:rPr>
          <w:rFonts w:eastAsia="宋体" w:cs="Times New Roman"/>
          <w:sz w:val="22"/>
          <w:szCs w:val="22"/>
        </w:rPr>
        <w:br w:type="page"/>
      </w:r>
    </w:p>
    <w:p w14:paraId="6F0D16F5" w14:textId="12C58497" w:rsidR="004B7D51" w:rsidRPr="004B7D51" w:rsidRDefault="004B7D51" w:rsidP="004B7D51">
      <w:pPr>
        <w:spacing w:line="276" w:lineRule="auto"/>
        <w:jc w:val="center"/>
        <w:rPr>
          <w:rFonts w:eastAsia="宋体" w:cs="Times New Roman"/>
          <w:sz w:val="22"/>
          <w:szCs w:val="22"/>
        </w:rPr>
      </w:pPr>
      <w:r w:rsidRPr="004B7D51">
        <w:rPr>
          <w:rFonts w:cs="Times New Roman"/>
          <w:noProof/>
          <w:sz w:val="22"/>
          <w:szCs w:val="22"/>
        </w:rPr>
        <w:lastRenderedPageBreak/>
        <w:drawing>
          <wp:inline distT="0" distB="0" distL="0" distR="0" wp14:anchorId="3E7C61CF" wp14:editId="08735D11">
            <wp:extent cx="5274310" cy="3475355"/>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274310" cy="3475355"/>
                    </a:xfrm>
                    <a:prstGeom prst="rect">
                      <a:avLst/>
                    </a:prstGeom>
                  </pic:spPr>
                </pic:pic>
              </a:graphicData>
            </a:graphic>
          </wp:inline>
        </w:drawing>
      </w:r>
    </w:p>
    <w:p w14:paraId="6412AFD1" w14:textId="7BA94681" w:rsidR="004B7D51" w:rsidRPr="004B7D51" w:rsidRDefault="004B7D51" w:rsidP="004B7D51">
      <w:pPr>
        <w:spacing w:line="276" w:lineRule="auto"/>
        <w:rPr>
          <w:rFonts w:eastAsia="宋体" w:cs="Times New Roman"/>
          <w:sz w:val="22"/>
          <w:szCs w:val="22"/>
        </w:rPr>
      </w:pPr>
      <w:r w:rsidRPr="004B7D51">
        <w:rPr>
          <w:rFonts w:eastAsia="宋体" w:cs="Times New Roman"/>
          <w:b/>
          <w:bCs/>
          <w:sz w:val="22"/>
          <w:szCs w:val="22"/>
        </w:rPr>
        <w:t>Fig. S8.</w:t>
      </w:r>
      <w:r w:rsidRPr="004B7D51">
        <w:rPr>
          <w:rFonts w:eastAsia="宋体" w:cs="Times New Roman"/>
          <w:sz w:val="22"/>
          <w:szCs w:val="22"/>
        </w:rPr>
        <w:t xml:space="preserve"> (A) The expression of PTPN2 in different cell types. (B-C) Correlation between PTPN2 expression and cancer microenvironment-related signatures in TARGT-AML.</w:t>
      </w:r>
      <w:r w:rsidRPr="004B7D51">
        <w:rPr>
          <w:rFonts w:eastAsia="宋体" w:cs="Times New Roman"/>
          <w:sz w:val="22"/>
          <w:szCs w:val="22"/>
        </w:rPr>
        <w:br w:type="page"/>
      </w:r>
    </w:p>
    <w:p w14:paraId="2802BBE0" w14:textId="62C6B456" w:rsidR="004B7D51" w:rsidRPr="004B7D51" w:rsidRDefault="004B7D51" w:rsidP="004B7D51">
      <w:pPr>
        <w:spacing w:line="276" w:lineRule="auto"/>
        <w:jc w:val="center"/>
        <w:rPr>
          <w:rFonts w:eastAsia="宋体" w:cs="Times New Roman"/>
          <w:sz w:val="22"/>
          <w:szCs w:val="22"/>
        </w:rPr>
      </w:pPr>
      <w:r w:rsidRPr="004B7D51">
        <w:rPr>
          <w:rFonts w:cs="Times New Roman"/>
          <w:noProof/>
          <w:sz w:val="22"/>
          <w:szCs w:val="22"/>
        </w:rPr>
        <w:lastRenderedPageBreak/>
        <w:drawing>
          <wp:inline distT="0" distB="0" distL="0" distR="0" wp14:anchorId="7C013456" wp14:editId="352F125D">
            <wp:extent cx="5274310" cy="4295140"/>
            <wp:effectExtent l="0" t="0" r="254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274310" cy="4295140"/>
                    </a:xfrm>
                    <a:prstGeom prst="rect">
                      <a:avLst/>
                    </a:prstGeom>
                  </pic:spPr>
                </pic:pic>
              </a:graphicData>
            </a:graphic>
          </wp:inline>
        </w:drawing>
      </w:r>
    </w:p>
    <w:p w14:paraId="022150F2" w14:textId="338B273B" w:rsidR="004B7D51" w:rsidRPr="004B7D51" w:rsidRDefault="004B7D51" w:rsidP="004B7D51">
      <w:pPr>
        <w:spacing w:line="276" w:lineRule="auto"/>
        <w:rPr>
          <w:rFonts w:eastAsia="宋体" w:cs="Times New Roman"/>
          <w:sz w:val="22"/>
          <w:szCs w:val="22"/>
        </w:rPr>
      </w:pPr>
      <w:r w:rsidRPr="004B7D51">
        <w:rPr>
          <w:rFonts w:eastAsia="宋体" w:cs="Times New Roman"/>
          <w:b/>
          <w:bCs/>
          <w:sz w:val="22"/>
          <w:szCs w:val="22"/>
        </w:rPr>
        <w:t>Fig. S9.</w:t>
      </w:r>
      <w:r w:rsidRPr="004B7D51">
        <w:rPr>
          <w:rFonts w:eastAsia="宋体" w:cs="Times New Roman"/>
          <w:sz w:val="22"/>
          <w:szCs w:val="22"/>
        </w:rPr>
        <w:t xml:space="preserve"> The expression of PTPN2 in single-cell RNA sequencing cohort.</w:t>
      </w:r>
      <w:r w:rsidRPr="004B7D51">
        <w:rPr>
          <w:rFonts w:eastAsia="宋体" w:cs="Times New Roman"/>
          <w:sz w:val="22"/>
          <w:szCs w:val="22"/>
        </w:rPr>
        <w:br w:type="page"/>
      </w:r>
    </w:p>
    <w:p w14:paraId="7C6CC56B" w14:textId="537F972C" w:rsidR="004B7D51" w:rsidRPr="004B7D51" w:rsidRDefault="004B7D51" w:rsidP="004B7D51">
      <w:pPr>
        <w:spacing w:line="276" w:lineRule="auto"/>
        <w:jc w:val="center"/>
        <w:rPr>
          <w:rFonts w:eastAsia="宋体" w:cs="Times New Roman"/>
          <w:sz w:val="22"/>
          <w:szCs w:val="22"/>
        </w:rPr>
      </w:pPr>
      <w:r w:rsidRPr="004B7D51">
        <w:rPr>
          <w:rFonts w:cs="Times New Roman"/>
          <w:noProof/>
          <w:sz w:val="22"/>
          <w:szCs w:val="22"/>
        </w:rPr>
        <w:lastRenderedPageBreak/>
        <w:drawing>
          <wp:inline distT="0" distB="0" distL="0" distR="0" wp14:anchorId="60D742EE" wp14:editId="2633C456">
            <wp:extent cx="5274310" cy="4997450"/>
            <wp:effectExtent l="0" t="0" r="254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274310" cy="4997450"/>
                    </a:xfrm>
                    <a:prstGeom prst="rect">
                      <a:avLst/>
                    </a:prstGeom>
                  </pic:spPr>
                </pic:pic>
              </a:graphicData>
            </a:graphic>
          </wp:inline>
        </w:drawing>
      </w:r>
    </w:p>
    <w:p w14:paraId="3C788852" w14:textId="1A0B3920" w:rsidR="004B7D51" w:rsidRPr="004B7D51" w:rsidRDefault="004B7D51" w:rsidP="004B7D51">
      <w:pPr>
        <w:spacing w:line="276" w:lineRule="auto"/>
        <w:rPr>
          <w:rFonts w:eastAsia="宋体" w:cs="Times New Roman"/>
          <w:sz w:val="22"/>
          <w:szCs w:val="22"/>
        </w:rPr>
      </w:pPr>
      <w:r w:rsidRPr="004B7D51">
        <w:rPr>
          <w:rFonts w:eastAsia="宋体" w:cs="Times New Roman"/>
          <w:b/>
          <w:bCs/>
          <w:sz w:val="22"/>
          <w:szCs w:val="22"/>
        </w:rPr>
        <w:t>Fig. S10.</w:t>
      </w:r>
      <w:r w:rsidRPr="004B7D51">
        <w:rPr>
          <w:rFonts w:eastAsia="宋体" w:cs="Times New Roman"/>
          <w:sz w:val="22"/>
          <w:szCs w:val="22"/>
        </w:rPr>
        <w:t xml:space="preserve"> Drug screening in patients with low PTPN2 expression in CTRP and PRISM.</w:t>
      </w:r>
      <w:r w:rsidRPr="004B7D51">
        <w:rPr>
          <w:rFonts w:eastAsia="宋体" w:cs="Times New Roman"/>
          <w:sz w:val="22"/>
          <w:szCs w:val="22"/>
        </w:rPr>
        <w:br w:type="page"/>
      </w:r>
    </w:p>
    <w:p w14:paraId="3B9B3B25" w14:textId="13C2D9C6" w:rsidR="004B7D51" w:rsidRPr="004B7D51" w:rsidRDefault="004B7D51" w:rsidP="004B7D51">
      <w:pPr>
        <w:spacing w:line="276" w:lineRule="auto"/>
        <w:jc w:val="center"/>
        <w:rPr>
          <w:rFonts w:eastAsia="宋体" w:cs="Times New Roman"/>
          <w:sz w:val="22"/>
          <w:szCs w:val="22"/>
        </w:rPr>
      </w:pPr>
      <w:r w:rsidRPr="004B7D51">
        <w:rPr>
          <w:rFonts w:cs="Times New Roman"/>
          <w:noProof/>
          <w:sz w:val="22"/>
          <w:szCs w:val="22"/>
        </w:rPr>
        <w:lastRenderedPageBreak/>
        <w:drawing>
          <wp:inline distT="0" distB="0" distL="0" distR="0" wp14:anchorId="35294A10" wp14:editId="63E2930A">
            <wp:extent cx="5274310" cy="6793230"/>
            <wp:effectExtent l="0" t="0" r="2540" b="762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274310" cy="6793230"/>
                    </a:xfrm>
                    <a:prstGeom prst="rect">
                      <a:avLst/>
                    </a:prstGeom>
                  </pic:spPr>
                </pic:pic>
              </a:graphicData>
            </a:graphic>
          </wp:inline>
        </w:drawing>
      </w:r>
    </w:p>
    <w:p w14:paraId="4BF480DA" w14:textId="59AA4706" w:rsidR="004B7D51" w:rsidRPr="004B7D51" w:rsidRDefault="004B7D51" w:rsidP="004B7D51">
      <w:pPr>
        <w:spacing w:line="276" w:lineRule="auto"/>
        <w:rPr>
          <w:rFonts w:eastAsia="宋体" w:cs="Times New Roman"/>
          <w:sz w:val="22"/>
          <w:szCs w:val="22"/>
        </w:rPr>
      </w:pPr>
      <w:r w:rsidRPr="004B7D51">
        <w:rPr>
          <w:rFonts w:eastAsia="宋体" w:cs="Times New Roman"/>
          <w:b/>
          <w:bCs/>
          <w:sz w:val="22"/>
          <w:szCs w:val="22"/>
        </w:rPr>
        <w:t>Fig. S11.</w:t>
      </w:r>
      <w:r w:rsidRPr="004B7D51">
        <w:rPr>
          <w:rFonts w:eastAsia="宋体" w:cs="Times New Roman"/>
          <w:sz w:val="22"/>
          <w:szCs w:val="22"/>
        </w:rPr>
        <w:t xml:space="preserve"> (A) LASSO coefficient distribution of 826 prognostic genes in the training cohort. Coefficient profiles are drawn according to logarithmic (Lambda) sequences. (B) Cross-validation of turning parameters selected by minimum criteria in LASSO regression models. Use the minimum criterion to draw two dotted lines at the optimal value. The best genes (30 in total) with the best recognition ability were selected. (C-D) (C) Univariate and (D) multivariate Cox regression analysis in TCGA-LAML and TARGET-AML cohort. (E) From left to right: mRNA expression (median normalized expression level); Expression and methylation (correlation between gene expression and DNA methylated beta-value); Amplification </w:t>
      </w:r>
      <w:r w:rsidRPr="004B7D51">
        <w:rPr>
          <w:rFonts w:eastAsia="宋体" w:cs="Times New Roman"/>
          <w:sz w:val="22"/>
          <w:szCs w:val="22"/>
        </w:rPr>
        <w:lastRenderedPageBreak/>
        <w:t xml:space="preserve">frequency (the difference between the high-risk and low-risk group for which specific subtypes of immunomodulators were amplified and the amplification fraction in all samples); Deletion frequency of 75 immunomodulatory genes was analyzed by PTPRS. (F) From left to right: mRNA expression (median normalized expression level); expression and methylation (correlation between gene expression and DNA methylated beta-value); amplification frequency (the difference between the high-risk and low-risk group for which specific subtypes of immunomodulators were amplified and the amplification fraction in all samples); deletion frequency of 75 immunomodulatory genes was analyzed by PTPRS. (G) Differential expression of 27 survival related immune cell types in high-risk and low-risk group based on </w:t>
      </w:r>
      <w:proofErr w:type="spellStart"/>
      <w:r w:rsidRPr="004B7D51">
        <w:rPr>
          <w:rFonts w:eastAsia="宋体" w:cs="Times New Roman"/>
          <w:sz w:val="22"/>
          <w:szCs w:val="22"/>
        </w:rPr>
        <w:t>ssGSEA</w:t>
      </w:r>
      <w:proofErr w:type="spellEnd"/>
      <w:r w:rsidRPr="004B7D51">
        <w:rPr>
          <w:rFonts w:eastAsia="宋体" w:cs="Times New Roman"/>
          <w:sz w:val="22"/>
          <w:szCs w:val="22"/>
        </w:rPr>
        <w:t xml:space="preserve"> algorithm. (H) Differential expression of 27 survival related immune cell types in high-risk and low-risk group based on </w:t>
      </w:r>
      <w:proofErr w:type="spellStart"/>
      <w:r w:rsidRPr="004B7D51">
        <w:rPr>
          <w:rFonts w:eastAsia="宋体" w:cs="Times New Roman"/>
          <w:sz w:val="22"/>
          <w:szCs w:val="22"/>
        </w:rPr>
        <w:t>ssGSEA</w:t>
      </w:r>
      <w:proofErr w:type="spellEnd"/>
      <w:r w:rsidRPr="004B7D51">
        <w:rPr>
          <w:rFonts w:eastAsia="宋体" w:cs="Times New Roman"/>
          <w:sz w:val="22"/>
          <w:szCs w:val="22"/>
        </w:rPr>
        <w:t xml:space="preserve"> algorithm. (I-J) Functional and signaling pathway analysis of differential genes between high-risk and low-risk group in AML.</w:t>
      </w:r>
      <w:r w:rsidRPr="004B7D51">
        <w:rPr>
          <w:rFonts w:eastAsia="宋体" w:cs="Times New Roman"/>
          <w:sz w:val="22"/>
          <w:szCs w:val="22"/>
        </w:rPr>
        <w:br w:type="page"/>
      </w:r>
    </w:p>
    <w:p w14:paraId="74738998" w14:textId="0356D706" w:rsidR="004B7D51" w:rsidRPr="004B7D51" w:rsidRDefault="004B7D51" w:rsidP="004B7D51">
      <w:pPr>
        <w:spacing w:line="276" w:lineRule="auto"/>
        <w:jc w:val="center"/>
        <w:rPr>
          <w:rFonts w:eastAsia="宋体" w:cs="Times New Roman"/>
          <w:sz w:val="22"/>
          <w:szCs w:val="22"/>
        </w:rPr>
      </w:pPr>
      <w:r w:rsidRPr="004B7D51">
        <w:rPr>
          <w:rFonts w:cs="Times New Roman"/>
          <w:noProof/>
          <w:sz w:val="22"/>
          <w:szCs w:val="22"/>
        </w:rPr>
        <w:lastRenderedPageBreak/>
        <w:drawing>
          <wp:inline distT="0" distB="0" distL="0" distR="0" wp14:anchorId="3583B688" wp14:editId="56790E49">
            <wp:extent cx="2958332" cy="8219029"/>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964044" cy="8234898"/>
                    </a:xfrm>
                    <a:prstGeom prst="rect">
                      <a:avLst/>
                    </a:prstGeom>
                  </pic:spPr>
                </pic:pic>
              </a:graphicData>
            </a:graphic>
          </wp:inline>
        </w:drawing>
      </w:r>
    </w:p>
    <w:p w14:paraId="170D5A68" w14:textId="44686A65" w:rsidR="004B7D51" w:rsidRPr="004B7D51" w:rsidRDefault="004B7D51" w:rsidP="004B7D51">
      <w:pPr>
        <w:spacing w:line="276" w:lineRule="auto"/>
        <w:rPr>
          <w:rFonts w:eastAsia="宋体" w:cs="Times New Roman"/>
          <w:sz w:val="22"/>
          <w:szCs w:val="22"/>
        </w:rPr>
      </w:pPr>
      <w:r w:rsidRPr="004B7D51">
        <w:rPr>
          <w:rFonts w:eastAsia="宋体" w:cs="Times New Roman"/>
          <w:b/>
          <w:bCs/>
          <w:sz w:val="22"/>
          <w:szCs w:val="22"/>
        </w:rPr>
        <w:t>Fig. S12.</w:t>
      </w:r>
      <w:r w:rsidRPr="004B7D51">
        <w:rPr>
          <w:rFonts w:eastAsia="宋体" w:cs="Times New Roman"/>
          <w:sz w:val="22"/>
          <w:szCs w:val="22"/>
        </w:rPr>
        <w:t xml:space="preserve"> (A) The heatmap for the association between clinicopathologic features and PTPRS. (B) The IC50 value of different tumor therapeutics in the high-risk and low-risk group.</w:t>
      </w:r>
      <w:r w:rsidRPr="004B7D51">
        <w:rPr>
          <w:rFonts w:eastAsia="宋体" w:cs="Times New Roman"/>
          <w:sz w:val="22"/>
          <w:szCs w:val="22"/>
        </w:rPr>
        <w:br w:type="page"/>
      </w:r>
    </w:p>
    <w:p w14:paraId="4BA32312" w14:textId="77777777" w:rsidR="004B7D51" w:rsidRPr="004B7D51" w:rsidRDefault="004B7D51" w:rsidP="004B7D51">
      <w:pPr>
        <w:spacing w:after="240" w:line="276" w:lineRule="auto"/>
        <w:rPr>
          <w:rFonts w:cs="Times New Roman"/>
          <w:sz w:val="22"/>
          <w:szCs w:val="22"/>
        </w:rPr>
      </w:pPr>
      <w:r w:rsidRPr="004B7D51">
        <w:rPr>
          <w:rFonts w:cs="Times New Roman"/>
          <w:sz w:val="22"/>
          <w:szCs w:val="22"/>
        </w:rPr>
        <w:lastRenderedPageBreak/>
        <w:t xml:space="preserve">Supplementary </w:t>
      </w:r>
      <w:bookmarkStart w:id="0" w:name="_Hlk134386289"/>
      <w:r w:rsidRPr="004B7D51">
        <w:rPr>
          <w:rFonts w:cs="Times New Roman"/>
          <w:sz w:val="22"/>
          <w:szCs w:val="22"/>
        </w:rPr>
        <w:t>Table S1. The sequences of primers for quantitative real-time PCR assays.</w:t>
      </w:r>
    </w:p>
    <w:tbl>
      <w:tblPr>
        <w:tblStyle w:val="a7"/>
        <w:tblW w:w="0" w:type="auto"/>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3827"/>
      </w:tblGrid>
      <w:tr w:rsidR="004B7D51" w:rsidRPr="004B7D51" w14:paraId="26517888" w14:textId="77777777" w:rsidTr="00D12830">
        <w:trPr>
          <w:jc w:val="center"/>
        </w:trPr>
        <w:tc>
          <w:tcPr>
            <w:tcW w:w="1838" w:type="dxa"/>
            <w:tcBorders>
              <w:top w:val="single" w:sz="12" w:space="0" w:color="auto"/>
              <w:bottom w:val="single" w:sz="4" w:space="0" w:color="auto"/>
            </w:tcBorders>
          </w:tcPr>
          <w:bookmarkEnd w:id="0"/>
          <w:p w14:paraId="4C855848"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Gene</w:t>
            </w:r>
          </w:p>
        </w:tc>
        <w:tc>
          <w:tcPr>
            <w:tcW w:w="3827" w:type="dxa"/>
            <w:tcBorders>
              <w:top w:val="single" w:sz="12" w:space="0" w:color="auto"/>
              <w:bottom w:val="single" w:sz="4" w:space="0" w:color="auto"/>
            </w:tcBorders>
          </w:tcPr>
          <w:p w14:paraId="3298ADD4"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Sequence</w:t>
            </w:r>
          </w:p>
        </w:tc>
      </w:tr>
      <w:tr w:rsidR="004B7D51" w:rsidRPr="004B7D51" w14:paraId="66977CB3" w14:textId="77777777" w:rsidTr="00D12830">
        <w:trPr>
          <w:jc w:val="center"/>
        </w:trPr>
        <w:tc>
          <w:tcPr>
            <w:tcW w:w="1838" w:type="dxa"/>
            <w:tcBorders>
              <w:top w:val="single" w:sz="4" w:space="0" w:color="auto"/>
            </w:tcBorders>
          </w:tcPr>
          <w:p w14:paraId="1E89BD12"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PTPN2-F</w:t>
            </w:r>
          </w:p>
        </w:tc>
        <w:tc>
          <w:tcPr>
            <w:tcW w:w="3827" w:type="dxa"/>
            <w:tcBorders>
              <w:top w:val="single" w:sz="4" w:space="0" w:color="auto"/>
            </w:tcBorders>
          </w:tcPr>
          <w:p w14:paraId="25270FD7"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ATCGAGCGGGAGTTCGA</w:t>
            </w:r>
          </w:p>
        </w:tc>
      </w:tr>
      <w:tr w:rsidR="004B7D51" w:rsidRPr="004B7D51" w14:paraId="37AB6E06" w14:textId="77777777" w:rsidTr="00D12830">
        <w:trPr>
          <w:jc w:val="center"/>
        </w:trPr>
        <w:tc>
          <w:tcPr>
            <w:tcW w:w="1838" w:type="dxa"/>
          </w:tcPr>
          <w:p w14:paraId="5C97D7CF"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PTPN2-R</w:t>
            </w:r>
          </w:p>
        </w:tc>
        <w:tc>
          <w:tcPr>
            <w:tcW w:w="3827" w:type="dxa"/>
          </w:tcPr>
          <w:p w14:paraId="483F18E9"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TCTGGAAACTTGGCCACTC</w:t>
            </w:r>
          </w:p>
        </w:tc>
      </w:tr>
      <w:tr w:rsidR="004B7D51" w:rsidRPr="004B7D51" w14:paraId="537312E3" w14:textId="77777777" w:rsidTr="00D12830">
        <w:trPr>
          <w:jc w:val="center"/>
        </w:trPr>
        <w:tc>
          <w:tcPr>
            <w:tcW w:w="1838" w:type="dxa"/>
          </w:tcPr>
          <w:p w14:paraId="46A8ABAE"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GAPDH-F</w:t>
            </w:r>
          </w:p>
        </w:tc>
        <w:tc>
          <w:tcPr>
            <w:tcW w:w="3827" w:type="dxa"/>
          </w:tcPr>
          <w:p w14:paraId="4FCF0156"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CAGCCTCAAGATCATCAGCAA</w:t>
            </w:r>
          </w:p>
        </w:tc>
      </w:tr>
      <w:tr w:rsidR="004B7D51" w:rsidRPr="004B7D51" w14:paraId="227E128C" w14:textId="77777777" w:rsidTr="00D12830">
        <w:trPr>
          <w:jc w:val="center"/>
        </w:trPr>
        <w:tc>
          <w:tcPr>
            <w:tcW w:w="1838" w:type="dxa"/>
          </w:tcPr>
          <w:p w14:paraId="00A875B8"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GAPDH-R</w:t>
            </w:r>
          </w:p>
        </w:tc>
        <w:tc>
          <w:tcPr>
            <w:tcW w:w="3827" w:type="dxa"/>
          </w:tcPr>
          <w:p w14:paraId="59B8D2DB"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TGTGGTCATGAGTCCTTCCA</w:t>
            </w:r>
          </w:p>
        </w:tc>
      </w:tr>
    </w:tbl>
    <w:p w14:paraId="599A54E2" w14:textId="77777777" w:rsidR="004B7D51" w:rsidRPr="004B7D51" w:rsidRDefault="004B7D51" w:rsidP="004B7D51">
      <w:pPr>
        <w:spacing w:line="276" w:lineRule="auto"/>
        <w:jc w:val="left"/>
        <w:rPr>
          <w:rFonts w:cs="Times New Roman"/>
          <w:sz w:val="22"/>
          <w:szCs w:val="22"/>
        </w:rPr>
      </w:pPr>
    </w:p>
    <w:p w14:paraId="6B4B6439" w14:textId="77777777" w:rsidR="004B7D51" w:rsidRPr="004B7D51" w:rsidRDefault="004B7D51" w:rsidP="004B7D51">
      <w:pPr>
        <w:spacing w:after="240" w:line="276" w:lineRule="auto"/>
        <w:rPr>
          <w:rFonts w:cs="Times New Roman"/>
          <w:sz w:val="22"/>
          <w:szCs w:val="22"/>
        </w:rPr>
      </w:pPr>
      <w:r w:rsidRPr="004B7D51">
        <w:rPr>
          <w:rFonts w:cs="Times New Roman"/>
          <w:sz w:val="22"/>
          <w:szCs w:val="22"/>
        </w:rPr>
        <w:t>Supplementary Table S2. Gene in the prognostic classifier.</w:t>
      </w:r>
    </w:p>
    <w:tbl>
      <w:tblPr>
        <w:tblStyle w:val="a7"/>
        <w:tblW w:w="0" w:type="auto"/>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838"/>
        <w:gridCol w:w="3827"/>
      </w:tblGrid>
      <w:tr w:rsidR="004B7D51" w:rsidRPr="004B7D51" w14:paraId="24994128" w14:textId="77777777" w:rsidTr="00D12830">
        <w:trPr>
          <w:jc w:val="center"/>
        </w:trPr>
        <w:tc>
          <w:tcPr>
            <w:tcW w:w="1838" w:type="dxa"/>
            <w:tcBorders>
              <w:top w:val="single" w:sz="12" w:space="0" w:color="auto"/>
              <w:bottom w:val="single" w:sz="4" w:space="0" w:color="auto"/>
            </w:tcBorders>
          </w:tcPr>
          <w:p w14:paraId="4650DFF5"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Gene</w:t>
            </w:r>
          </w:p>
        </w:tc>
        <w:tc>
          <w:tcPr>
            <w:tcW w:w="3827" w:type="dxa"/>
            <w:tcBorders>
              <w:top w:val="single" w:sz="12" w:space="0" w:color="auto"/>
              <w:bottom w:val="single" w:sz="4" w:space="0" w:color="auto"/>
            </w:tcBorders>
          </w:tcPr>
          <w:p w14:paraId="27ACA095"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LASSO coefficient</w:t>
            </w:r>
          </w:p>
        </w:tc>
      </w:tr>
      <w:tr w:rsidR="004B7D51" w:rsidRPr="004B7D51" w14:paraId="0183EEC6" w14:textId="77777777" w:rsidTr="00D12830">
        <w:trPr>
          <w:jc w:val="center"/>
        </w:trPr>
        <w:tc>
          <w:tcPr>
            <w:tcW w:w="1838" w:type="dxa"/>
            <w:tcBorders>
              <w:top w:val="single" w:sz="4" w:space="0" w:color="auto"/>
            </w:tcBorders>
          </w:tcPr>
          <w:p w14:paraId="26656AE2"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ETS2</w:t>
            </w:r>
          </w:p>
        </w:tc>
        <w:tc>
          <w:tcPr>
            <w:tcW w:w="3827" w:type="dxa"/>
            <w:tcBorders>
              <w:top w:val="single" w:sz="4" w:space="0" w:color="auto"/>
            </w:tcBorders>
          </w:tcPr>
          <w:p w14:paraId="1BC2214B"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0.152206159</w:t>
            </w:r>
          </w:p>
        </w:tc>
      </w:tr>
      <w:tr w:rsidR="004B7D51" w:rsidRPr="004B7D51" w14:paraId="3920D684" w14:textId="77777777" w:rsidTr="00D12830">
        <w:trPr>
          <w:jc w:val="center"/>
        </w:trPr>
        <w:tc>
          <w:tcPr>
            <w:tcW w:w="1838" w:type="dxa"/>
          </w:tcPr>
          <w:p w14:paraId="3D6BE212"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FGR</w:t>
            </w:r>
          </w:p>
        </w:tc>
        <w:tc>
          <w:tcPr>
            <w:tcW w:w="3827" w:type="dxa"/>
          </w:tcPr>
          <w:p w14:paraId="6ECC9298"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0.160595683</w:t>
            </w:r>
          </w:p>
        </w:tc>
      </w:tr>
      <w:tr w:rsidR="004B7D51" w:rsidRPr="004B7D51" w14:paraId="11FD6A64" w14:textId="77777777" w:rsidTr="00D12830">
        <w:trPr>
          <w:jc w:val="center"/>
        </w:trPr>
        <w:tc>
          <w:tcPr>
            <w:tcW w:w="1838" w:type="dxa"/>
          </w:tcPr>
          <w:p w14:paraId="3BD26530"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GSTK1</w:t>
            </w:r>
          </w:p>
        </w:tc>
        <w:tc>
          <w:tcPr>
            <w:tcW w:w="3827" w:type="dxa"/>
          </w:tcPr>
          <w:p w14:paraId="1180B71C"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-0.323989063</w:t>
            </w:r>
          </w:p>
        </w:tc>
      </w:tr>
      <w:tr w:rsidR="004B7D51" w:rsidRPr="004B7D51" w14:paraId="41348934" w14:textId="77777777" w:rsidTr="00D12830">
        <w:trPr>
          <w:jc w:val="center"/>
        </w:trPr>
        <w:tc>
          <w:tcPr>
            <w:tcW w:w="1838" w:type="dxa"/>
          </w:tcPr>
          <w:p w14:paraId="41E7412A"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NR4A2</w:t>
            </w:r>
          </w:p>
        </w:tc>
        <w:tc>
          <w:tcPr>
            <w:tcW w:w="3827" w:type="dxa"/>
          </w:tcPr>
          <w:p w14:paraId="5FBBC2FF"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-0.078208265</w:t>
            </w:r>
          </w:p>
        </w:tc>
      </w:tr>
      <w:tr w:rsidR="004B7D51" w:rsidRPr="004B7D51" w14:paraId="4ADFEC89" w14:textId="77777777" w:rsidTr="00D12830">
        <w:trPr>
          <w:jc w:val="center"/>
        </w:trPr>
        <w:tc>
          <w:tcPr>
            <w:tcW w:w="1838" w:type="dxa"/>
          </w:tcPr>
          <w:p w14:paraId="17805E32"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HOXA10</w:t>
            </w:r>
          </w:p>
        </w:tc>
        <w:tc>
          <w:tcPr>
            <w:tcW w:w="3827" w:type="dxa"/>
          </w:tcPr>
          <w:p w14:paraId="32AA5086"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0.082900421</w:t>
            </w:r>
          </w:p>
        </w:tc>
      </w:tr>
      <w:tr w:rsidR="004B7D51" w:rsidRPr="004B7D51" w14:paraId="3778EB89" w14:textId="77777777" w:rsidTr="00D12830">
        <w:trPr>
          <w:jc w:val="center"/>
        </w:trPr>
        <w:tc>
          <w:tcPr>
            <w:tcW w:w="1838" w:type="dxa"/>
          </w:tcPr>
          <w:p w14:paraId="0B822508"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MTHFR</w:t>
            </w:r>
          </w:p>
        </w:tc>
        <w:tc>
          <w:tcPr>
            <w:tcW w:w="3827" w:type="dxa"/>
          </w:tcPr>
          <w:p w14:paraId="1AD34E8B"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0.2605123</w:t>
            </w:r>
          </w:p>
        </w:tc>
      </w:tr>
      <w:tr w:rsidR="004B7D51" w:rsidRPr="004B7D51" w14:paraId="4E23CE2A" w14:textId="77777777" w:rsidTr="00D12830">
        <w:trPr>
          <w:jc w:val="center"/>
        </w:trPr>
        <w:tc>
          <w:tcPr>
            <w:tcW w:w="1838" w:type="dxa"/>
          </w:tcPr>
          <w:p w14:paraId="34F0B3B9"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ZFR</w:t>
            </w:r>
          </w:p>
        </w:tc>
        <w:tc>
          <w:tcPr>
            <w:tcW w:w="3827" w:type="dxa"/>
          </w:tcPr>
          <w:p w14:paraId="112B8897"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-0.30884948</w:t>
            </w:r>
          </w:p>
        </w:tc>
      </w:tr>
      <w:tr w:rsidR="004B7D51" w:rsidRPr="004B7D51" w14:paraId="0F03E186" w14:textId="77777777" w:rsidTr="00D12830">
        <w:trPr>
          <w:jc w:val="center"/>
        </w:trPr>
        <w:tc>
          <w:tcPr>
            <w:tcW w:w="1838" w:type="dxa"/>
          </w:tcPr>
          <w:p w14:paraId="4EA8FBC5"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CCND3</w:t>
            </w:r>
          </w:p>
        </w:tc>
        <w:tc>
          <w:tcPr>
            <w:tcW w:w="3827" w:type="dxa"/>
          </w:tcPr>
          <w:p w14:paraId="43CF9E97"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0.229274358</w:t>
            </w:r>
          </w:p>
        </w:tc>
      </w:tr>
      <w:tr w:rsidR="004B7D51" w:rsidRPr="004B7D51" w14:paraId="57C9214E" w14:textId="77777777" w:rsidTr="00D12830">
        <w:trPr>
          <w:jc w:val="center"/>
        </w:trPr>
        <w:tc>
          <w:tcPr>
            <w:tcW w:w="1838" w:type="dxa"/>
          </w:tcPr>
          <w:p w14:paraId="22EF7CEA"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HYAL2</w:t>
            </w:r>
          </w:p>
        </w:tc>
        <w:tc>
          <w:tcPr>
            <w:tcW w:w="3827" w:type="dxa"/>
          </w:tcPr>
          <w:p w14:paraId="5897EF6E"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-0.128095236</w:t>
            </w:r>
          </w:p>
        </w:tc>
      </w:tr>
      <w:tr w:rsidR="004B7D51" w:rsidRPr="004B7D51" w14:paraId="2822DB54" w14:textId="77777777" w:rsidTr="00D12830">
        <w:trPr>
          <w:jc w:val="center"/>
        </w:trPr>
        <w:tc>
          <w:tcPr>
            <w:tcW w:w="1838" w:type="dxa"/>
          </w:tcPr>
          <w:p w14:paraId="5A0F9F13"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LSM3</w:t>
            </w:r>
          </w:p>
        </w:tc>
        <w:tc>
          <w:tcPr>
            <w:tcW w:w="3827" w:type="dxa"/>
          </w:tcPr>
          <w:p w14:paraId="245691C4"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0.295255661</w:t>
            </w:r>
          </w:p>
        </w:tc>
      </w:tr>
      <w:tr w:rsidR="004B7D51" w:rsidRPr="004B7D51" w14:paraId="2A0484D2" w14:textId="77777777" w:rsidTr="00D12830">
        <w:trPr>
          <w:jc w:val="center"/>
        </w:trPr>
        <w:tc>
          <w:tcPr>
            <w:tcW w:w="1838" w:type="dxa"/>
          </w:tcPr>
          <w:p w14:paraId="5C44F829"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MICALL2</w:t>
            </w:r>
          </w:p>
        </w:tc>
        <w:tc>
          <w:tcPr>
            <w:tcW w:w="3827" w:type="dxa"/>
          </w:tcPr>
          <w:p w14:paraId="5CF12425"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-0.130326596</w:t>
            </w:r>
          </w:p>
        </w:tc>
      </w:tr>
      <w:tr w:rsidR="004B7D51" w:rsidRPr="004B7D51" w14:paraId="7944193B" w14:textId="77777777" w:rsidTr="00D12830">
        <w:trPr>
          <w:jc w:val="center"/>
        </w:trPr>
        <w:tc>
          <w:tcPr>
            <w:tcW w:w="1838" w:type="dxa"/>
          </w:tcPr>
          <w:p w14:paraId="0A683CEA"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PACS2</w:t>
            </w:r>
          </w:p>
        </w:tc>
        <w:tc>
          <w:tcPr>
            <w:tcW w:w="3827" w:type="dxa"/>
          </w:tcPr>
          <w:p w14:paraId="5BF5A191"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0.445454662</w:t>
            </w:r>
          </w:p>
        </w:tc>
      </w:tr>
      <w:tr w:rsidR="004B7D51" w:rsidRPr="004B7D51" w14:paraId="55B3D7EF" w14:textId="77777777" w:rsidTr="00D12830">
        <w:trPr>
          <w:jc w:val="center"/>
        </w:trPr>
        <w:tc>
          <w:tcPr>
            <w:tcW w:w="1838" w:type="dxa"/>
          </w:tcPr>
          <w:p w14:paraId="4488D94E"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MTMR9</w:t>
            </w:r>
          </w:p>
        </w:tc>
        <w:tc>
          <w:tcPr>
            <w:tcW w:w="3827" w:type="dxa"/>
          </w:tcPr>
          <w:p w14:paraId="51055C54"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0.408594217</w:t>
            </w:r>
          </w:p>
        </w:tc>
      </w:tr>
      <w:tr w:rsidR="004B7D51" w:rsidRPr="004B7D51" w14:paraId="27422591" w14:textId="77777777" w:rsidTr="00D12830">
        <w:trPr>
          <w:jc w:val="center"/>
        </w:trPr>
        <w:tc>
          <w:tcPr>
            <w:tcW w:w="1838" w:type="dxa"/>
          </w:tcPr>
          <w:p w14:paraId="6F6FC85C"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RAB22A</w:t>
            </w:r>
          </w:p>
        </w:tc>
        <w:tc>
          <w:tcPr>
            <w:tcW w:w="3827" w:type="dxa"/>
          </w:tcPr>
          <w:p w14:paraId="2E6657C6"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-0.305984026</w:t>
            </w:r>
          </w:p>
        </w:tc>
      </w:tr>
      <w:tr w:rsidR="004B7D51" w:rsidRPr="004B7D51" w14:paraId="5584D46D" w14:textId="77777777" w:rsidTr="00D12830">
        <w:trPr>
          <w:jc w:val="center"/>
        </w:trPr>
        <w:tc>
          <w:tcPr>
            <w:tcW w:w="1838" w:type="dxa"/>
          </w:tcPr>
          <w:p w14:paraId="2FA7EEF6"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CYP1B1</w:t>
            </w:r>
          </w:p>
        </w:tc>
        <w:tc>
          <w:tcPr>
            <w:tcW w:w="3827" w:type="dxa"/>
          </w:tcPr>
          <w:p w14:paraId="5887318D"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0.127854503</w:t>
            </w:r>
          </w:p>
        </w:tc>
      </w:tr>
      <w:tr w:rsidR="004B7D51" w:rsidRPr="004B7D51" w14:paraId="03715560" w14:textId="77777777" w:rsidTr="00D12830">
        <w:trPr>
          <w:jc w:val="center"/>
        </w:trPr>
        <w:tc>
          <w:tcPr>
            <w:tcW w:w="1838" w:type="dxa"/>
          </w:tcPr>
          <w:p w14:paraId="63D62A25"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GCH1</w:t>
            </w:r>
          </w:p>
        </w:tc>
        <w:tc>
          <w:tcPr>
            <w:tcW w:w="3827" w:type="dxa"/>
          </w:tcPr>
          <w:p w14:paraId="2A1BB166"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0.190644948</w:t>
            </w:r>
          </w:p>
        </w:tc>
      </w:tr>
      <w:tr w:rsidR="004B7D51" w:rsidRPr="004B7D51" w14:paraId="6D076B4B" w14:textId="77777777" w:rsidTr="00D12830">
        <w:trPr>
          <w:jc w:val="center"/>
        </w:trPr>
        <w:tc>
          <w:tcPr>
            <w:tcW w:w="1838" w:type="dxa"/>
          </w:tcPr>
          <w:p w14:paraId="2DE4E3A5"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AOAH</w:t>
            </w:r>
          </w:p>
        </w:tc>
        <w:tc>
          <w:tcPr>
            <w:tcW w:w="3827" w:type="dxa"/>
          </w:tcPr>
          <w:p w14:paraId="40FE0B61"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-0.185088463</w:t>
            </w:r>
          </w:p>
        </w:tc>
      </w:tr>
      <w:tr w:rsidR="004B7D51" w:rsidRPr="004B7D51" w14:paraId="181B2ECE" w14:textId="77777777" w:rsidTr="00D12830">
        <w:trPr>
          <w:jc w:val="center"/>
        </w:trPr>
        <w:tc>
          <w:tcPr>
            <w:tcW w:w="1838" w:type="dxa"/>
          </w:tcPr>
          <w:p w14:paraId="50ABFB08"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HCFC2</w:t>
            </w:r>
          </w:p>
        </w:tc>
        <w:tc>
          <w:tcPr>
            <w:tcW w:w="3827" w:type="dxa"/>
          </w:tcPr>
          <w:p w14:paraId="70CA3333"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0.378472849</w:t>
            </w:r>
          </w:p>
        </w:tc>
      </w:tr>
      <w:tr w:rsidR="004B7D51" w:rsidRPr="004B7D51" w14:paraId="5F390690" w14:textId="77777777" w:rsidTr="00D12830">
        <w:trPr>
          <w:jc w:val="center"/>
        </w:trPr>
        <w:tc>
          <w:tcPr>
            <w:tcW w:w="1838" w:type="dxa"/>
          </w:tcPr>
          <w:p w14:paraId="65DF514D"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ABCA1</w:t>
            </w:r>
          </w:p>
        </w:tc>
        <w:tc>
          <w:tcPr>
            <w:tcW w:w="3827" w:type="dxa"/>
          </w:tcPr>
          <w:p w14:paraId="433EE737"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-0.125409636</w:t>
            </w:r>
          </w:p>
        </w:tc>
      </w:tr>
      <w:tr w:rsidR="004B7D51" w:rsidRPr="004B7D51" w14:paraId="0C7C03D8" w14:textId="77777777" w:rsidTr="00D12830">
        <w:trPr>
          <w:jc w:val="center"/>
        </w:trPr>
        <w:tc>
          <w:tcPr>
            <w:tcW w:w="1838" w:type="dxa"/>
          </w:tcPr>
          <w:p w14:paraId="29BDBD7F"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DNAJC15</w:t>
            </w:r>
          </w:p>
        </w:tc>
        <w:tc>
          <w:tcPr>
            <w:tcW w:w="3827" w:type="dxa"/>
          </w:tcPr>
          <w:p w14:paraId="6F1B7C4A"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0.39084415</w:t>
            </w:r>
          </w:p>
        </w:tc>
      </w:tr>
      <w:tr w:rsidR="004B7D51" w:rsidRPr="004B7D51" w14:paraId="00634A43" w14:textId="77777777" w:rsidTr="00D12830">
        <w:trPr>
          <w:jc w:val="center"/>
        </w:trPr>
        <w:tc>
          <w:tcPr>
            <w:tcW w:w="1838" w:type="dxa"/>
          </w:tcPr>
          <w:p w14:paraId="0CAC2ABF"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PDE8A</w:t>
            </w:r>
          </w:p>
        </w:tc>
        <w:tc>
          <w:tcPr>
            <w:tcW w:w="3827" w:type="dxa"/>
          </w:tcPr>
          <w:p w14:paraId="43F09A7B"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-0.508755306</w:t>
            </w:r>
          </w:p>
        </w:tc>
      </w:tr>
      <w:tr w:rsidR="004B7D51" w:rsidRPr="004B7D51" w14:paraId="16E1E943" w14:textId="77777777" w:rsidTr="00D12830">
        <w:trPr>
          <w:jc w:val="center"/>
        </w:trPr>
        <w:tc>
          <w:tcPr>
            <w:tcW w:w="1838" w:type="dxa"/>
          </w:tcPr>
          <w:p w14:paraId="7C249D31"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LY96</w:t>
            </w:r>
          </w:p>
        </w:tc>
        <w:tc>
          <w:tcPr>
            <w:tcW w:w="3827" w:type="dxa"/>
          </w:tcPr>
          <w:p w14:paraId="23AF4B21"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-0.322871014</w:t>
            </w:r>
          </w:p>
        </w:tc>
      </w:tr>
      <w:tr w:rsidR="004B7D51" w:rsidRPr="004B7D51" w14:paraId="783CB6F9" w14:textId="77777777" w:rsidTr="00D12830">
        <w:trPr>
          <w:jc w:val="center"/>
        </w:trPr>
        <w:tc>
          <w:tcPr>
            <w:tcW w:w="1838" w:type="dxa"/>
          </w:tcPr>
          <w:p w14:paraId="73BE729F"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TBR1</w:t>
            </w:r>
          </w:p>
        </w:tc>
        <w:tc>
          <w:tcPr>
            <w:tcW w:w="3827" w:type="dxa"/>
          </w:tcPr>
          <w:p w14:paraId="6C40424F"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-0.253813366</w:t>
            </w:r>
          </w:p>
        </w:tc>
      </w:tr>
      <w:tr w:rsidR="004B7D51" w:rsidRPr="004B7D51" w14:paraId="2E1BABB8" w14:textId="77777777" w:rsidTr="00D12830">
        <w:trPr>
          <w:jc w:val="center"/>
        </w:trPr>
        <w:tc>
          <w:tcPr>
            <w:tcW w:w="1838" w:type="dxa"/>
          </w:tcPr>
          <w:p w14:paraId="4C446C69"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GPD1</w:t>
            </w:r>
          </w:p>
        </w:tc>
        <w:tc>
          <w:tcPr>
            <w:tcW w:w="3827" w:type="dxa"/>
          </w:tcPr>
          <w:p w14:paraId="77FFDF05" w14:textId="77777777" w:rsidR="004B7D51" w:rsidRPr="004B7D51" w:rsidRDefault="004B7D51" w:rsidP="004B7D51">
            <w:pPr>
              <w:spacing w:line="276" w:lineRule="auto"/>
              <w:jc w:val="left"/>
              <w:rPr>
                <w:rFonts w:cs="Times New Roman"/>
                <w:sz w:val="22"/>
                <w:szCs w:val="22"/>
              </w:rPr>
            </w:pPr>
            <w:r w:rsidRPr="004B7D51">
              <w:rPr>
                <w:rFonts w:cs="Times New Roman"/>
                <w:sz w:val="22"/>
                <w:szCs w:val="22"/>
              </w:rPr>
              <w:t>0.407917155</w:t>
            </w:r>
          </w:p>
        </w:tc>
      </w:tr>
    </w:tbl>
    <w:p w14:paraId="624C8479" w14:textId="77777777" w:rsidR="001E46E1" w:rsidRPr="007C7EE6" w:rsidRDefault="001E46E1" w:rsidP="007C7EE6">
      <w:pPr>
        <w:spacing w:line="276" w:lineRule="auto"/>
        <w:rPr>
          <w:rFonts w:eastAsiaTheme="minorEastAsia" w:cs="Times New Roman" w:hint="eastAsia"/>
          <w:sz w:val="22"/>
          <w:szCs w:val="22"/>
        </w:rPr>
      </w:pPr>
    </w:p>
    <w:sectPr w:rsidR="001E46E1" w:rsidRPr="007C7EE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DEF1CD" w14:textId="77777777" w:rsidR="00695823" w:rsidRDefault="00695823" w:rsidP="00203E0A">
      <w:r>
        <w:separator/>
      </w:r>
    </w:p>
  </w:endnote>
  <w:endnote w:type="continuationSeparator" w:id="0">
    <w:p w14:paraId="3793C619" w14:textId="77777777" w:rsidR="00695823" w:rsidRDefault="00695823" w:rsidP="00203E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Mongolian Baiti">
    <w:panose1 w:val="03000500000000000000"/>
    <w:charset w:val="00"/>
    <w:family w:val="script"/>
    <w:pitch w:val="variable"/>
    <w:sig w:usb0="80000023" w:usb1="00000000" w:usb2="00020000" w:usb3="00000000" w:csb0="0000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FD386E" w14:textId="77777777" w:rsidR="00695823" w:rsidRDefault="00695823" w:rsidP="00203E0A">
      <w:r>
        <w:separator/>
      </w:r>
    </w:p>
  </w:footnote>
  <w:footnote w:type="continuationSeparator" w:id="0">
    <w:p w14:paraId="25E904B7" w14:textId="77777777" w:rsidR="00695823" w:rsidRDefault="00695823" w:rsidP="00203E0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3815"/>
    <w:rsid w:val="000821DE"/>
    <w:rsid w:val="001E46E1"/>
    <w:rsid w:val="001F77EB"/>
    <w:rsid w:val="00203E0A"/>
    <w:rsid w:val="0036036B"/>
    <w:rsid w:val="003C0BDE"/>
    <w:rsid w:val="00422F64"/>
    <w:rsid w:val="00482A25"/>
    <w:rsid w:val="004B7D51"/>
    <w:rsid w:val="0069316B"/>
    <w:rsid w:val="00695823"/>
    <w:rsid w:val="007C7EE6"/>
    <w:rsid w:val="00823815"/>
    <w:rsid w:val="008D6E41"/>
    <w:rsid w:val="009B5ADF"/>
    <w:rsid w:val="00B92FBD"/>
    <w:rsid w:val="00BA4851"/>
    <w:rsid w:val="00D63A15"/>
  </w:rsids>
  <m:mathPr>
    <m:mathFont m:val="Cambria Math"/>
    <m:brkBin m:val="before"/>
    <m:brkBinSub m:val="--"/>
    <m:smallFrac m:val="0"/>
    <m:dispDef/>
    <m:lMargin m:val="0"/>
    <m:rMargin m:val="0"/>
    <m:defJc m:val="centerGroup"/>
    <m:wrapIndent m:val="1440"/>
    <m:intLim m:val="subSup"/>
    <m:naryLim m:val="undOvr"/>
  </m:mathPr>
  <w:themeFontLang w:val="en-US" w:eastAsia="zh-CN" w:bidi="mn-Mong-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25DCE3"/>
  <w15:chartTrackingRefBased/>
  <w15:docId w15:val="{0B1EA1D8-19C6-4C2C-B909-499AE405D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03E0A"/>
    <w:pPr>
      <w:widowControl w:val="0"/>
      <w:jc w:val="both"/>
    </w:pPr>
    <w:rPr>
      <w:rFonts w:ascii="Times New Roman" w:eastAsia="Times New Roman" w:hAnsi="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03E0A"/>
    <w:pPr>
      <w:pBdr>
        <w:bottom w:val="single" w:sz="6" w:space="1" w:color="auto"/>
      </w:pBdr>
      <w:tabs>
        <w:tab w:val="center" w:pos="4153"/>
        <w:tab w:val="right" w:pos="8306"/>
      </w:tabs>
      <w:snapToGrid w:val="0"/>
      <w:jc w:val="center"/>
    </w:pPr>
    <w:rPr>
      <w:rFonts w:asciiTheme="minorHAnsi" w:eastAsiaTheme="minorEastAsia" w:hAnsiTheme="minorHAnsi"/>
      <w:sz w:val="18"/>
      <w:szCs w:val="18"/>
    </w:rPr>
  </w:style>
  <w:style w:type="character" w:customStyle="1" w:styleId="a4">
    <w:name w:val="页眉 字符"/>
    <w:basedOn w:val="a0"/>
    <w:link w:val="a3"/>
    <w:uiPriority w:val="99"/>
    <w:rsid w:val="00203E0A"/>
    <w:rPr>
      <w:sz w:val="18"/>
      <w:szCs w:val="18"/>
    </w:rPr>
  </w:style>
  <w:style w:type="paragraph" w:styleId="a5">
    <w:name w:val="footer"/>
    <w:basedOn w:val="a"/>
    <w:link w:val="a6"/>
    <w:uiPriority w:val="99"/>
    <w:unhideWhenUsed/>
    <w:rsid w:val="00203E0A"/>
    <w:pPr>
      <w:tabs>
        <w:tab w:val="center" w:pos="4153"/>
        <w:tab w:val="right" w:pos="8306"/>
      </w:tabs>
      <w:snapToGrid w:val="0"/>
      <w:jc w:val="left"/>
    </w:pPr>
    <w:rPr>
      <w:rFonts w:asciiTheme="minorHAnsi" w:eastAsiaTheme="minorEastAsia" w:hAnsiTheme="minorHAnsi"/>
      <w:sz w:val="18"/>
      <w:szCs w:val="18"/>
    </w:rPr>
  </w:style>
  <w:style w:type="character" w:customStyle="1" w:styleId="a6">
    <w:name w:val="页脚 字符"/>
    <w:basedOn w:val="a0"/>
    <w:link w:val="a5"/>
    <w:uiPriority w:val="99"/>
    <w:rsid w:val="00203E0A"/>
    <w:rPr>
      <w:sz w:val="18"/>
      <w:szCs w:val="18"/>
    </w:rPr>
  </w:style>
  <w:style w:type="table" w:styleId="a7">
    <w:name w:val="Table Grid"/>
    <w:basedOn w:val="a1"/>
    <w:uiPriority w:val="39"/>
    <w:rsid w:val="004B7D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ettings" Target="settings.xml"/><Relationship Id="rId16" Type="http://schemas.openxmlformats.org/officeDocument/2006/relationships/image" Target="media/image11.pn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14</Pages>
  <Words>732</Words>
  <Characters>4178</Characters>
  <Application>Microsoft Office Word</Application>
  <DocSecurity>0</DocSecurity>
  <Lines>34</Lines>
  <Paragraphs>9</Paragraphs>
  <ScaleCrop>false</ScaleCrop>
  <Company/>
  <LinksUpToDate>false</LinksUpToDate>
  <CharactersWithSpaces>4901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 shuhong</dc:creator>
  <cp:keywords/>
  <dc:description/>
  <cp:lastModifiedBy>yu shuhong</cp:lastModifiedBy>
  <cp:revision>7</cp:revision>
  <dcterms:created xsi:type="dcterms:W3CDTF">2023-05-09T14:51:00Z</dcterms:created>
  <dcterms:modified xsi:type="dcterms:W3CDTF">2023-05-10T08:56:00Z</dcterms:modified>
</cp:coreProperties>
</file>