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9DF98" w14:textId="69B94B5C" w:rsidR="00AC4A5A" w:rsidRDefault="00AC4A5A">
      <w:pPr>
        <w:rPr>
          <w:rFonts w:ascii="Arial" w:eastAsia="Times New Roman" w:hAnsi="Arial"/>
          <w:b/>
          <w:sz w:val="22"/>
          <w:szCs w:val="22"/>
          <w:lang w:val="en-US" w:eastAsia="en-US"/>
        </w:rPr>
      </w:pPr>
    </w:p>
    <w:p w14:paraId="26921DC2" w14:textId="77777777" w:rsidR="00BB29CF" w:rsidRDefault="00BB29CF" w:rsidP="00643569">
      <w:pPr>
        <w:pStyle w:val="paragraph"/>
        <w:spacing w:before="0" w:beforeAutospacing="0" w:after="0" w:afterAutospacing="0" w:line="360" w:lineRule="auto"/>
        <w:jc w:val="both"/>
        <w:textAlignment w:val="baseline"/>
        <w:rPr>
          <w:rFonts w:ascii="Arial" w:hAnsi="Arial" w:cs="Arial"/>
          <w:b/>
          <w:sz w:val="22"/>
          <w:szCs w:val="22"/>
        </w:rPr>
      </w:pPr>
    </w:p>
    <w:p w14:paraId="2AF79B05" w14:textId="77777777" w:rsidR="00E516CE" w:rsidRDefault="00E516CE" w:rsidP="00E516CE">
      <w:pPr>
        <w:pStyle w:val="paragraph"/>
        <w:spacing w:before="0" w:beforeAutospacing="0" w:after="0" w:afterAutospacing="0" w:line="360" w:lineRule="auto"/>
        <w:jc w:val="both"/>
        <w:textAlignment w:val="baseline"/>
        <w:rPr>
          <w:rFonts w:ascii="Arial" w:hAnsi="Arial" w:cs="Arial"/>
          <w:b/>
          <w:sz w:val="22"/>
          <w:szCs w:val="22"/>
        </w:rPr>
      </w:pPr>
    </w:p>
    <w:p w14:paraId="7802D851" w14:textId="77777777" w:rsidR="00E516CE" w:rsidRDefault="00E516CE" w:rsidP="00E516CE">
      <w:pPr>
        <w:pStyle w:val="paragraph"/>
        <w:spacing w:before="0" w:beforeAutospacing="0" w:after="0" w:afterAutospacing="0" w:line="360" w:lineRule="auto"/>
        <w:jc w:val="both"/>
        <w:textAlignment w:val="baseline"/>
        <w:rPr>
          <w:rFonts w:ascii="Arial" w:hAnsi="Arial" w:cs="Arial"/>
          <w:b/>
          <w:sz w:val="22"/>
          <w:szCs w:val="22"/>
        </w:rPr>
      </w:pPr>
      <w:r>
        <w:rPr>
          <w:rFonts w:ascii="Arial" w:hAnsi="Arial" w:cs="Arial"/>
          <w:b/>
          <w:noProof/>
          <w:sz w:val="22"/>
          <w:szCs w:val="22"/>
        </w:rPr>
        <w:drawing>
          <wp:inline distT="0" distB="0" distL="0" distR="0" wp14:anchorId="74236646" wp14:editId="0D1773BC">
            <wp:extent cx="5946140" cy="3175000"/>
            <wp:effectExtent l="0" t="0" r="0" b="0"/>
            <wp:docPr id="48" name="Picture 48" descr="Chart, scatter chart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hart, scatter chart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6140" cy="3175000"/>
                    </a:xfrm>
                    <a:prstGeom prst="rect">
                      <a:avLst/>
                    </a:prstGeom>
                    <a:noFill/>
                    <a:ln>
                      <a:noFill/>
                    </a:ln>
                  </pic:spPr>
                </pic:pic>
              </a:graphicData>
            </a:graphic>
          </wp:inline>
        </w:drawing>
      </w:r>
    </w:p>
    <w:p w14:paraId="2031A2E6" w14:textId="77777777" w:rsidR="00E516CE" w:rsidRPr="009F45E2" w:rsidRDefault="00E516CE" w:rsidP="00E516CE">
      <w:pPr>
        <w:pStyle w:val="paragraph"/>
        <w:spacing w:before="0" w:beforeAutospacing="0" w:after="0" w:afterAutospacing="0" w:line="360" w:lineRule="auto"/>
        <w:jc w:val="both"/>
        <w:textAlignment w:val="baseline"/>
        <w:rPr>
          <w:rStyle w:val="normaltextrun"/>
          <w:rFonts w:ascii="Arial" w:hAnsi="Arial" w:cs="Arial"/>
          <w:sz w:val="22"/>
          <w:szCs w:val="22"/>
          <w:lang w:val="en-CA"/>
        </w:rPr>
      </w:pPr>
      <w:r w:rsidRPr="00F13671">
        <w:rPr>
          <w:rFonts w:ascii="Arial" w:hAnsi="Arial" w:cs="Arial"/>
          <w:b/>
          <w:sz w:val="22"/>
          <w:szCs w:val="22"/>
        </w:rPr>
        <w:t xml:space="preserve">Extended Data </w:t>
      </w:r>
      <w:r w:rsidRPr="3E4CE7F8">
        <w:rPr>
          <w:rStyle w:val="normaltextrun"/>
          <w:rFonts w:ascii="Arial" w:hAnsi="Arial" w:cs="Arial"/>
          <w:b/>
          <w:sz w:val="22"/>
          <w:szCs w:val="22"/>
          <w:lang w:val="en-CA"/>
        </w:rPr>
        <w:t xml:space="preserve">Fig. </w:t>
      </w:r>
      <w:r>
        <w:rPr>
          <w:rStyle w:val="normaltextrun"/>
          <w:rFonts w:ascii="Arial" w:hAnsi="Arial" w:cs="Arial"/>
          <w:b/>
          <w:sz w:val="22"/>
          <w:szCs w:val="22"/>
          <w:lang w:val="en-CA"/>
        </w:rPr>
        <w:t>1 | Evaluation of performance of m</w:t>
      </w:r>
      <w:r w:rsidRPr="3E4CE7F8">
        <w:rPr>
          <w:rStyle w:val="normaltextrun"/>
          <w:rFonts w:ascii="Arial" w:hAnsi="Arial" w:cs="Arial"/>
          <w:b/>
          <w:sz w:val="22"/>
          <w:szCs w:val="22"/>
          <w:lang w:val="en-CA"/>
        </w:rPr>
        <w:t>ulti-model</w:t>
      </w:r>
      <w:r>
        <w:rPr>
          <w:rStyle w:val="normaltextrun"/>
          <w:rFonts w:ascii="Arial" w:hAnsi="Arial" w:cs="Arial"/>
          <w:b/>
          <w:sz w:val="22"/>
          <w:szCs w:val="22"/>
          <w:lang w:val="en-CA"/>
        </w:rPr>
        <w:t xml:space="preserve"> hydrological simulations and ridge regression models</w:t>
      </w:r>
      <w:r w:rsidRPr="3E4CE7F8">
        <w:rPr>
          <w:rStyle w:val="normaltextrun"/>
          <w:rFonts w:ascii="Arial" w:hAnsi="Arial" w:cs="Arial"/>
          <w:b/>
          <w:sz w:val="22"/>
          <w:szCs w:val="22"/>
          <w:lang w:val="en-CA"/>
        </w:rPr>
        <w:t>.</w:t>
      </w:r>
      <w:r w:rsidRPr="3E4CE7F8">
        <w:rPr>
          <w:rStyle w:val="normaltextrun"/>
          <w:rFonts w:ascii="Arial" w:hAnsi="Arial" w:cs="Arial"/>
          <w:sz w:val="22"/>
          <w:szCs w:val="22"/>
          <w:lang w:val="en-CA"/>
        </w:rPr>
        <w:t xml:space="preserve"> (a),</w:t>
      </w:r>
      <w:r w:rsidRPr="3E4CE7F8" w:rsidDel="002C52FC">
        <w:rPr>
          <w:rStyle w:val="normaltextrun"/>
          <w:rFonts w:ascii="Arial" w:hAnsi="Arial" w:cs="Arial"/>
          <w:sz w:val="22"/>
          <w:szCs w:val="22"/>
          <w:lang w:val="en-CA"/>
        </w:rPr>
        <w:t xml:space="preserve"> </w:t>
      </w:r>
      <w:r>
        <w:rPr>
          <w:rStyle w:val="normaltextrun"/>
          <w:rFonts w:ascii="Arial" w:hAnsi="Arial" w:cs="Arial"/>
          <w:sz w:val="22"/>
          <w:szCs w:val="22"/>
          <w:lang w:val="en-CA"/>
        </w:rPr>
        <w:t xml:space="preserve">AGTWS anomalies </w:t>
      </w:r>
      <w:r w:rsidRPr="3E4CE7F8">
        <w:rPr>
          <w:rStyle w:val="normaltextrun"/>
          <w:rFonts w:ascii="Arial" w:hAnsi="Arial" w:cs="Arial"/>
          <w:sz w:val="22"/>
          <w:szCs w:val="22"/>
          <w:lang w:val="en-CA"/>
        </w:rPr>
        <w:t>(excluding Greenland and Antarctica) for the multi-model mean and GRACE observations. Blue shading indicates the spread among 27 ensemble members. Orange shading indicates the range among three GRACE mascon solutions. The simulations from HIST (2002–2005)</w:t>
      </w:r>
      <w:r w:rsidRPr="3E4CE7F8" w:rsidDel="002C52FC">
        <w:rPr>
          <w:rStyle w:val="normaltextrun"/>
          <w:rFonts w:ascii="Arial" w:hAnsi="Arial" w:cs="Arial"/>
          <w:sz w:val="22"/>
          <w:szCs w:val="22"/>
          <w:lang w:val="en-CA"/>
        </w:rPr>
        <w:t xml:space="preserve"> </w:t>
      </w:r>
      <w:r w:rsidRPr="3E4CE7F8">
        <w:rPr>
          <w:rStyle w:val="normaltextrun"/>
          <w:rFonts w:ascii="Arial" w:hAnsi="Arial" w:cs="Arial"/>
          <w:sz w:val="22"/>
          <w:szCs w:val="22"/>
          <w:lang w:val="en-CA"/>
        </w:rPr>
        <w:t xml:space="preserve">were combined with the simulations from RCP2.6 (2006–2021) to cover the </w:t>
      </w:r>
      <w:r>
        <w:rPr>
          <w:rStyle w:val="normaltextrun"/>
          <w:rFonts w:ascii="Arial" w:hAnsi="Arial" w:cs="Arial"/>
          <w:sz w:val="22"/>
          <w:szCs w:val="22"/>
          <w:lang w:val="en-CA"/>
        </w:rPr>
        <w:t xml:space="preserve">entire </w:t>
      </w:r>
      <w:r w:rsidRPr="3E4CE7F8">
        <w:rPr>
          <w:rStyle w:val="normaltextrun"/>
          <w:rFonts w:ascii="Arial" w:hAnsi="Arial" w:cs="Arial"/>
          <w:sz w:val="22"/>
          <w:szCs w:val="22"/>
          <w:lang w:val="en-CA"/>
        </w:rPr>
        <w:t xml:space="preserve">evaluation period. </w:t>
      </w:r>
      <w:r>
        <w:rPr>
          <w:rStyle w:val="normaltextrun"/>
          <w:rFonts w:ascii="Arial" w:hAnsi="Arial" w:cs="Arial"/>
          <w:sz w:val="22"/>
          <w:szCs w:val="22"/>
          <w:lang w:val="en-CA"/>
        </w:rPr>
        <w:t>AGTWS anomalies are</w:t>
      </w:r>
      <w:r w:rsidRPr="3E4CE7F8">
        <w:rPr>
          <w:rStyle w:val="normaltextrun"/>
          <w:rFonts w:ascii="Arial" w:hAnsi="Arial" w:cs="Arial"/>
          <w:sz w:val="22"/>
          <w:szCs w:val="22"/>
          <w:lang w:val="en-CA"/>
        </w:rPr>
        <w:t xml:space="preserve"> area-weighted based on monthly TWS anomalies from global grids relative to their respective 2002–2021 mean seasonal cycle. (b), evaluation of performance for </w:t>
      </w:r>
      <w:r>
        <w:rPr>
          <w:rStyle w:val="normaltextrun"/>
          <w:rFonts w:ascii="Arial" w:hAnsi="Arial" w:cs="Arial"/>
          <w:sz w:val="22"/>
          <w:szCs w:val="22"/>
          <w:lang w:val="en-CA"/>
        </w:rPr>
        <w:t>AGTWS</w:t>
      </w:r>
      <w:r w:rsidRPr="3E4CE7F8">
        <w:rPr>
          <w:rStyle w:val="normaltextrun"/>
          <w:rFonts w:ascii="Arial" w:hAnsi="Arial" w:cs="Arial"/>
          <w:sz w:val="22"/>
          <w:szCs w:val="22"/>
          <w:lang w:val="en-CA"/>
        </w:rPr>
        <w:t xml:space="preserve"> predicted from the daily pattern of surface air temperature and specific humidity. The predicted ensemble mean </w:t>
      </w:r>
      <w:r>
        <w:rPr>
          <w:rStyle w:val="normaltextrun"/>
          <w:rFonts w:ascii="Arial" w:hAnsi="Arial" w:cs="Arial"/>
          <w:sz w:val="22"/>
          <w:szCs w:val="22"/>
          <w:lang w:val="en-CA"/>
        </w:rPr>
        <w:t>AGTWS</w:t>
      </w:r>
      <w:r w:rsidRPr="3E4CE7F8">
        <w:rPr>
          <w:rStyle w:val="normaltextrun"/>
          <w:rFonts w:ascii="Arial" w:hAnsi="Arial" w:cs="Arial"/>
          <w:sz w:val="22"/>
          <w:szCs w:val="22"/>
          <w:lang w:val="en-CA"/>
        </w:rPr>
        <w:t xml:space="preserve"> </w:t>
      </w:r>
      <w:r>
        <w:rPr>
          <w:rStyle w:val="normaltextrun"/>
          <w:rFonts w:ascii="Arial" w:hAnsi="Arial" w:cs="Arial"/>
          <w:sz w:val="22"/>
          <w:szCs w:val="22"/>
          <w:lang w:val="en-CA"/>
        </w:rPr>
        <w:t xml:space="preserve">anomalies </w:t>
      </w:r>
      <w:r w:rsidRPr="3E4CE7F8">
        <w:rPr>
          <w:rStyle w:val="normaltextrun"/>
          <w:rFonts w:ascii="Arial" w:hAnsi="Arial" w:cs="Arial"/>
          <w:sz w:val="22"/>
          <w:szCs w:val="22"/>
          <w:lang w:val="en-CA"/>
        </w:rPr>
        <w:t>w</w:t>
      </w:r>
      <w:r>
        <w:rPr>
          <w:rStyle w:val="normaltextrun"/>
          <w:rFonts w:ascii="Arial" w:hAnsi="Arial" w:cs="Arial"/>
          <w:sz w:val="22"/>
          <w:szCs w:val="22"/>
          <w:lang w:val="en-CA"/>
        </w:rPr>
        <w:t>ere</w:t>
      </w:r>
      <w:r w:rsidRPr="3E4CE7F8">
        <w:rPr>
          <w:rStyle w:val="normaltextrun"/>
          <w:rFonts w:ascii="Arial" w:hAnsi="Arial" w:cs="Arial"/>
          <w:sz w:val="22"/>
          <w:szCs w:val="22"/>
          <w:lang w:val="en-CA"/>
        </w:rPr>
        <w:t xml:space="preserve"> obtained by averaging seven sets of the predicted </w:t>
      </w:r>
      <w:r>
        <w:rPr>
          <w:rStyle w:val="normaltextrun"/>
          <w:rFonts w:ascii="Arial" w:hAnsi="Arial" w:cs="Arial"/>
          <w:sz w:val="22"/>
          <w:szCs w:val="22"/>
          <w:lang w:val="en-CA"/>
        </w:rPr>
        <w:t xml:space="preserve">AGTWS </w:t>
      </w:r>
      <w:r w:rsidRPr="3E4CE7F8">
        <w:rPr>
          <w:rStyle w:val="normaltextrun"/>
          <w:rFonts w:ascii="Arial" w:hAnsi="Arial" w:cs="Arial"/>
          <w:sz w:val="22"/>
          <w:szCs w:val="22"/>
          <w:lang w:val="en-CA"/>
        </w:rPr>
        <w:t>anomalies.</w:t>
      </w:r>
      <w:r w:rsidRPr="009F45E2">
        <w:rPr>
          <w:rStyle w:val="normaltextrun"/>
          <w:rFonts w:cs="Arial"/>
          <w:lang w:val="en-CA"/>
        </w:rPr>
        <w:t> </w:t>
      </w:r>
      <w:r w:rsidRPr="009F45E2">
        <w:rPr>
          <w:rStyle w:val="normaltextrun"/>
          <w:rFonts w:ascii="Arial" w:hAnsi="Arial" w:cs="Arial"/>
          <w:sz w:val="22"/>
          <w:szCs w:val="22"/>
          <w:lang w:val="en-CA"/>
        </w:rPr>
        <w:t>The comparison between multi-model means and GRACE AGTWS observations from 2002–2021 demonstrates that the multi-model means can reproduce the declining global trend in GRACE observations, but with a more gradual slope as also shown in previous studies (Scanlon et al., 2018).</w:t>
      </w:r>
      <w:r w:rsidRPr="3E4CE7F8">
        <w:rPr>
          <w:rStyle w:val="normaltextrun"/>
          <w:rFonts w:ascii="Arial" w:hAnsi="Arial" w:cs="Arial"/>
          <w:sz w:val="22"/>
          <w:szCs w:val="22"/>
          <w:lang w:val="en-CA"/>
        </w:rPr>
        <w:t> </w:t>
      </w:r>
      <w:r w:rsidRPr="009F45E2">
        <w:rPr>
          <w:rStyle w:val="normaltextrun"/>
          <w:rFonts w:ascii="Arial" w:hAnsi="Arial" w:cs="Arial"/>
          <w:sz w:val="22"/>
          <w:szCs w:val="22"/>
        </w:rPr>
        <w:t>The performance metrics of the regularized linear regression models for each GHM/LSM’s output (corresponding to each fingerprint extracted) show that RMSEs vary conspicuously among models, ranging from 21.2 to 85.8 kg m−2 due to the relatively large discrepancy among GHMs/LSMs.</w:t>
      </w:r>
      <w:r w:rsidRPr="009F45E2">
        <w:rPr>
          <w:rStyle w:val="normaltextrun"/>
          <w:rFonts w:cs="Arial"/>
          <w:sz w:val="22"/>
          <w:szCs w:val="22"/>
        </w:rPr>
        <w:t xml:space="preserve"> </w:t>
      </w:r>
      <w:r w:rsidRPr="009F45E2">
        <w:rPr>
          <w:rStyle w:val="normaltextrun"/>
          <w:rFonts w:ascii="Arial" w:hAnsi="Arial" w:cs="Arial"/>
          <w:sz w:val="22"/>
          <w:szCs w:val="22"/>
        </w:rPr>
        <w:t>The prediction error in the regression models is much lower than the prediction error measured separately for each model, with an RMSE of 5.60 kg m−2 (r2 = 0.85). </w:t>
      </w:r>
    </w:p>
    <w:p w14:paraId="2B43149E" w14:textId="77777777" w:rsidR="00E516CE" w:rsidRPr="009F45E2" w:rsidRDefault="00E516CE" w:rsidP="00E516CE">
      <w:pPr>
        <w:pStyle w:val="paragraph"/>
        <w:spacing w:before="0" w:beforeAutospacing="0" w:after="0" w:afterAutospacing="0" w:line="360" w:lineRule="auto"/>
        <w:jc w:val="both"/>
        <w:textAlignment w:val="baseline"/>
        <w:rPr>
          <w:rStyle w:val="normaltextrun"/>
          <w:rFonts w:cs="Arial"/>
          <w:lang w:val="en-CA"/>
        </w:rPr>
      </w:pPr>
      <w:r w:rsidRPr="3E4CE7F8">
        <w:rPr>
          <w:rStyle w:val="normaltextrun"/>
          <w:rFonts w:ascii="Arial" w:hAnsi="Arial" w:cs="Arial"/>
          <w:sz w:val="22"/>
          <w:szCs w:val="22"/>
          <w:lang w:val="en-CA"/>
        </w:rPr>
        <w:t>  </w:t>
      </w:r>
      <w:r w:rsidRPr="009F45E2">
        <w:rPr>
          <w:rStyle w:val="normaltextrun"/>
          <w:rFonts w:cs="Arial"/>
          <w:lang w:val="en-CA"/>
        </w:rPr>
        <w:t> </w:t>
      </w:r>
    </w:p>
    <w:p w14:paraId="477ABAAE" w14:textId="77777777" w:rsidR="00E516CE" w:rsidRPr="00CC59C0" w:rsidRDefault="00E516CE" w:rsidP="00E516CE">
      <w:pPr>
        <w:pStyle w:val="paragraph"/>
        <w:spacing w:before="0" w:beforeAutospacing="0" w:after="0" w:afterAutospacing="0" w:line="360" w:lineRule="auto"/>
        <w:jc w:val="both"/>
        <w:textAlignment w:val="baseline"/>
        <w:rPr>
          <w:rFonts w:ascii="Arial" w:hAnsi="Arial" w:cs="Arial"/>
          <w:sz w:val="16"/>
          <w:szCs w:val="16"/>
        </w:rPr>
      </w:pPr>
    </w:p>
    <w:p w14:paraId="4A58716A" w14:textId="77777777" w:rsidR="00E516CE" w:rsidRDefault="00E516CE" w:rsidP="00E516CE">
      <w:pPr>
        <w:spacing w:line="360" w:lineRule="auto"/>
        <w:jc w:val="both"/>
        <w:rPr>
          <w:rFonts w:ascii="Arial" w:hAnsi="Arial"/>
          <w:b/>
          <w:sz w:val="22"/>
          <w:szCs w:val="22"/>
        </w:rPr>
      </w:pPr>
      <w:r>
        <w:rPr>
          <w:rFonts w:ascii="Arial" w:hAnsi="Arial"/>
          <w:b/>
          <w:noProof/>
          <w:sz w:val="22"/>
          <w:szCs w:val="22"/>
          <w:lang w:val="en-US" w:eastAsia="en-US"/>
        </w:rPr>
        <w:lastRenderedPageBreak/>
        <w:drawing>
          <wp:inline distT="0" distB="0" distL="0" distR="0" wp14:anchorId="57BFA0C7" wp14:editId="6D87D5F2">
            <wp:extent cx="5946140" cy="5946140"/>
            <wp:effectExtent l="0" t="0" r="0" b="0"/>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6140" cy="5946140"/>
                    </a:xfrm>
                    <a:prstGeom prst="rect">
                      <a:avLst/>
                    </a:prstGeom>
                    <a:noFill/>
                    <a:ln>
                      <a:noFill/>
                    </a:ln>
                  </pic:spPr>
                </pic:pic>
              </a:graphicData>
            </a:graphic>
          </wp:inline>
        </w:drawing>
      </w:r>
    </w:p>
    <w:p w14:paraId="3E03BEEF" w14:textId="77777777" w:rsidR="00E516CE" w:rsidRDefault="00E516CE" w:rsidP="00E516CE">
      <w:pPr>
        <w:spacing w:line="360" w:lineRule="auto"/>
        <w:jc w:val="both"/>
        <w:rPr>
          <w:rFonts w:ascii="Arial" w:hAnsi="Arial"/>
          <w:b/>
          <w:sz w:val="22"/>
          <w:szCs w:val="22"/>
        </w:rPr>
      </w:pPr>
      <w:r w:rsidRPr="00F13671">
        <w:rPr>
          <w:rFonts w:ascii="Arial" w:hAnsi="Arial"/>
          <w:b/>
          <w:sz w:val="22"/>
          <w:szCs w:val="22"/>
        </w:rPr>
        <w:t xml:space="preserve">Extended Data Fig. </w:t>
      </w:r>
      <w:r>
        <w:rPr>
          <w:rFonts w:ascii="Arial" w:hAnsi="Arial"/>
          <w:b/>
          <w:sz w:val="22"/>
          <w:szCs w:val="22"/>
        </w:rPr>
        <w:t>2</w:t>
      </w:r>
      <w:r>
        <w:rPr>
          <w:rFonts w:ascii="Arial" w:hAnsi="Arial"/>
          <w:sz w:val="22"/>
          <w:szCs w:val="22"/>
        </w:rPr>
        <w:t xml:space="preserve"> </w:t>
      </w:r>
      <w:r w:rsidRPr="005B1F6D">
        <w:rPr>
          <w:rFonts w:ascii="Arial" w:hAnsi="Arial"/>
          <w:b/>
          <w:bCs/>
          <w:sz w:val="22"/>
          <w:szCs w:val="22"/>
        </w:rPr>
        <w:t>|</w:t>
      </w:r>
      <w:r>
        <w:rPr>
          <w:rFonts w:ascii="Arial" w:hAnsi="Arial"/>
          <w:sz w:val="22"/>
          <w:szCs w:val="22"/>
        </w:rPr>
        <w:t xml:space="preserve"> </w:t>
      </w:r>
      <w:r w:rsidRPr="00E43384">
        <w:rPr>
          <w:rFonts w:ascii="Arial" w:hAnsi="Arial"/>
          <w:b/>
          <w:bCs/>
          <w:sz w:val="22"/>
          <w:szCs w:val="22"/>
        </w:rPr>
        <w:t>E</w:t>
      </w:r>
      <w:r w:rsidRPr="00D36882">
        <w:rPr>
          <w:rFonts w:ascii="Arial" w:hAnsi="Arial"/>
          <w:b/>
          <w:sz w:val="22"/>
          <w:szCs w:val="22"/>
        </w:rPr>
        <w:t xml:space="preserve">valuation of performance for </w:t>
      </w:r>
      <w:r>
        <w:rPr>
          <w:rFonts w:ascii="Arial" w:hAnsi="Arial"/>
          <w:b/>
          <w:sz w:val="22"/>
          <w:szCs w:val="22"/>
        </w:rPr>
        <w:t xml:space="preserve">regional </w:t>
      </w:r>
      <w:r w:rsidRPr="00D36882">
        <w:rPr>
          <w:rFonts w:ascii="Arial" w:hAnsi="Arial"/>
          <w:b/>
          <w:sz w:val="22"/>
          <w:szCs w:val="22"/>
        </w:rPr>
        <w:t>TWS predicted from the daily pattern of surface air temperature and specific humidity</w:t>
      </w:r>
      <w:r w:rsidRPr="00C571CD">
        <w:t xml:space="preserve"> </w:t>
      </w:r>
      <w:r w:rsidRPr="00C571CD">
        <w:rPr>
          <w:rFonts w:ascii="Arial" w:hAnsi="Arial"/>
          <w:b/>
          <w:sz w:val="22"/>
          <w:szCs w:val="22"/>
        </w:rPr>
        <w:t>in Africa, Asia, Australia, Europe, North America, and South America</w:t>
      </w:r>
      <w:r w:rsidRPr="00D36882">
        <w:rPr>
          <w:rFonts w:ascii="Arial" w:hAnsi="Arial"/>
          <w:b/>
          <w:sz w:val="22"/>
          <w:szCs w:val="22"/>
        </w:rPr>
        <w:t xml:space="preserve">. The predicted ensemble mean of </w:t>
      </w:r>
      <w:r>
        <w:rPr>
          <w:rFonts w:ascii="Arial" w:hAnsi="Arial"/>
          <w:b/>
          <w:sz w:val="22"/>
          <w:szCs w:val="22"/>
        </w:rPr>
        <w:t xml:space="preserve">regional </w:t>
      </w:r>
      <w:r w:rsidRPr="00D36882">
        <w:rPr>
          <w:rFonts w:ascii="Arial" w:hAnsi="Arial"/>
          <w:b/>
          <w:sz w:val="22"/>
          <w:szCs w:val="22"/>
        </w:rPr>
        <w:t xml:space="preserve">TWS was obtained by averaging seven sets of the predicted anomalies of </w:t>
      </w:r>
      <w:r>
        <w:rPr>
          <w:rFonts w:ascii="Arial" w:hAnsi="Arial"/>
          <w:b/>
          <w:sz w:val="22"/>
          <w:szCs w:val="22"/>
        </w:rPr>
        <w:t xml:space="preserve">regional </w:t>
      </w:r>
      <w:r w:rsidRPr="00D36882">
        <w:rPr>
          <w:rFonts w:ascii="Arial" w:hAnsi="Arial"/>
          <w:b/>
          <w:sz w:val="22"/>
          <w:szCs w:val="22"/>
        </w:rPr>
        <w:t xml:space="preserve">TWS.     </w:t>
      </w:r>
    </w:p>
    <w:p w14:paraId="30C09EFB" w14:textId="77777777" w:rsidR="00E516CE" w:rsidRDefault="00E516CE" w:rsidP="00E516CE">
      <w:pPr>
        <w:spacing w:after="160" w:line="259" w:lineRule="auto"/>
        <w:rPr>
          <w:rFonts w:ascii="Arial" w:hAnsi="Arial"/>
          <w:b/>
          <w:sz w:val="22"/>
          <w:szCs w:val="22"/>
        </w:rPr>
      </w:pPr>
      <w:r>
        <w:rPr>
          <w:rFonts w:ascii="Arial" w:hAnsi="Arial"/>
          <w:b/>
          <w:sz w:val="22"/>
          <w:szCs w:val="22"/>
        </w:rPr>
        <w:br w:type="page"/>
      </w:r>
    </w:p>
    <w:p w14:paraId="689FD9F3" w14:textId="77777777" w:rsidR="00E516CE" w:rsidRDefault="00E516CE" w:rsidP="00E516CE">
      <w:pPr>
        <w:spacing w:line="360" w:lineRule="auto"/>
        <w:ind w:firstLine="720"/>
      </w:pPr>
      <w:r>
        <w:rPr>
          <w:noProof/>
          <w:lang w:val="en-US" w:eastAsia="en-US"/>
        </w:rPr>
        <w:lastRenderedPageBreak/>
        <w:drawing>
          <wp:inline distT="0" distB="0" distL="0" distR="0" wp14:anchorId="0F279516" wp14:editId="7C8F1D51">
            <wp:extent cx="4685665" cy="2692400"/>
            <wp:effectExtent l="0" t="0" r="0" b="0"/>
            <wp:docPr id="50" name="Picture 50" descr="A picture containing black, darknes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Picture 50" descr="A picture containing black, darkness&#10;&#10;Description automatically generated"/>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5665" cy="2692400"/>
                    </a:xfrm>
                    <a:prstGeom prst="rect">
                      <a:avLst/>
                    </a:prstGeom>
                    <a:noFill/>
                    <a:ln>
                      <a:noFill/>
                    </a:ln>
                  </pic:spPr>
                </pic:pic>
              </a:graphicData>
            </a:graphic>
          </wp:inline>
        </w:drawing>
      </w:r>
    </w:p>
    <w:p w14:paraId="57792627" w14:textId="77777777" w:rsidR="00E516CE" w:rsidRDefault="00E516CE" w:rsidP="00E516CE">
      <w:pPr>
        <w:spacing w:line="360" w:lineRule="auto"/>
        <w:jc w:val="both"/>
        <w:rPr>
          <w:rFonts w:ascii="Arial" w:hAnsi="Arial"/>
          <w:b/>
          <w:sz w:val="22"/>
          <w:szCs w:val="22"/>
        </w:rPr>
      </w:pPr>
      <w:r w:rsidRPr="00F13671">
        <w:rPr>
          <w:rFonts w:ascii="Arial" w:hAnsi="Arial"/>
          <w:b/>
          <w:sz w:val="22"/>
          <w:szCs w:val="22"/>
        </w:rPr>
        <w:t xml:space="preserve">Extended Data Fig. </w:t>
      </w:r>
      <w:r>
        <w:rPr>
          <w:rFonts w:ascii="Arial" w:hAnsi="Arial"/>
          <w:b/>
          <w:sz w:val="22"/>
          <w:szCs w:val="22"/>
        </w:rPr>
        <w:t>3</w:t>
      </w:r>
      <w:r w:rsidRPr="00F13671">
        <w:rPr>
          <w:rFonts w:ascii="Arial" w:hAnsi="Arial"/>
          <w:sz w:val="22"/>
          <w:szCs w:val="22"/>
        </w:rPr>
        <w:t xml:space="preserve"> </w:t>
      </w:r>
      <w:r w:rsidRPr="005B1F6D">
        <w:rPr>
          <w:rFonts w:ascii="Arial" w:hAnsi="Arial"/>
          <w:b/>
          <w:bCs/>
          <w:sz w:val="22"/>
          <w:szCs w:val="22"/>
        </w:rPr>
        <w:t>|</w:t>
      </w:r>
      <w:r>
        <w:rPr>
          <w:rFonts w:ascii="Arial" w:hAnsi="Arial"/>
          <w:sz w:val="22"/>
          <w:szCs w:val="22"/>
        </w:rPr>
        <w:t xml:space="preserve"> </w:t>
      </w:r>
      <w:r w:rsidRPr="00F13671">
        <w:rPr>
          <w:rFonts w:ascii="Arial" w:hAnsi="Arial"/>
          <w:b/>
          <w:sz w:val="22"/>
          <w:szCs w:val="22"/>
        </w:rPr>
        <w:t xml:space="preserve">Illustration of </w:t>
      </w:r>
      <w:r>
        <w:rPr>
          <w:rFonts w:ascii="Arial" w:hAnsi="Arial"/>
          <w:b/>
          <w:sz w:val="22"/>
          <w:szCs w:val="22"/>
        </w:rPr>
        <w:t xml:space="preserve">the </w:t>
      </w:r>
      <w:r w:rsidRPr="00F13671">
        <w:rPr>
          <w:rFonts w:ascii="Arial" w:hAnsi="Arial"/>
          <w:b/>
          <w:sz w:val="22"/>
          <w:szCs w:val="22"/>
        </w:rPr>
        <w:t>detection of climate change signals in global terrestrial water storage at daily timescale</w:t>
      </w:r>
      <w:r>
        <w:rPr>
          <w:rFonts w:ascii="Arial" w:hAnsi="Arial"/>
          <w:b/>
          <w:sz w:val="22"/>
          <w:szCs w:val="22"/>
        </w:rPr>
        <w:t>s</w:t>
      </w:r>
    </w:p>
    <w:p w14:paraId="5DB98F11" w14:textId="77777777" w:rsidR="00E516CE" w:rsidRDefault="00E516CE" w:rsidP="00E516CE">
      <w:pPr>
        <w:rPr>
          <w:rFonts w:ascii="Arial" w:hAnsi="Arial"/>
          <w:b/>
          <w:sz w:val="22"/>
          <w:szCs w:val="22"/>
        </w:rPr>
      </w:pPr>
      <w:r>
        <w:rPr>
          <w:rFonts w:ascii="Arial" w:hAnsi="Arial"/>
          <w:b/>
          <w:sz w:val="22"/>
          <w:szCs w:val="22"/>
        </w:rPr>
        <w:br w:type="page"/>
      </w:r>
    </w:p>
    <w:p w14:paraId="32B26468" w14:textId="77777777" w:rsidR="00E516CE" w:rsidRDefault="00E516CE" w:rsidP="00E516CE">
      <w:pPr>
        <w:spacing w:line="360" w:lineRule="auto"/>
        <w:jc w:val="both"/>
        <w:rPr>
          <w:rFonts w:ascii="Arial" w:hAnsi="Arial"/>
          <w:b/>
        </w:rPr>
      </w:pPr>
    </w:p>
    <w:p w14:paraId="00C2AC79" w14:textId="77777777" w:rsidR="00E516CE" w:rsidRPr="00DA58FF" w:rsidRDefault="00E516CE" w:rsidP="00E516CE">
      <w:pPr>
        <w:spacing w:line="360" w:lineRule="auto"/>
        <w:jc w:val="both"/>
        <w:rPr>
          <w:b/>
          <w:bCs/>
        </w:rPr>
      </w:pPr>
    </w:p>
    <w:tbl>
      <w:tblPr>
        <w:tblW w:w="9350" w:type="dxa"/>
        <w:tblBorders>
          <w:left w:val="single" w:sz="4" w:space="0" w:color="auto"/>
          <w:right w:val="single" w:sz="4" w:space="0" w:color="auto"/>
        </w:tblBorders>
        <w:tblLayout w:type="fixed"/>
        <w:tblLook w:val="00A0" w:firstRow="1" w:lastRow="0" w:firstColumn="1" w:lastColumn="0" w:noHBand="0" w:noVBand="0"/>
      </w:tblPr>
      <w:tblGrid>
        <w:gridCol w:w="723"/>
        <w:gridCol w:w="722"/>
        <w:gridCol w:w="1085"/>
        <w:gridCol w:w="669"/>
        <w:gridCol w:w="536"/>
        <w:gridCol w:w="1368"/>
        <w:gridCol w:w="1134"/>
        <w:gridCol w:w="992"/>
        <w:gridCol w:w="1085"/>
        <w:gridCol w:w="1036"/>
      </w:tblGrid>
      <w:tr w:rsidR="00E516CE" w:rsidRPr="00D35C82" w14:paraId="6A4DAE97" w14:textId="77777777" w:rsidTr="006D3D9E">
        <w:trPr>
          <w:trHeight w:val="1824"/>
        </w:trPr>
        <w:tc>
          <w:tcPr>
            <w:tcW w:w="723" w:type="dxa"/>
            <w:vMerge w:val="restart"/>
            <w:tcBorders>
              <w:left w:val="nil"/>
              <w:right w:val="single" w:sz="4" w:space="0" w:color="auto"/>
            </w:tcBorders>
            <w:textDirection w:val="btLr"/>
          </w:tcPr>
          <w:p w14:paraId="475F4465" w14:textId="77777777" w:rsidR="00E516CE" w:rsidRPr="00A748C6" w:rsidRDefault="00E516CE" w:rsidP="006D3D9E">
            <w:pPr>
              <w:ind w:left="113" w:right="113"/>
              <w:jc w:val="center"/>
              <w:rPr>
                <w:rFonts w:ascii="Arial" w:hAnsi="Arial"/>
                <w:color w:val="000000"/>
                <w:sz w:val="18"/>
                <w:szCs w:val="18"/>
              </w:rPr>
            </w:pPr>
            <w:r w:rsidRPr="00A748C6">
              <w:rPr>
                <w:rFonts w:ascii="Arial" w:hAnsi="Arial"/>
                <w:b/>
                <w:bCs/>
                <w:sz w:val="21"/>
                <w:szCs w:val="21"/>
              </w:rPr>
              <w:t xml:space="preserve">Extended Data Table 1 | </w:t>
            </w:r>
            <w:r w:rsidRPr="00A748C6">
              <w:rPr>
                <w:rFonts w:ascii="Arial" w:hAnsi="Arial"/>
                <w:sz w:val="21"/>
                <w:szCs w:val="21"/>
              </w:rPr>
              <w:t>Characteristics of the selected models</w:t>
            </w:r>
          </w:p>
        </w:tc>
        <w:tc>
          <w:tcPr>
            <w:tcW w:w="722" w:type="dxa"/>
            <w:tcBorders>
              <w:right w:val="single" w:sz="4" w:space="0" w:color="auto"/>
            </w:tcBorders>
            <w:textDirection w:val="btLr"/>
          </w:tcPr>
          <w:p w14:paraId="2CCFB780" w14:textId="77777777" w:rsidR="00E516CE" w:rsidRPr="00A748C6" w:rsidRDefault="00E516CE" w:rsidP="006D3D9E">
            <w:pPr>
              <w:ind w:left="113" w:right="113"/>
              <w:rPr>
                <w:rFonts w:ascii="Arial" w:hAnsi="Arial"/>
                <w:b/>
                <w:bCs/>
                <w:color w:val="000000"/>
                <w:sz w:val="18"/>
                <w:szCs w:val="18"/>
              </w:rPr>
            </w:pPr>
            <w:r w:rsidRPr="00A748C6">
              <w:rPr>
                <w:rFonts w:ascii="Arial" w:hAnsi="Arial"/>
                <w:b/>
                <w:bCs/>
                <w:color w:val="000000"/>
                <w:sz w:val="18"/>
                <w:szCs w:val="18"/>
              </w:rPr>
              <w:t>References</w:t>
            </w:r>
          </w:p>
        </w:tc>
        <w:tc>
          <w:tcPr>
            <w:tcW w:w="1085" w:type="dxa"/>
            <w:tcBorders>
              <w:left w:val="single" w:sz="4" w:space="0" w:color="auto"/>
            </w:tcBorders>
            <w:textDirection w:val="btLr"/>
          </w:tcPr>
          <w:p w14:paraId="37BF8284" w14:textId="09F8D057" w:rsidR="00E516CE" w:rsidRPr="00A748C6" w:rsidRDefault="00E516CE" w:rsidP="00164978">
            <w:pPr>
              <w:ind w:left="113" w:right="113"/>
              <w:rPr>
                <w:rFonts w:ascii="Arial" w:hAnsi="Arial"/>
                <w:color w:val="000000"/>
                <w:sz w:val="18"/>
                <w:szCs w:val="18"/>
              </w:rPr>
            </w:pPr>
            <w:r>
              <w:rPr>
                <w:rFonts w:ascii="Arial" w:hAnsi="Arial"/>
                <w:color w:val="000000"/>
                <w:sz w:val="18"/>
                <w:szCs w:val="18"/>
              </w:rPr>
              <w:fldChar w:fldCharType="begin" w:fldLock="1"/>
            </w:r>
            <w:r w:rsidR="00926B52">
              <w:rPr>
                <w:rFonts w:ascii="Arial" w:hAnsi="Arial"/>
                <w:color w:val="000000"/>
                <w:sz w:val="18"/>
                <w:szCs w:val="18"/>
              </w:rPr>
              <w:instrText>ADDIN CSL_CITATION {"citationItems":[{"id":"ITEM-1","itemData":{"DOI":"10.1029/2011ms000045","ISSN":"1942-2466","abstract":"Peer Reviewed","author":[{"dropping-particle":"","family":"Lawrence","given":"David M","non-dropping-particle":"","parse-names":false,"suffix":""},{"dropping-particle":"","family":"Oleson","given":"Keith W","non-dropping-particle":"","parse-names":false,"suffix":""},{"dropping-particle":"","family":"Flanner","given":"Mark G","non-dropping-particle":"","parse-names":false,"suffix":""},{"dropping-particle":"","family":"Thornton","given":"Peter E","non-dropping-particle":"","parse-names":false,"suffix":""},{"dropping-particle":"","family":"Swenson","given":"Sean C","non-dropping-particle":"","parse-names":false,"suffix":""},{"dropping-particle":"","family":"Lawrence","given":"Peter J","non-dropping-particle":"","parse-names":false,"suffix":""},{"dropping-particle":"","family":"Zeng","given":"Xubin","non-dropping-particle":"","parse-names":false,"suffix":""},{"dropping-particle":"","family":"Yang","given":"Zong-Liang","non-dropping-particle":"","parse-names":false,"suffix":""},{"dropping-particle":"","family":"Levis","given":"Samuel","non-dropping-particle":"","parse-names":false,"suffix":""},{"dropping-particle":"","family":"Sakaguchi","given":"Koichi","non-dropping-particle":"","parse-names":false,"suffix":""},{"dropping-particle":"","family":"Bonan","given":"Gordon B","non-dropping-particle":"","parse-names":false,"suffix":""},{"dropping-particle":"","family":"Slater","given":"Andrew G","non-dropping-particle":"","parse-names":false,"suffix":""}],"container-title":"Journal of Advances in Modeling Earth Systems","id":"ITEM-1","issue":"3","issued":{"date-parts":[["2011"]]},"page":"1-27","title":"Parameterization improvements and functional and structural advances in Version 4 of the Community Land Model","type":"article-journal","volume":"3"},"uris":["http://www.mendeley.com/documents/?uuid=9a4f4491-4b40-45e9-b75d-99f6fda990c2","http://www.mendeley.com/documents/?uuid=d69da120-73b2-4f46-8580-284fed2090d6"]}],"mendeley":{"formattedCitation":"&lt;sup&gt;87&lt;/sup&gt;","plainTextFormattedCitation":"87","previouslyFormattedCitation":"&lt;sup&gt;85&lt;/sup&gt;"},"properties":{"noteIndex":0},"schema":"https://github.com/citation-style-language/schema/raw/master/csl-citation.json"}</w:instrText>
            </w:r>
            <w:r>
              <w:rPr>
                <w:rFonts w:ascii="Arial" w:hAnsi="Arial"/>
                <w:color w:val="000000"/>
                <w:sz w:val="18"/>
                <w:szCs w:val="18"/>
              </w:rPr>
              <w:fldChar w:fldCharType="separate"/>
            </w:r>
            <w:r w:rsidR="00926B52" w:rsidRPr="00926B52">
              <w:rPr>
                <w:rFonts w:ascii="Arial" w:hAnsi="Arial"/>
                <w:noProof/>
                <w:color w:val="000000"/>
                <w:sz w:val="18"/>
                <w:szCs w:val="18"/>
                <w:vertAlign w:val="superscript"/>
              </w:rPr>
              <w:t>87</w:t>
            </w:r>
            <w:r>
              <w:rPr>
                <w:rFonts w:ascii="Arial" w:hAnsi="Arial"/>
                <w:color w:val="000000"/>
                <w:sz w:val="18"/>
                <w:szCs w:val="18"/>
              </w:rPr>
              <w:fldChar w:fldCharType="end"/>
            </w:r>
          </w:p>
        </w:tc>
        <w:tc>
          <w:tcPr>
            <w:tcW w:w="1205" w:type="dxa"/>
            <w:gridSpan w:val="2"/>
            <w:textDirection w:val="btLr"/>
          </w:tcPr>
          <w:p w14:paraId="48FED3B3" w14:textId="0A441D1C" w:rsidR="00E516CE" w:rsidRPr="00A748C6" w:rsidRDefault="00E516CE" w:rsidP="00164978">
            <w:pPr>
              <w:ind w:left="113" w:right="113"/>
              <w:rPr>
                <w:rFonts w:ascii="Arial" w:hAnsi="Arial"/>
                <w:color w:val="000000"/>
                <w:sz w:val="18"/>
                <w:szCs w:val="18"/>
              </w:rPr>
            </w:pPr>
            <w:r>
              <w:rPr>
                <w:rFonts w:ascii="Arial" w:hAnsi="Arial"/>
                <w:color w:val="000000"/>
                <w:sz w:val="18"/>
                <w:szCs w:val="18"/>
              </w:rPr>
              <w:fldChar w:fldCharType="begin" w:fldLock="1"/>
            </w:r>
            <w:r w:rsidR="00926B52">
              <w:rPr>
                <w:rFonts w:ascii="Arial" w:hAnsi="Arial"/>
                <w:color w:val="000000"/>
                <w:sz w:val="18"/>
                <w:szCs w:val="18"/>
              </w:rPr>
              <w:instrText>ADDIN CSL_CITATION {"citationItems":[{"id":"ITEM-1","itemData":{"DOI":"10.5194/hess-12-1007-2008","ISSN":"16077938","abstract":"To assess global water availability and use at a subannual timescale, an integrated global water resources model was developed consisting of six modules: land surface hydrology, river routing, crop growth, reservoir operation, environmental flow requirement estimation, and anthropogenic water withdrawal. The model simulates both natural and anthropogenic water flow globally (excluding Antarctica) on a daily basis at a spatial resolution of 1°×1° (longitude and latitude). This first part of the two-feature report describes the six modules and the input meteorological forcing. The input meteorological forcing was provided by the second Global Soil Wetness Project (GSWP2), an international land surface modeling project. Several reported shortcomings of the forcing component were improved. The land surface hydrology module was developed based on a bucket type model that simulates energy and water balance on land surfaces. The crop growth module is a relatively simple model based on concepts of heat unit theory, potential biomass, and a harvest index. In the reservoir operation module, 452 major reservoirs with &amp;gt;1 km3 each of storage capacity store and release water according to their own rules of operation. Operating rules were determined for each reservoir by an algorithm that used currently available global data such as reservoir storage capacity, intended purposes, simulated inflow, and water demand in the lower reaches. The environmental flow requirement module was newly developed based on case studies from around the world. Simulated runoff was compared and validated with observation-based global runoff data sets and observed streamflow records at 32 major river gauging stations around the world. Mean annual runoff agreed well with earlier studies at global and continental scales, and in individual basins, the mean bias was less than ±20% in 14 of the 32 river basins and less than ±50% in 24 basins. The error in the peak was less than ±1 mo in 19 of the 27 basins and less than ±2 mo in 25 basins. The performance was similar to the best available precedent studies with closure of energy and water. The input meteorological forcing component and the integrated model provide a framework with which to assess global water resources, with the potential application to investigate the subannual variability in water resources.","author":[{"dropping-particle":"","family":"Hanasaki","given":"N.","non-dropping-particle":"","parse-names":false,"suffix":""},{"dropping-particle":"","family":"Kanae","given":"S.","non-dropping-particle":"","parse-names":false,"suffix":""},{"dropping-particle":"","family":"Oki","given":"T.","non-dropping-particle":"","parse-names":false,"suffix":""},{"dropping-particle":"","family":"Masuda","given":"K.","non-dropping-particle":"","parse-names":false,"suffix":""},{"dropping-particle":"","family":"Motoya","given":"K.","non-dropping-particle":"","parse-names":false,"suffix":""},{"dropping-particle":"","family":"Shirakawa","given":"N.","non-dropping-particle":"","parse-names":false,"suffix":""},{"dropping-particle":"","family":"Shen","given":"Y.","non-dropping-particle":"","parse-names":false,"suffix":""},{"dropping-particle":"","family":"Tanaka","given":"K.","non-dropping-particle":"","parse-names":false,"suffix":""}],"container-title":"Hydrology and Earth System Sciences","id":"ITEM-1","issue":"4","issued":{"date-parts":[["2008"]]},"page":"1007-1025","title":"An integrated model for the assessment of global water resources - Part 1: Model description and input meteorological forcing","type":"article-journal","volume":"12"},"uris":["http://www.mendeley.com/documents/?uuid=7d1e2502-8c15-4f69-bcd9-2d10c5d1ab9e","http://www.mendeley.com/documents/?uuid=2a3832d3-dd05-4cfb-becd-9d912cfa2a1b"]}],"mendeley":{"formattedCitation":"&lt;sup&gt;88&lt;/sup&gt;","plainTextFormattedCitation":"88","previouslyFormattedCitation":"&lt;sup&gt;86&lt;/sup&gt;"},"properties":{"noteIndex":0},"schema":"https://github.com/citation-style-language/schema/raw/master/csl-citation.json"}</w:instrText>
            </w:r>
            <w:r>
              <w:rPr>
                <w:rFonts w:ascii="Arial" w:hAnsi="Arial"/>
                <w:color w:val="000000"/>
                <w:sz w:val="18"/>
                <w:szCs w:val="18"/>
              </w:rPr>
              <w:fldChar w:fldCharType="separate"/>
            </w:r>
            <w:r w:rsidR="00926B52" w:rsidRPr="00926B52">
              <w:rPr>
                <w:rFonts w:ascii="Arial" w:hAnsi="Arial"/>
                <w:noProof/>
                <w:color w:val="000000"/>
                <w:sz w:val="18"/>
                <w:szCs w:val="18"/>
                <w:vertAlign w:val="superscript"/>
              </w:rPr>
              <w:t>88</w:t>
            </w:r>
            <w:r>
              <w:rPr>
                <w:rFonts w:ascii="Arial" w:hAnsi="Arial"/>
                <w:color w:val="000000"/>
                <w:sz w:val="18"/>
                <w:szCs w:val="18"/>
              </w:rPr>
              <w:fldChar w:fldCharType="end"/>
            </w:r>
          </w:p>
        </w:tc>
        <w:tc>
          <w:tcPr>
            <w:tcW w:w="1368" w:type="dxa"/>
            <w:textDirection w:val="btLr"/>
          </w:tcPr>
          <w:p w14:paraId="730C5A62" w14:textId="556143EB" w:rsidR="00E516CE" w:rsidRPr="00A748C6" w:rsidRDefault="00E516CE" w:rsidP="00164978">
            <w:pPr>
              <w:ind w:left="113" w:right="113"/>
              <w:rPr>
                <w:rFonts w:ascii="Arial" w:hAnsi="Arial"/>
                <w:color w:val="000000"/>
                <w:sz w:val="18"/>
                <w:szCs w:val="18"/>
              </w:rPr>
            </w:pPr>
            <w:r>
              <w:rPr>
                <w:rFonts w:ascii="Arial" w:hAnsi="Arial"/>
                <w:color w:val="000000"/>
                <w:sz w:val="18"/>
                <w:szCs w:val="18"/>
              </w:rPr>
              <w:fldChar w:fldCharType="begin" w:fldLock="1"/>
            </w:r>
            <w:r w:rsidR="00926B52">
              <w:rPr>
                <w:rFonts w:ascii="Arial" w:hAnsi="Arial"/>
                <w:color w:val="000000"/>
                <w:sz w:val="18"/>
                <w:szCs w:val="18"/>
              </w:rPr>
              <w:instrText xml:space="preserve">ADDIN CSL_CITATION {"citationItems":[{"id":"ITEM-1","itemData":{"DOI":"10.1029/2007WR006331","ISSN":"00431397","abstract":"This study quantifies, spatially explicitly and in a consistent modeling framework (Lund-Potsdam-Jena managed Land), the global consumption of both \"blue\" water (withdrawn for irrigation from rivers, lakes and aquifers) and \"green\" water (precipitation) by rainfed and irrigated agriculture and by nonagricultural terrestrial ecosystems. In addition, the individual effects of human-induced land cover change and irrigation were quantified to assess the overall hydrological impact of global agriculture in the past century. The contributions to irrigation of nonrenewable (fossil groundwater) and nonlocal blue water (e.g., from diverted rivers) were derived from the difference between a simulation in which these resources were implicitly considered (IPOT) and a simulation in which they were neglected (ILIM). We found that global cropland consumed &gt;7200 km3 year -1 of green water in 1971-2000, representing 92% (ILIM) and 85% (IPOT), respectively, of total crop water consumption. Even on irrigated cropland, 35% (ILIM) and 20% (IPOT) of water consumption consisted of green water. An additional 8155 km3 year-1 of green water was consumed on grazing land; a further </w:instrText>
            </w:r>
            <w:r w:rsidR="00926B52">
              <w:rPr>
                <w:rFonts w:ascii="Cambria Math" w:hAnsi="Cambria Math" w:cs="Cambria Math"/>
                <w:color w:val="000000"/>
                <w:sz w:val="18"/>
                <w:szCs w:val="18"/>
              </w:rPr>
              <w:instrText>∼</w:instrText>
            </w:r>
            <w:r w:rsidR="00926B52">
              <w:rPr>
                <w:rFonts w:ascii="Arial" w:hAnsi="Arial"/>
                <w:color w:val="000000"/>
                <w:sz w:val="18"/>
                <w:szCs w:val="18"/>
              </w:rPr>
              <w:instrText>44,700 km3 year-1 sustained the ecosystems. Blue water consumption predominated only in intensively irrigated regions and was estimated at 636 km3 year -1 (ILIM) and 1364 km3 year-1 (IPOT) globally, suggesting that presently almost half of the irrigation water stemmed from nonrenewable and nonlocal sources. Land cover conversion reduced global evapotranspiration by 2.8% and increased discharge by 5.0% (1764 km3 year-1), whereas irrigation increased evapotranspiration by up to 1.9% and decreased discharge by 0.5% at least (IPOT, 1971-2000). The diverse water fluxes displayed considerable interannual and interdecadal variability due to climatic variations and the progressive increase of the global area under cultivation and irrigation. Copyright 2008 by the American Geophysical Union.","author":[{"dropping-particle":"","family":"Rost","given":"Stefanie","non-dropping-particle":"","parse-names":false,"suffix":""},{"dropping-particle":"","family":"Gerten","given":"Dieter","non-dropping-particle":"","parse-names":false,"suffix":""},{"dropping-particle":"","family":"Bondeau","given":"Alberte","non-dropping-particle":"","parse-names":false,"suffix":""},{"dropping-particle":"","family":"Lucht","given":"Wolfgang","non-dropping-particle":"","parse-names":false,"suffix":""},{"dropping-particle":"","family":"Rohwer","given":"Janine","non-dropping-particle":"","parse-names":false,"suffix":""},{"dropping-particle":"","family":"Schaphoff","given":"Sibyll","non-dropping-particle":"","parse-names":false,"suffix":""}],"container-title":"Water Resources Research","id":"ITEM-1","issue":"9","issued":{"date-parts":[["2008"]]},"page":"1-17","title":"Agricultural green and blue water consumption and its influence on the global water system","type":"article-journal","volume":"44"},"uris":["http://www.mendeley.com/documents/?uuid=a8b9109c-af9b-4eab-a3f8-352a9a55b238","http://www.mendeley.com/documents/?uuid=76ab6189-e6dd-4410-b7fe-321860a8d5a1"]}],"mendeley":{"formattedCitation":"&lt;sup&gt;89&lt;/sup&gt;","plainTextFormattedCitation":"89","previouslyFormattedCitation":"&lt;sup&gt;87&lt;/sup&gt;"},"properties":{"noteIndex":0},"schema":"https://github.com/citation-style-language/schema/raw/master/csl-citation.json"}</w:instrText>
            </w:r>
            <w:r>
              <w:rPr>
                <w:rFonts w:ascii="Arial" w:hAnsi="Arial"/>
                <w:color w:val="000000"/>
                <w:sz w:val="18"/>
                <w:szCs w:val="18"/>
              </w:rPr>
              <w:fldChar w:fldCharType="separate"/>
            </w:r>
            <w:r w:rsidR="00926B52" w:rsidRPr="00926B52">
              <w:rPr>
                <w:rFonts w:ascii="Arial" w:hAnsi="Arial"/>
                <w:noProof/>
                <w:color w:val="000000"/>
                <w:sz w:val="18"/>
                <w:szCs w:val="18"/>
                <w:vertAlign w:val="superscript"/>
              </w:rPr>
              <w:t>89</w:t>
            </w:r>
            <w:r>
              <w:rPr>
                <w:rFonts w:ascii="Arial" w:hAnsi="Arial"/>
                <w:color w:val="000000"/>
                <w:sz w:val="18"/>
                <w:szCs w:val="18"/>
              </w:rPr>
              <w:fldChar w:fldCharType="end"/>
            </w:r>
          </w:p>
        </w:tc>
        <w:tc>
          <w:tcPr>
            <w:tcW w:w="1134" w:type="dxa"/>
            <w:textDirection w:val="btLr"/>
          </w:tcPr>
          <w:p w14:paraId="3BF45212" w14:textId="5D319A84" w:rsidR="00E516CE" w:rsidRPr="00A748C6" w:rsidRDefault="00E516CE" w:rsidP="00164978">
            <w:pPr>
              <w:ind w:left="113" w:right="113"/>
              <w:rPr>
                <w:rFonts w:ascii="Arial" w:hAnsi="Arial"/>
                <w:color w:val="000000"/>
                <w:sz w:val="18"/>
                <w:szCs w:val="18"/>
              </w:rPr>
            </w:pPr>
            <w:r>
              <w:rPr>
                <w:rFonts w:ascii="Arial" w:hAnsi="Arial"/>
                <w:color w:val="000000"/>
                <w:sz w:val="18"/>
                <w:szCs w:val="18"/>
                <w:shd w:val="clear" w:color="auto" w:fill="E6E6E6"/>
              </w:rPr>
              <w:fldChar w:fldCharType="begin" w:fldLock="1"/>
            </w:r>
            <w:r w:rsidR="00926B52">
              <w:rPr>
                <w:rFonts w:ascii="Arial" w:hAnsi="Arial"/>
                <w:color w:val="000000"/>
                <w:sz w:val="18"/>
                <w:szCs w:val="18"/>
                <w:shd w:val="clear" w:color="auto" w:fill="E6E6E6"/>
              </w:rPr>
              <w:instrText>ADDIN CSL_CITATION {"citationItems":[{"id":"ITEM-1","itemData":{"DOI":"10.1016/S0921-8181(03)00030-4","ISSN":"09218181","abstract":"A land surface model (LSM), minimal advanced treatments of surface interaction and runoff (MATSIRO), has been developed for climate studies at the global and regional scales. The canopy has a single layer, whose albedo and bulk coefficients are evaluated on the basis of a multilayer canopy model. The fluxes are calculated from the energy balance at the ground and canopy surfaces in snow-free and snow-covered portions considering the subgrid snow distribution. The interception evaporation from canopy and the transpiration on the basis of photosynthesis are treated. A simplified TOPMODEL is used to calculate runoff. The snow has the variable number of layers from one to three in accordance with snow water equivalent (SWE), and the snow temperature is calculated by a thermal conduction equation. Besides, the snowmelt, the refreeze of snowmelt, and the freeze of rainfall in snow are taken into consideration. It is found in the PILPS 2e experiment that some parameters in the runoff scheme, such as the surface hydraulic conductivity and the river channel fraction, have a considerable impact on the partitioning of the surface runoff and the base flow. The snow albedo is prognosticated from the time passage since last snowfall and the snow temperature. The soil has five layers in this version, and the soil temperature, the soil moisture, and the frozen amount of moisture are calculated. © 2003 Published by Elsevier Science B.V.","author":[{"dropping-particle":"","family":"Takata","given":"Kumiko","non-dropping-particle":"","parse-names":false,"suffix":""},{"dropping-particle":"","family":"Emori","given":"Seita","non-dropping-particle":"","parse-names":false,"suffix":""},{"dropping-particle":"","family":"Watanabe","given":"Tsutomu","non-dropping-particle":"","parse-names":false,"suffix":""}],"container-title":"Global and Planetary Change","id":"ITEM-1","issue":"1-2","issued":{"date-parts":[["2003"]]},"page":"209-222","title":"Development of the minimal advanced treatments of surface interaction and runoff","type":"article-journal","volume":"38"},"uris":["http://www.mendeley.com/documents/?uuid=03833426-4b88-405f-9f46-950201c66c50","http://www.mendeley.com/documents/?uuid=dc0e018d-22e9-4385-b886-609926812a41"]},{"id":"ITEM-2","itemData":{"DOI":"10.1002/2013JD020398","ISSN":"21562202","abstract":"Water table dynamics, a basic hydrologic process, was traditionally not considered in global-scale land surface models (LSMs). In this study, a representation of water table dynamics is integrated into a global LSM to address the shortcomings of existing global-scale modeling studies and the appropriateness of specifying certain parameters as globally constant. Evaluation of model simulation using globally varying parameters against river discharge observations in selected large rivers shows improvements when the water table dynamics is included in the model. The mechanisms by which the water table dynamics affects land surface hydrologic simulation are then investigated by analyzing the sensitivity simulation of groundwater (GW) capillary flux. The result indicates that global mean evapotranspiration (ET) increases by ~9% when GW capillary flux is considered. The semiarid regions with marked dry season have the largest increase (~25%), while the humid and high-latitude regions with sufficient moisture but limited radiation energy have the smallest increase. Increase in ET is more pronounced in dry season when GW recharge becomes negative (upward moisture supply from the aquifer), but its magnitude depends on the water table depth (WTD). On the other hand, a deeper WTD caused by the GW capillary flux is found to decrease runoff throughout the year in regions with a large increase in ET in dry season only. Based on our modeling result, about 50% of global land area (especially in humid and high-latitude regions) is simulated to have the mean WTD shallower than 5 m, which emphasizes the significance of representing water table dynamics in global-scale LSMs.","author":[{"dropping-particle":"","family":"Koirala","given":"Sujan","non-dropping-particle":"","parse-names":false,"suffix":""},{"dropping-particle":"","family":"Yeh","given":"Pat J.F.","non-dropping-particle":"","parse-names":false,"suffix":""},{"dropping-particle":"","family":"Hirabayashi","given":"Yukiko","non-dropping-particle":"","parse-names":false,"suffix":""},{"dropping-particle":"","family":"Kanae","given":"Shinjiro","non-dropping-particle":"","parse-names":false,"suffix":""},{"dropping-particle":"","family":"Oki","given":"Taikan","non-dropping-particle":"","parse-names":false,"suffix":""}],"container-title":"Journal of Geophysical Research","id":"ITEM-2","issue":"1","issued":{"date-parts":[["2014"]]},"page":"75-89","title":"Global-scale land surface hydrologic modeling with the representation of water table dynamics","type":"article-journal","volume":"119"},"uris":["http://www.mendeley.com/documents/?uuid=775b29e2-e28b-4f33-9801-2a95e26603d5","http://www.mendeley.com/documents/?uuid=063f1df8-c8cc-4687-afd5-28efe992aff2"]}],"mendeley":{"formattedCitation":"&lt;sup&gt;90,91&lt;/sup&gt;","plainTextFormattedCitation":"90,91","previouslyFormattedCitation":"&lt;sup&gt;88,89&lt;/sup&gt;"},"properties":{"noteIndex":0},"schema":"https://github.com/citation-style-language/schema/raw/master/csl-citation.json"}</w:instrText>
            </w:r>
            <w:r>
              <w:rPr>
                <w:rFonts w:ascii="Arial" w:hAnsi="Arial"/>
                <w:color w:val="000000"/>
                <w:sz w:val="18"/>
                <w:szCs w:val="18"/>
                <w:shd w:val="clear" w:color="auto" w:fill="E6E6E6"/>
              </w:rPr>
              <w:fldChar w:fldCharType="separate"/>
            </w:r>
            <w:r w:rsidR="00926B52" w:rsidRPr="00926B52">
              <w:rPr>
                <w:rFonts w:ascii="Arial" w:hAnsi="Arial"/>
                <w:noProof/>
                <w:color w:val="000000"/>
                <w:sz w:val="18"/>
                <w:szCs w:val="18"/>
                <w:shd w:val="clear" w:color="auto" w:fill="E6E6E6"/>
                <w:vertAlign w:val="superscript"/>
              </w:rPr>
              <w:t>90,91</w:t>
            </w:r>
            <w:r>
              <w:rPr>
                <w:rFonts w:ascii="Arial" w:hAnsi="Arial"/>
                <w:color w:val="000000"/>
                <w:sz w:val="18"/>
                <w:szCs w:val="18"/>
                <w:shd w:val="clear" w:color="auto" w:fill="E6E6E6"/>
              </w:rPr>
              <w:fldChar w:fldCharType="end"/>
            </w:r>
          </w:p>
        </w:tc>
        <w:tc>
          <w:tcPr>
            <w:tcW w:w="992" w:type="dxa"/>
            <w:textDirection w:val="btLr"/>
          </w:tcPr>
          <w:p w14:paraId="26FD48BE" w14:textId="56389975" w:rsidR="00E516CE" w:rsidRPr="00A748C6" w:rsidRDefault="00E516CE" w:rsidP="00164978">
            <w:pPr>
              <w:ind w:left="113" w:right="113"/>
              <w:rPr>
                <w:rFonts w:ascii="Arial" w:hAnsi="Arial"/>
                <w:color w:val="000000"/>
                <w:sz w:val="18"/>
                <w:szCs w:val="18"/>
              </w:rPr>
            </w:pPr>
            <w:r>
              <w:rPr>
                <w:rFonts w:ascii="Arial" w:hAnsi="Arial"/>
                <w:color w:val="000000"/>
                <w:sz w:val="18"/>
                <w:szCs w:val="18"/>
              </w:rPr>
              <w:fldChar w:fldCharType="begin" w:fldLock="1"/>
            </w:r>
            <w:r w:rsidR="00926B52">
              <w:rPr>
                <w:rFonts w:ascii="Arial" w:hAnsi="Arial"/>
                <w:color w:val="000000"/>
                <w:sz w:val="18"/>
                <w:szCs w:val="18"/>
              </w:rPr>
              <w:instrText>ADDIN CSL_CITATION {"citationItems":[{"id":"ITEM-1","itemData":{"DOI":"10.1007/s00382-003-0349-x","ISSN":"09307575","abstract":"In this study it is shown that the availability of a very high resolution dataset of land surface characteristics leads to the improvement of a surface runoff parameterization scheme. The improved parameterization scheme was developed for application in global and regional climate models and is a further development of the Arno scheme that is widely used in climate models. Here, surface runoff is computed as infiltration excess from a \"bucket\" type reservoir which takes the subgrid variability of soil saturation within a model gridbox into account. Instead of prescribing a distribution of subgrid scale soil water capacities as in the original Arno scheme, the array of high resolution soil water capacities taken from a global 1 km dataset of land surface parameters is used to obtain individual fractional saturation curves for each model gridbox. From each saturation curve, the three parameters (a shape parameter describing the shape of the subgrid distribution of soil water capacities, subgrid minimum and maximum soil water capacity) required in the modified formulation of the scheme are derived via optimization. As in the original Arno scheme applied in the ECHAM general circulation model and the REMO regional climate model, topography variations will influence the distribution of saturated subgrid areas within a model gridbox. At most gridboxes the net effect of these changes is such that more runoff is produced for high soil water contents and less runoff for low soil water contents. A validation of simulated discharge computed with a simplified land surface scheme applied to reanalysis data of the European Centre for Medium-Range Weather Forecasts and a hydrological discharge model has shown that these changes lead to a more realistic simulation of the annual cycle of discharge for several catchments. In particular this could be shown for the Yangtze Kiang and Amur catchments where adequate input data are available.","author":[{"dropping-particle":"","family":"Hagemann","given":"S.","non-dropping-particle":"","parse-names":false,"suffix":""},{"dropping-particle":"","family":"Gates","given":"L. D.","non-dropping-particle":"","parse-names":false,"suffix":""}],"container-title":"Climate Dynamics","id":"ITEM-1","issue":"3-4","issued":{"date-parts":[["2003"]]},"page":"349-359","title":"Improving a subgrid runoff parameterization scheme for climate models by the use of high resolution data derived from satellite observations","type":"article-journal","volume":"21"},"uris":["http://www.mendeley.com/documents/?uuid=f7449f06-62ec-4df5-af0d-3dcd9d7df567","http://www.mendeley.com/documents/?uuid=918b59cb-cb64-492d-90fb-4c3d96771739"]},{"id":"ITEM-2","itemData":{"DOI":"10.5194/hess-16-2915-2012","ISSN":"10275606","abstract":"In this study we present the development of the dynamical wetland extent scheme (DWES) and evaluate its skill to represent the global wetland distribution. The DWES is a simple, global scale hydrological scheme that solves the water balance of wetlands and estimates their extent dynamically. The extent depends on the balance of water flows in the wetlands and the slope distribution within the grid cells. In contrast to most models, the DWES is not directly calibrated against wetland extent observations. Instead, wetland affected river discharge data are used to optimise global parameters of the model. The DWES is not a complete hydrological model by itself but implemented into the Max Planck Institute Hydrology Model (MPI-HM). However, it can be transferred into other models as well. For present climate, the model evaluation reveals a good agreement for the spatial distribution of simulated wetlands compared to different observations on the global scale. The best results are achieved for the Northern Hemisphere where not only the wetland distribution pattern but also their extent is simulated reasonably well by the DWES. However, the wetland fraction in the tropical parts of South America and Central Africa is strongly overestimated. The simulated extent dynamics correlate well with monthly inundation variations obtained from satellites for most locations. Also, the simulated river discharge is affected by wetlands resulting in a delay and mitigation of peak flows. Compared to simulations without wetlands, we find locally increased evaporation and decreased river flow into the oceans due to the implemented wetland processes. In summary, the evaluation demonstrates the DWES ability to simulate the distribution of wetlands and their seasonal variations for most regions. Thus, the DWES can provide hydrological boundary conditions for wetland related studies. In future applications, the DWES may be implemented into an Earth system model to study feedbacks between wetlands and climate. © 2012 Author(s). CC Attribution 3.0 License.","author":[{"dropping-particle":"","family":"Stacke","given":"T.","non-dropping-particle":"","parse-names":false,"suffix":""},{"dropping-particle":"","family":"Hagemann","given":"S.","non-dropping-particle":"","parse-names":false,"suffix":""}],"container-title":"Hydrology and Earth System Sciences","id":"ITEM-2","issue":"8","issued":{"date-parts":[["2012"]]},"page":"2915-2933","title":"Development and evaluation of a global dynamical wetlands extent scheme","type":"article-journal","volume":"16"},"uris":["http://www.mendeley.com/documents/?uuid=ff783711-33e8-4e25-98a2-d344c207f8c6","http://www.mendeley.com/documents/?uuid=c0658e4a-9d8c-492f-8ba8-c681a21e048c"]}],"mendeley":{"formattedCitation":"&lt;sup&gt;92,93&lt;/sup&gt;","plainTextFormattedCitation":"92,93","previouslyFormattedCitation":"&lt;sup&gt;90,91&lt;/sup&gt;"},"properties":{"noteIndex":0},"schema":"https://github.com/citation-style-language/schema/raw/master/csl-citation.json"}</w:instrText>
            </w:r>
            <w:r>
              <w:rPr>
                <w:rFonts w:ascii="Arial" w:hAnsi="Arial"/>
                <w:color w:val="000000"/>
                <w:sz w:val="18"/>
                <w:szCs w:val="18"/>
              </w:rPr>
              <w:fldChar w:fldCharType="separate"/>
            </w:r>
            <w:r w:rsidR="00926B52" w:rsidRPr="00926B52">
              <w:rPr>
                <w:rFonts w:ascii="Arial" w:hAnsi="Arial"/>
                <w:noProof/>
                <w:color w:val="000000"/>
                <w:sz w:val="18"/>
                <w:szCs w:val="18"/>
                <w:vertAlign w:val="superscript"/>
              </w:rPr>
              <w:t>92,93</w:t>
            </w:r>
            <w:r>
              <w:rPr>
                <w:rFonts w:ascii="Arial" w:hAnsi="Arial"/>
                <w:color w:val="000000"/>
                <w:sz w:val="18"/>
                <w:szCs w:val="18"/>
              </w:rPr>
              <w:fldChar w:fldCharType="end"/>
            </w:r>
          </w:p>
        </w:tc>
        <w:tc>
          <w:tcPr>
            <w:tcW w:w="1085" w:type="dxa"/>
            <w:textDirection w:val="btLr"/>
          </w:tcPr>
          <w:p w14:paraId="5DDC7072" w14:textId="4FC56A37" w:rsidR="00E516CE" w:rsidRPr="00A748C6" w:rsidRDefault="00E516CE" w:rsidP="00164978">
            <w:pPr>
              <w:ind w:left="113" w:right="113"/>
              <w:rPr>
                <w:rFonts w:ascii="Arial" w:hAnsi="Arial"/>
                <w:color w:val="000000"/>
                <w:sz w:val="18"/>
                <w:szCs w:val="18"/>
              </w:rPr>
            </w:pPr>
            <w:r>
              <w:rPr>
                <w:rFonts w:ascii="Arial" w:hAnsi="Arial"/>
                <w:color w:val="000000"/>
                <w:sz w:val="18"/>
                <w:szCs w:val="18"/>
              </w:rPr>
              <w:fldChar w:fldCharType="begin" w:fldLock="1"/>
            </w:r>
            <w:r w:rsidR="00926B52">
              <w:rPr>
                <w:rFonts w:ascii="Arial" w:hAnsi="Arial"/>
                <w:color w:val="000000"/>
                <w:sz w:val="18"/>
                <w:szCs w:val="18"/>
              </w:rPr>
              <w:instrText>ADDIN CSL_CITATION {"citationItems":[{"id":"ITEM-1","itemData":{"DOI":"10.5194/esd-5-15-2014","ISSN":"21904979","abstract":"To sustain growing food demand and increasing standard of living, global water withdrawal and consumptive water use have been increasing rapidly. To analyze the human perturbation on water resources consistently over large scales, a number of macro-scale hydrological models (MHMs) have been developed in recent decades. However, few models consider the interaction between terrestrial water fluxes, and human activities and associated water use, and even fewer models distinguish water use from surface water and groundwater resources. Here, we couple a global water demand model with a global hydrological model and dynamically simulate daily water withdrawal and consumptive water use over the period 1979-2010, using two re-analysis products: ERA-Interim and MERRA. We explicitly take into account the mutual feedback between supply and demand, and implement a newly developed water allocation scheme to distinguish surface water and groundwater use. Moreover, we include a new irrigation scheme, which works dynamically with a daily surface and soil water balance, and incorporate the newly available extensive Global Reservoir and Dams data set (GRanD). Simulated surface water and groundwater withdrawals generally show good agreement with reported national and subnational statistics. The results show a consistent increase in both surface water and groundwater use worldwide, with a more rapid increase in groundwater use since the 1990s. Human impacts on terrestrial water storage (TWS) signals are evident, altering the seasonal and interannual variability. This alteration is particularly large over heavily regulated basins such as the Colorado and the Columbia, and over the major irrigated basins such as the Mississippi, the Indus, and the Ganges. Including human water use and associated reservoir operations generally improves the correlation of simulated TWS anomalies with those of the GRACE observations. © 2013 Author(s) .","author":[{"dropping-particle":"","family":"Wada","given":"Y.","non-dropping-particle":"","parse-names":false,"suffix":""},{"dropping-particle":"","family":"Wisser","given":"D.","non-dropping-particle":"","parse-names":false,"suffix":""},{"dropping-particle":"","family":"Bierkens","given":"M. F.P.","non-dropping-particle":"","parse-names":false,"suffix":""}],"container-title":"Earth System Dynamics","id":"ITEM-1","issue":"1","issued":{"date-parts":[["2014"]]},"page":"15-40","title":"Global modeling of withdrawal, allocation and consumptive use of surface water and groundwater resources","type":"article-journal","volume":"5"},"uris":["http://www.mendeley.com/documents/?uuid=ea5db231-99cd-4541-930b-6501f05b127a"]}],"mendeley":{"formattedCitation":"&lt;sup&gt;94&lt;/sup&gt;","plainTextFormattedCitation":"94","previouslyFormattedCitation":"&lt;sup&gt;92&lt;/sup&gt;"},"properties":{"noteIndex":0},"schema":"https://github.com/citation-style-language/schema/raw/master/csl-citation.json"}</w:instrText>
            </w:r>
            <w:r>
              <w:rPr>
                <w:rFonts w:ascii="Arial" w:hAnsi="Arial"/>
                <w:color w:val="000000"/>
                <w:sz w:val="18"/>
                <w:szCs w:val="18"/>
              </w:rPr>
              <w:fldChar w:fldCharType="separate"/>
            </w:r>
            <w:r w:rsidR="00926B52" w:rsidRPr="00926B52">
              <w:rPr>
                <w:rFonts w:ascii="Arial" w:hAnsi="Arial"/>
                <w:noProof/>
                <w:color w:val="000000"/>
                <w:sz w:val="18"/>
                <w:szCs w:val="18"/>
                <w:vertAlign w:val="superscript"/>
              </w:rPr>
              <w:t>94</w:t>
            </w:r>
            <w:r>
              <w:rPr>
                <w:rFonts w:ascii="Arial" w:hAnsi="Arial"/>
                <w:color w:val="000000"/>
                <w:sz w:val="18"/>
                <w:szCs w:val="18"/>
              </w:rPr>
              <w:fldChar w:fldCharType="end"/>
            </w:r>
          </w:p>
        </w:tc>
        <w:tc>
          <w:tcPr>
            <w:tcW w:w="1036" w:type="dxa"/>
            <w:textDirection w:val="btLr"/>
          </w:tcPr>
          <w:p w14:paraId="6CD2B3EE" w14:textId="285F25CB" w:rsidR="00E516CE" w:rsidRPr="00A748C6" w:rsidRDefault="00E516CE" w:rsidP="00164978">
            <w:pPr>
              <w:ind w:left="113" w:right="113"/>
              <w:rPr>
                <w:rFonts w:ascii="Arial" w:hAnsi="Arial"/>
                <w:color w:val="000000"/>
                <w:sz w:val="18"/>
                <w:szCs w:val="18"/>
              </w:rPr>
            </w:pPr>
            <w:r>
              <w:rPr>
                <w:rFonts w:ascii="Arial" w:hAnsi="Arial"/>
                <w:color w:val="000000"/>
                <w:sz w:val="18"/>
                <w:szCs w:val="18"/>
              </w:rPr>
              <w:fldChar w:fldCharType="begin" w:fldLock="1"/>
            </w:r>
            <w:r w:rsidR="00926B52">
              <w:rPr>
                <w:rFonts w:ascii="Arial" w:hAnsi="Arial"/>
                <w:color w:val="000000"/>
                <w:sz w:val="18"/>
                <w:szCs w:val="18"/>
              </w:rPr>
              <w:instrText>ADDIN CSL_CITATION {"citationItems":[{"id":"ITEM-1","itemData":{"DOI":"10.5194/hess-18-3511-2014","ISSN":"16077938","abstract":"Global-scale assessments of freshwater fluxes and storages by hydrological models under historic climate conditions are subject to a variety of uncertainties. Using the global hydrological model WaterGAP (Water - Global Assessment and Prognosis) 2.2, we investigated the sensitivity of simulated freshwater fluxes and water storage variations to five major sources of uncertainty: climate forcing, land cover input, model structure/refinements, consideration of human water use and calibration (or no calibration) against observed mean river discharge. In a modeling experiment, five variants of the standard version of WaterGAP 2.2 were generated that differed from the standard version only regarding the investigated source of uncertainty. The basin-specific calibration approach for WaterGAP was found to have the largest effect on grid cell fluxes as well as on global AET (actual evapotranspiration) and discharge into oceans for the period 1971-2000. Regarding grid cell fluxes, climate forcing ranks second before land cover input. Global water storage trends are most sensitive to model refinements (mainly modeling of groundwater depletion) and consideration of human water use. The best fit to observed time series of monthly river discharge or discharge seasonality is obtained with the standard WaterGAP 2.2 model version which is calibrated and driven by daily reanalysis-based WFD/WFDEI (combination of Watch Forcing Data based on ERA40 and Watch Forcing Data based on ERA-Interim) climate data. Discharge computed by a calibrated model version using monthly CRU TS (Climate Research Unit time-series) 3.2 and GPCC (Global Precipitation Climatology Center) v6 climate input reduced the fit to observed discharge for most stations. Taking into account uncertainties of climate and land cover data, global 1971-2000 discharge into oceans and inland sinks ranges between 40 000 and 42 000 km3yrg-1. Global actual evapotranspiration, with 70 000 km3yrg-1, is rather unaffected by climate and land cover uncertainties. Human water use reduced river discharge by 1000 km3yrg-1, such that global renewable water resources are estimated to range between 41 000 and 43 000 km3yrg-1. The climate data sets WFD (available until 2001) and WFDEI (starting in 1979) were found to be inconsistent with respect to shortwave radiation data, resulting in strongly different actual evapotranspiration. Global assessments of freshwater fluxes and storages would therefore benefit from the development o…","author":[{"dropping-particle":"","family":"Schmied","given":"H. Müller","non-dropping-particle":"","parse-names":false,"suffix":""},{"dropping-particle":"","family":"Eisner","given":"S.","non-dropping-particle":"","parse-names":false,"suffix":""},{"dropping-particle":"","family":"Franz","given":"D.","non-dropping-particle":"","parse-names":false,"suffix":""},{"dropping-particle":"","family":"Wattenbach","given":"M.","non-dropping-particle":"","parse-names":false,"suffix":""},{"dropping-particle":"","family":"Portmann","given":"F. T.","non-dropping-particle":"","parse-names":false,"suffix":""},{"dropping-particle":"","family":"Flörke","given":"M.","non-dropping-particle":"","parse-names":false,"suffix":""},{"dropping-particle":"","family":"Döll","given":"P.","non-dropping-particle":"","parse-names":false,"suffix":""}],"container-title":"Hydrology and Earth System Sciences","id":"ITEM-1","issue":"9","issued":{"date-parts":[["2014"]]},"page":"3511-3538","title":"Sensitivity of simulated global-scale freshwater fluxes and storages to input data, hydrological model structure, human water use and calibration","type":"article-journal","volume":"18"},"uris":["http://www.mendeley.com/documents/?uuid=1ecc79cd-8364-4a4c-a9be-13b1ba881bac","http://www.mendeley.com/documents/?uuid=78f9cffb-0104-4112-888e-a13834d7e565"]},{"id":"ITEM-2","itemData":{"DOI":"10.5194/hess-20-2877-2016","ISSN":"16077938","abstract":"When assessing global water resources with hydrological models, it is essential to know about methodological uncertainties. The values of simulated water balance components may vary due to different spatial and temporal aggregations, reference periods, and applied climate forcings, as well as due to the consideration of human water use, or the lack thereof. We analyzed these variations over the period 1901-2010 by forcing the global hydrological model WaterGAP 2.2 (ISIMIP2a) with five state-of-the-art climate data sets, including a homogenized version of the concatenated WFD/WFDEI data set. Absolute values and temporal variations of global water balance components are strongly affected by the uncertainty in the climate forcing, and no temporal trends of the global water balance components are detected for the four homogeneous climate forcings considered (except for human water abstractions). The calibration of WaterGAP against observed long-term average river discharge Q significantly reduces the impact of climate forcing uncertainty on estimated Q and renewable water resources. For the homogeneous forcings, Q of the calibrated and noncalibrated regions of the globe varies by 1.6 and 18.5 %, respectively, for 1971-2000. On the continental scale, most differences for long-term average precipitation P and Q estimates occur in Africa and, due to snow undercatch of rain gauges, also in the data-rich continents Europe and North America. Variations of Q at the grid-cell scale are large, except in a few grid cells upstream and downstream of calibration stations, with an average variation of 37 and 74% among the four homogeneous forcings in calibrated and noncalibrated regions, respectively. Considering only the forcings GSWP3 and WFDEI-hom, i.e., excluding the forcing without undercatch correction (PGFv2.1) and the one with a much lower shortwave downward radiation SWD than the others (WFD), Q variations are reduced to 16 and 31% in calibrated and non-calibrated regions, respectively. These simulation results support the need for extended Q measurements and data sharing for better constraining global water balance assessments. Over the 20th century, the human footprint on natural water resources has become larger. For 11-18% of the global land area, the change of Q between 1941-1970 and 1971-2000 was driven more strongly by change of human water use including dam construction than by change in precipitation, while this was true for only 9-13% of the land area …","author":[{"dropping-particle":"","family":"Muller Schmied","given":"Hannes","non-dropping-particle":"","parse-names":false,"suffix":""},{"dropping-particle":"","family":"Adam","given":"Linda","non-dropping-particle":"","parse-names":false,"suffix":""},{"dropping-particle":"","family":"Eisner","given":"Stephanie","non-dropping-particle":"","parse-names":false,"suffix":""},{"dropping-particle":"","family":"Fink","given":"Gabriel","non-dropping-particle":"","parse-names":false,"suffix":""},{"dropping-particle":"","family":"Florke","given":"Martina","non-dropping-particle":"","parse-names":false,"suffix":""},{"dropping-particle":"","family":"Kim","given":"Hyungjun","non-dropping-particle":"","parse-names":false,"suffix":""},{"dropping-particle":"","family":"Oki","given":"Taikan","non-dropping-particle":"","parse-names":false,"suffix":""},{"dropping-particle":"","family":"Theodor Portmann","given":"Felix","non-dropping-particle":"","parse-names":false,"suffix":""},{"dropping-particle":"","family":"Reinecke","given":"Robert","non-dropping-particle":"","parse-names":false,"suffix":""},{"dropping-particle":"","family":"Riedel","given":"Claudia","non-dropping-particle":"","parse-names":false,"suffix":""},{"dropping-particle":"","family":"Song","given":"Qi","non-dropping-particle":"","parse-names":false,"suffix":""},{"dropping-particle":"","family":"Zhang","given":"Jing","non-dropping-particle":"","parse-names":false,"suffix":""},{"dropping-particle":"","family":"Doll","given":"Petra","non-dropping-particle":"","parse-names":false,"suffix":""}],"container-title":"Hydrology and Earth System Sciences","id":"ITEM-2","issue":"7","issued":{"date-parts":[["2016"]]},"page":"2877-2898","title":"Variations of global and continental water balance components as impacted by climate forcing uncertainty and human water use","type":"article-journal","volume":"20"},"uris":["http://www.mendeley.com/documents/?uuid=c2b33eb4-3b99-434f-b2e0-3f9e3e3b2605","http://www.mendeley.com/documents/?uuid=50e770c9-ba9a-4a71-bb96-5ea0c099228b"]}],"mendeley":{"formattedCitation":"&lt;sup&gt;95,96&lt;/sup&gt;","plainTextFormattedCitation":"95,96","previouslyFormattedCitation":"&lt;sup&gt;93,94&lt;/sup&gt;"},"properties":{"noteIndex":0},"schema":"https://github.com/citation-style-language/schema/raw/master/csl-citation.json"}</w:instrText>
            </w:r>
            <w:r>
              <w:rPr>
                <w:rFonts w:ascii="Arial" w:hAnsi="Arial"/>
                <w:color w:val="000000"/>
                <w:sz w:val="18"/>
                <w:szCs w:val="18"/>
              </w:rPr>
              <w:fldChar w:fldCharType="separate"/>
            </w:r>
            <w:r w:rsidR="00926B52" w:rsidRPr="00926B52">
              <w:rPr>
                <w:rFonts w:ascii="Arial" w:hAnsi="Arial"/>
                <w:noProof/>
                <w:color w:val="000000"/>
                <w:sz w:val="18"/>
                <w:szCs w:val="18"/>
                <w:vertAlign w:val="superscript"/>
              </w:rPr>
              <w:t>95,96</w:t>
            </w:r>
            <w:r>
              <w:rPr>
                <w:rFonts w:ascii="Arial" w:hAnsi="Arial"/>
                <w:color w:val="000000"/>
                <w:sz w:val="18"/>
                <w:szCs w:val="18"/>
              </w:rPr>
              <w:fldChar w:fldCharType="end"/>
            </w:r>
          </w:p>
        </w:tc>
      </w:tr>
      <w:tr w:rsidR="00E516CE" w:rsidRPr="00D35C82" w14:paraId="3993DF43" w14:textId="77777777" w:rsidTr="006D3D9E">
        <w:trPr>
          <w:trHeight w:val="974"/>
        </w:trPr>
        <w:tc>
          <w:tcPr>
            <w:tcW w:w="723" w:type="dxa"/>
            <w:vMerge/>
            <w:tcBorders>
              <w:left w:val="nil"/>
              <w:right w:val="single" w:sz="4" w:space="0" w:color="auto"/>
            </w:tcBorders>
            <w:textDirection w:val="btLr"/>
          </w:tcPr>
          <w:p w14:paraId="412FBDE2" w14:textId="77777777" w:rsidR="00E516CE" w:rsidRPr="00A748C6" w:rsidRDefault="00E516CE" w:rsidP="006D3D9E">
            <w:pPr>
              <w:ind w:left="113" w:right="113"/>
              <w:jc w:val="center"/>
              <w:rPr>
                <w:rFonts w:ascii="Arial" w:eastAsia="Times New Roman" w:hAnsi="Arial"/>
                <w:color w:val="000000"/>
                <w:sz w:val="18"/>
                <w:szCs w:val="18"/>
              </w:rPr>
            </w:pPr>
          </w:p>
        </w:tc>
        <w:tc>
          <w:tcPr>
            <w:tcW w:w="722" w:type="dxa"/>
            <w:tcBorders>
              <w:right w:val="single" w:sz="4" w:space="0" w:color="auto"/>
            </w:tcBorders>
            <w:textDirection w:val="btLr"/>
          </w:tcPr>
          <w:p w14:paraId="5F945793" w14:textId="77777777" w:rsidR="00E516CE" w:rsidRPr="00A748C6" w:rsidRDefault="00E516CE" w:rsidP="006D3D9E">
            <w:pPr>
              <w:ind w:left="113" w:right="113"/>
              <w:rPr>
                <w:rFonts w:ascii="Arial" w:hAnsi="Arial"/>
                <w:b/>
                <w:bCs/>
                <w:color w:val="000000"/>
                <w:sz w:val="18"/>
                <w:szCs w:val="18"/>
              </w:rPr>
            </w:pPr>
            <w:r w:rsidRPr="00A748C6">
              <w:rPr>
                <w:rFonts w:ascii="Arial" w:eastAsia="Times New Roman" w:hAnsi="Arial"/>
                <w:b/>
                <w:bCs/>
                <w:color w:val="000000"/>
                <w:sz w:val="18"/>
                <w:szCs w:val="18"/>
              </w:rPr>
              <w:t>Snow scheme</w:t>
            </w:r>
          </w:p>
        </w:tc>
        <w:tc>
          <w:tcPr>
            <w:tcW w:w="1085" w:type="dxa"/>
            <w:tcBorders>
              <w:left w:val="single" w:sz="4" w:space="0" w:color="auto"/>
            </w:tcBorders>
            <w:textDirection w:val="btLr"/>
          </w:tcPr>
          <w:p w14:paraId="58F07F63"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Snow model</w:t>
            </w:r>
            <w:r w:rsidRPr="00A748C6" w:rsidDel="00F3513A">
              <w:rPr>
                <w:rFonts w:ascii="Arial" w:hAnsi="Arial"/>
                <w:color w:val="000000"/>
                <w:sz w:val="18"/>
                <w:szCs w:val="18"/>
              </w:rPr>
              <w:t xml:space="preserve"> </w:t>
            </w:r>
          </w:p>
        </w:tc>
        <w:tc>
          <w:tcPr>
            <w:tcW w:w="1205" w:type="dxa"/>
            <w:gridSpan w:val="2"/>
            <w:textDirection w:val="btLr"/>
          </w:tcPr>
          <w:p w14:paraId="1D53E2C4" w14:textId="77777777" w:rsidR="00E516CE" w:rsidRPr="00A748C6" w:rsidRDefault="00E516CE" w:rsidP="006D3D9E">
            <w:pPr>
              <w:ind w:left="113" w:right="113"/>
              <w:rPr>
                <w:rFonts w:ascii="Arial" w:hAnsi="Arial"/>
                <w:caps/>
                <w:color w:val="000000"/>
                <w:sz w:val="18"/>
                <w:szCs w:val="18"/>
              </w:rPr>
            </w:pPr>
            <w:r w:rsidRPr="00A748C6">
              <w:rPr>
                <w:rFonts w:ascii="Arial" w:hAnsi="Arial"/>
                <w:color w:val="000000"/>
                <w:sz w:val="18"/>
                <w:szCs w:val="18"/>
              </w:rPr>
              <w:t>Energy balance</w:t>
            </w:r>
            <w:r w:rsidRPr="00A748C6" w:rsidDel="005818F8">
              <w:rPr>
                <w:rFonts w:ascii="Arial" w:hAnsi="Arial"/>
                <w:color w:val="000000"/>
                <w:sz w:val="18"/>
                <w:szCs w:val="18"/>
              </w:rPr>
              <w:t xml:space="preserve"> </w:t>
            </w:r>
          </w:p>
        </w:tc>
        <w:tc>
          <w:tcPr>
            <w:tcW w:w="1368" w:type="dxa"/>
            <w:textDirection w:val="btLr"/>
          </w:tcPr>
          <w:p w14:paraId="362F3EF6"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Degree day</w:t>
            </w:r>
          </w:p>
        </w:tc>
        <w:tc>
          <w:tcPr>
            <w:tcW w:w="1134" w:type="dxa"/>
            <w:textDirection w:val="btLr"/>
          </w:tcPr>
          <w:p w14:paraId="4D8F4154"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Energy balance</w:t>
            </w:r>
            <w:r w:rsidRPr="00A748C6" w:rsidDel="00F341C4">
              <w:rPr>
                <w:rFonts w:ascii="Arial" w:hAnsi="Arial"/>
                <w:color w:val="000000"/>
                <w:sz w:val="18"/>
                <w:szCs w:val="18"/>
              </w:rPr>
              <w:t xml:space="preserve"> </w:t>
            </w:r>
          </w:p>
        </w:tc>
        <w:tc>
          <w:tcPr>
            <w:tcW w:w="992" w:type="dxa"/>
            <w:textDirection w:val="btLr"/>
          </w:tcPr>
          <w:p w14:paraId="0BCA04D1"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Degree day</w:t>
            </w:r>
            <w:r w:rsidRPr="00A748C6" w:rsidDel="00FA42E7">
              <w:rPr>
                <w:rFonts w:ascii="Arial" w:hAnsi="Arial"/>
                <w:color w:val="000000"/>
                <w:sz w:val="18"/>
                <w:szCs w:val="18"/>
              </w:rPr>
              <w:t xml:space="preserve"> </w:t>
            </w:r>
          </w:p>
        </w:tc>
        <w:tc>
          <w:tcPr>
            <w:tcW w:w="1085" w:type="dxa"/>
            <w:textDirection w:val="btLr"/>
          </w:tcPr>
          <w:p w14:paraId="60277C79"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Degree day</w:t>
            </w:r>
            <w:r w:rsidRPr="00A748C6" w:rsidDel="009C1BFA">
              <w:rPr>
                <w:rFonts w:ascii="Arial" w:hAnsi="Arial"/>
                <w:color w:val="000000"/>
                <w:sz w:val="18"/>
                <w:szCs w:val="18"/>
              </w:rPr>
              <w:t xml:space="preserve"> </w:t>
            </w:r>
          </w:p>
        </w:tc>
        <w:tc>
          <w:tcPr>
            <w:tcW w:w="1036" w:type="dxa"/>
            <w:textDirection w:val="btLr"/>
          </w:tcPr>
          <w:p w14:paraId="65DF10C9"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Degree day</w:t>
            </w:r>
          </w:p>
        </w:tc>
      </w:tr>
      <w:tr w:rsidR="00E516CE" w:rsidRPr="00D35C82" w14:paraId="18234D47" w14:textId="77777777" w:rsidTr="006D3D9E">
        <w:trPr>
          <w:trHeight w:val="1143"/>
        </w:trPr>
        <w:tc>
          <w:tcPr>
            <w:tcW w:w="723" w:type="dxa"/>
            <w:vMerge/>
            <w:tcBorders>
              <w:left w:val="nil"/>
              <w:right w:val="single" w:sz="4" w:space="0" w:color="auto"/>
            </w:tcBorders>
            <w:textDirection w:val="btLr"/>
          </w:tcPr>
          <w:p w14:paraId="78E8EAEC" w14:textId="77777777" w:rsidR="00E516CE" w:rsidRPr="00A748C6" w:rsidRDefault="00E516CE" w:rsidP="006D3D9E">
            <w:pPr>
              <w:ind w:left="113" w:right="113"/>
              <w:jc w:val="center"/>
              <w:rPr>
                <w:rFonts w:ascii="Arial" w:hAnsi="Arial"/>
                <w:color w:val="000000"/>
                <w:sz w:val="18"/>
                <w:szCs w:val="18"/>
              </w:rPr>
            </w:pPr>
          </w:p>
        </w:tc>
        <w:tc>
          <w:tcPr>
            <w:tcW w:w="722" w:type="dxa"/>
            <w:tcBorders>
              <w:right w:val="single" w:sz="4" w:space="0" w:color="auto"/>
            </w:tcBorders>
            <w:textDirection w:val="btLr"/>
          </w:tcPr>
          <w:p w14:paraId="1A895AEB" w14:textId="77777777" w:rsidR="00E516CE" w:rsidRPr="00A748C6" w:rsidRDefault="00E516CE" w:rsidP="006D3D9E">
            <w:pPr>
              <w:ind w:left="113" w:right="113"/>
              <w:rPr>
                <w:rFonts w:ascii="Arial" w:hAnsi="Arial"/>
                <w:b/>
                <w:bCs/>
                <w:color w:val="000000"/>
                <w:sz w:val="18"/>
                <w:szCs w:val="18"/>
              </w:rPr>
            </w:pPr>
            <w:r w:rsidRPr="00A748C6">
              <w:rPr>
                <w:rFonts w:ascii="Arial" w:hAnsi="Arial"/>
                <w:b/>
                <w:bCs/>
                <w:color w:val="000000"/>
                <w:sz w:val="18"/>
                <w:szCs w:val="18"/>
              </w:rPr>
              <w:t>Vegetation dynamics</w:t>
            </w:r>
          </w:p>
        </w:tc>
        <w:tc>
          <w:tcPr>
            <w:tcW w:w="1085" w:type="dxa"/>
            <w:tcBorders>
              <w:left w:val="single" w:sz="4" w:space="0" w:color="auto"/>
            </w:tcBorders>
            <w:textDirection w:val="btLr"/>
          </w:tcPr>
          <w:p w14:paraId="2271B487"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Yes</w:t>
            </w:r>
          </w:p>
        </w:tc>
        <w:tc>
          <w:tcPr>
            <w:tcW w:w="1205" w:type="dxa"/>
            <w:gridSpan w:val="2"/>
            <w:textDirection w:val="btLr"/>
          </w:tcPr>
          <w:p w14:paraId="7F2759A2"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No</w:t>
            </w:r>
          </w:p>
        </w:tc>
        <w:tc>
          <w:tcPr>
            <w:tcW w:w="1368" w:type="dxa"/>
            <w:textDirection w:val="btLr"/>
          </w:tcPr>
          <w:p w14:paraId="23A69DB4"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Yes</w:t>
            </w:r>
          </w:p>
        </w:tc>
        <w:tc>
          <w:tcPr>
            <w:tcW w:w="1134" w:type="dxa"/>
            <w:textDirection w:val="btLr"/>
          </w:tcPr>
          <w:p w14:paraId="49FCD3FD"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No</w:t>
            </w:r>
          </w:p>
        </w:tc>
        <w:tc>
          <w:tcPr>
            <w:tcW w:w="992" w:type="dxa"/>
            <w:textDirection w:val="btLr"/>
          </w:tcPr>
          <w:p w14:paraId="035D6356"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No</w:t>
            </w:r>
          </w:p>
        </w:tc>
        <w:tc>
          <w:tcPr>
            <w:tcW w:w="1085" w:type="dxa"/>
            <w:textDirection w:val="btLr"/>
          </w:tcPr>
          <w:p w14:paraId="30B8863A"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shd w:val="clear" w:color="auto" w:fill="E6E6E6"/>
              </w:rPr>
              <w:t>No</w:t>
            </w:r>
          </w:p>
        </w:tc>
        <w:tc>
          <w:tcPr>
            <w:tcW w:w="1036" w:type="dxa"/>
            <w:textDirection w:val="btLr"/>
          </w:tcPr>
          <w:p w14:paraId="32022A73" w14:textId="77777777" w:rsidR="00E516CE" w:rsidRPr="00A748C6" w:rsidRDefault="00E516CE" w:rsidP="006D3D9E">
            <w:pPr>
              <w:ind w:left="113" w:right="113"/>
              <w:rPr>
                <w:rFonts w:ascii="Arial" w:hAnsi="Arial"/>
                <w:color w:val="000000"/>
                <w:sz w:val="18"/>
                <w:szCs w:val="18"/>
                <w:shd w:val="clear" w:color="auto" w:fill="E6E6E6"/>
              </w:rPr>
            </w:pPr>
            <w:r w:rsidRPr="00A748C6">
              <w:rPr>
                <w:rFonts w:ascii="Arial" w:hAnsi="Arial"/>
                <w:color w:val="000000"/>
                <w:sz w:val="18"/>
                <w:szCs w:val="18"/>
                <w:shd w:val="clear" w:color="auto" w:fill="E6E6E6"/>
              </w:rPr>
              <w:t>No</w:t>
            </w:r>
          </w:p>
        </w:tc>
      </w:tr>
      <w:tr w:rsidR="00E516CE" w:rsidRPr="00D35C82" w14:paraId="256F39CC" w14:textId="77777777" w:rsidTr="006D3D9E">
        <w:trPr>
          <w:trHeight w:val="994"/>
        </w:trPr>
        <w:tc>
          <w:tcPr>
            <w:tcW w:w="723" w:type="dxa"/>
            <w:vMerge/>
            <w:tcBorders>
              <w:left w:val="nil"/>
              <w:right w:val="single" w:sz="4" w:space="0" w:color="auto"/>
            </w:tcBorders>
            <w:textDirection w:val="btLr"/>
          </w:tcPr>
          <w:p w14:paraId="1D586BEB" w14:textId="77777777" w:rsidR="00E516CE" w:rsidRPr="00A748C6" w:rsidRDefault="00E516CE" w:rsidP="006D3D9E">
            <w:pPr>
              <w:ind w:left="113" w:right="113"/>
              <w:jc w:val="center"/>
              <w:rPr>
                <w:rFonts w:ascii="Arial" w:hAnsi="Arial"/>
                <w:color w:val="000000"/>
                <w:sz w:val="18"/>
                <w:szCs w:val="18"/>
              </w:rPr>
            </w:pPr>
          </w:p>
        </w:tc>
        <w:tc>
          <w:tcPr>
            <w:tcW w:w="722" w:type="dxa"/>
            <w:tcBorders>
              <w:right w:val="single" w:sz="4" w:space="0" w:color="auto"/>
            </w:tcBorders>
            <w:textDirection w:val="btLr"/>
          </w:tcPr>
          <w:p w14:paraId="6430E904" w14:textId="77777777" w:rsidR="00E516CE" w:rsidRPr="00A748C6" w:rsidRDefault="00E516CE" w:rsidP="006D3D9E">
            <w:pPr>
              <w:ind w:left="113" w:right="113"/>
              <w:rPr>
                <w:rFonts w:ascii="Arial" w:hAnsi="Arial"/>
                <w:b/>
                <w:bCs/>
                <w:color w:val="000000"/>
                <w:sz w:val="18"/>
                <w:szCs w:val="18"/>
              </w:rPr>
            </w:pPr>
            <w:r w:rsidRPr="00A748C6">
              <w:rPr>
                <w:rFonts w:ascii="Arial" w:hAnsi="Arial"/>
                <w:b/>
                <w:bCs/>
                <w:color w:val="000000"/>
                <w:sz w:val="18"/>
                <w:szCs w:val="18"/>
              </w:rPr>
              <w:t>Reservoir operation</w:t>
            </w:r>
          </w:p>
        </w:tc>
        <w:tc>
          <w:tcPr>
            <w:tcW w:w="1085" w:type="dxa"/>
            <w:tcBorders>
              <w:left w:val="single" w:sz="4" w:space="0" w:color="auto"/>
            </w:tcBorders>
            <w:textDirection w:val="btLr"/>
          </w:tcPr>
          <w:p w14:paraId="436825B4" w14:textId="77777777" w:rsidR="00E516CE" w:rsidRPr="00A748C6" w:rsidRDefault="00E516CE" w:rsidP="006D3D9E">
            <w:pPr>
              <w:ind w:left="113" w:right="113"/>
              <w:rPr>
                <w:rFonts w:ascii="Arial" w:hAnsi="Arial"/>
                <w:color w:val="000000"/>
                <w:sz w:val="18"/>
                <w:szCs w:val="18"/>
              </w:rPr>
            </w:pPr>
            <w:r w:rsidRPr="00A748C6">
              <w:rPr>
                <w:rFonts w:ascii="Arial" w:eastAsia="Times New Roman" w:hAnsi="Arial"/>
                <w:color w:val="000000"/>
                <w:sz w:val="18"/>
                <w:szCs w:val="18"/>
              </w:rPr>
              <w:t>No</w:t>
            </w:r>
          </w:p>
        </w:tc>
        <w:tc>
          <w:tcPr>
            <w:tcW w:w="1205" w:type="dxa"/>
            <w:gridSpan w:val="2"/>
            <w:textDirection w:val="btLr"/>
          </w:tcPr>
          <w:p w14:paraId="0D7B4FC6"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Yes</w:t>
            </w:r>
          </w:p>
        </w:tc>
        <w:tc>
          <w:tcPr>
            <w:tcW w:w="1368" w:type="dxa"/>
            <w:textDirection w:val="btLr"/>
          </w:tcPr>
          <w:p w14:paraId="4EB00930"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Yes</w:t>
            </w:r>
          </w:p>
        </w:tc>
        <w:tc>
          <w:tcPr>
            <w:tcW w:w="1134" w:type="dxa"/>
            <w:textDirection w:val="btLr"/>
          </w:tcPr>
          <w:p w14:paraId="525D615C"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Yes</w:t>
            </w:r>
          </w:p>
        </w:tc>
        <w:tc>
          <w:tcPr>
            <w:tcW w:w="992" w:type="dxa"/>
            <w:textDirection w:val="btLr"/>
          </w:tcPr>
          <w:p w14:paraId="636CE7FA"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No</w:t>
            </w:r>
          </w:p>
        </w:tc>
        <w:tc>
          <w:tcPr>
            <w:tcW w:w="1085" w:type="dxa"/>
            <w:textDirection w:val="btLr"/>
          </w:tcPr>
          <w:p w14:paraId="640C4EB0"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shd w:val="clear" w:color="auto" w:fill="E6E6E6"/>
              </w:rPr>
              <w:t>Yes</w:t>
            </w:r>
          </w:p>
        </w:tc>
        <w:tc>
          <w:tcPr>
            <w:tcW w:w="1036" w:type="dxa"/>
            <w:textDirection w:val="btLr"/>
          </w:tcPr>
          <w:p w14:paraId="4733B338" w14:textId="77777777" w:rsidR="00E516CE" w:rsidRPr="00A748C6" w:rsidRDefault="00E516CE" w:rsidP="006D3D9E">
            <w:pPr>
              <w:ind w:left="113" w:right="113"/>
              <w:rPr>
                <w:rFonts w:ascii="Arial" w:hAnsi="Arial"/>
                <w:color w:val="000000"/>
                <w:sz w:val="18"/>
                <w:szCs w:val="18"/>
                <w:shd w:val="clear" w:color="auto" w:fill="E6E6E6"/>
              </w:rPr>
            </w:pPr>
            <w:r w:rsidRPr="00A748C6">
              <w:rPr>
                <w:rFonts w:ascii="Arial" w:hAnsi="Arial"/>
                <w:color w:val="000000"/>
                <w:sz w:val="18"/>
                <w:szCs w:val="18"/>
                <w:shd w:val="clear" w:color="auto" w:fill="E6E6E6"/>
              </w:rPr>
              <w:t>Yes</w:t>
            </w:r>
          </w:p>
        </w:tc>
      </w:tr>
      <w:tr w:rsidR="00E516CE" w:rsidRPr="00D35C82" w14:paraId="677F17EB" w14:textId="77777777" w:rsidTr="006D3D9E">
        <w:trPr>
          <w:trHeight w:val="1443"/>
        </w:trPr>
        <w:tc>
          <w:tcPr>
            <w:tcW w:w="723" w:type="dxa"/>
            <w:vMerge/>
            <w:tcBorders>
              <w:left w:val="nil"/>
              <w:right w:val="single" w:sz="4" w:space="0" w:color="auto"/>
            </w:tcBorders>
            <w:textDirection w:val="btLr"/>
          </w:tcPr>
          <w:p w14:paraId="37090168" w14:textId="77777777" w:rsidR="00E516CE" w:rsidRPr="00A748C6" w:rsidRDefault="00E516CE" w:rsidP="006D3D9E">
            <w:pPr>
              <w:ind w:left="113" w:right="113"/>
              <w:jc w:val="center"/>
              <w:rPr>
                <w:rFonts w:ascii="Arial" w:eastAsia="Times New Roman" w:hAnsi="Arial"/>
                <w:color w:val="000000"/>
                <w:sz w:val="16"/>
                <w:szCs w:val="16"/>
              </w:rPr>
            </w:pPr>
          </w:p>
        </w:tc>
        <w:tc>
          <w:tcPr>
            <w:tcW w:w="722" w:type="dxa"/>
            <w:tcBorders>
              <w:right w:val="single" w:sz="4" w:space="0" w:color="auto"/>
            </w:tcBorders>
            <w:textDirection w:val="btLr"/>
          </w:tcPr>
          <w:p w14:paraId="6F87B265" w14:textId="77777777" w:rsidR="00E516CE" w:rsidRPr="00A748C6" w:rsidRDefault="00E516CE" w:rsidP="006D3D9E">
            <w:pPr>
              <w:ind w:left="113" w:right="113"/>
              <w:rPr>
                <w:rFonts w:ascii="Arial" w:eastAsia="Times New Roman" w:hAnsi="Arial"/>
                <w:b/>
                <w:bCs/>
                <w:color w:val="000000"/>
                <w:sz w:val="18"/>
                <w:szCs w:val="18"/>
              </w:rPr>
            </w:pPr>
            <w:r w:rsidRPr="00A748C6">
              <w:rPr>
                <w:rFonts w:ascii="Arial" w:eastAsia="Times New Roman" w:hAnsi="Arial"/>
                <w:b/>
                <w:bCs/>
                <w:color w:val="000000"/>
                <w:sz w:val="18"/>
                <w:szCs w:val="18"/>
              </w:rPr>
              <w:t>ET scheme</w:t>
            </w:r>
          </w:p>
        </w:tc>
        <w:tc>
          <w:tcPr>
            <w:tcW w:w="1085" w:type="dxa"/>
            <w:tcBorders>
              <w:left w:val="single" w:sz="4" w:space="0" w:color="auto"/>
            </w:tcBorders>
            <w:textDirection w:val="btLr"/>
          </w:tcPr>
          <w:p w14:paraId="43D3AEB3" w14:textId="77777777" w:rsidR="00E516CE" w:rsidRPr="00A748C6" w:rsidRDefault="00E516CE" w:rsidP="006D3D9E">
            <w:pPr>
              <w:ind w:left="113" w:right="113"/>
              <w:rPr>
                <w:rFonts w:ascii="Arial" w:eastAsia="Times New Roman" w:hAnsi="Arial"/>
                <w:color w:val="000000"/>
                <w:sz w:val="18"/>
                <w:szCs w:val="18"/>
              </w:rPr>
            </w:pPr>
            <w:r w:rsidRPr="00A748C6">
              <w:rPr>
                <w:rFonts w:ascii="Arial" w:eastAsia="Times New Roman" w:hAnsi="Arial"/>
                <w:color w:val="000000"/>
                <w:sz w:val="18"/>
                <w:szCs w:val="18"/>
              </w:rPr>
              <w:t xml:space="preserve">Monin-Obukhov </w:t>
            </w:r>
          </w:p>
          <w:p w14:paraId="2AE1D2FC" w14:textId="77777777" w:rsidR="00E516CE" w:rsidRPr="00A748C6" w:rsidRDefault="00E516CE" w:rsidP="006D3D9E">
            <w:pPr>
              <w:ind w:left="113" w:right="113"/>
              <w:rPr>
                <w:rFonts w:ascii="Arial" w:hAnsi="Arial"/>
                <w:color w:val="000000"/>
                <w:sz w:val="18"/>
                <w:szCs w:val="18"/>
              </w:rPr>
            </w:pPr>
            <w:r w:rsidRPr="00A748C6">
              <w:rPr>
                <w:rFonts w:ascii="Arial" w:eastAsia="Times New Roman" w:hAnsi="Arial"/>
                <w:color w:val="000000"/>
                <w:sz w:val="18"/>
                <w:szCs w:val="18"/>
              </w:rPr>
              <w:t>similarity theory</w:t>
            </w:r>
          </w:p>
        </w:tc>
        <w:tc>
          <w:tcPr>
            <w:tcW w:w="1205" w:type="dxa"/>
            <w:gridSpan w:val="2"/>
            <w:textDirection w:val="btLr"/>
          </w:tcPr>
          <w:p w14:paraId="3467CBBD"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Bulk formulation</w:t>
            </w:r>
          </w:p>
        </w:tc>
        <w:tc>
          <w:tcPr>
            <w:tcW w:w="1368" w:type="dxa"/>
            <w:textDirection w:val="btLr"/>
          </w:tcPr>
          <w:p w14:paraId="0CFFE25D"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Priestley–Taylor</w:t>
            </w:r>
          </w:p>
        </w:tc>
        <w:tc>
          <w:tcPr>
            <w:tcW w:w="1134" w:type="dxa"/>
            <w:textDirection w:val="btLr"/>
          </w:tcPr>
          <w:p w14:paraId="4F9BAEF3"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 xml:space="preserve">Bulk formulation </w:t>
            </w:r>
          </w:p>
        </w:tc>
        <w:tc>
          <w:tcPr>
            <w:tcW w:w="992" w:type="dxa"/>
            <w:textDirection w:val="btLr"/>
          </w:tcPr>
          <w:p w14:paraId="22937DB7"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Penman-Monteith</w:t>
            </w:r>
          </w:p>
        </w:tc>
        <w:tc>
          <w:tcPr>
            <w:tcW w:w="1085" w:type="dxa"/>
            <w:textDirection w:val="btLr"/>
          </w:tcPr>
          <w:p w14:paraId="0F4A9C5E" w14:textId="77777777" w:rsidR="00E516CE" w:rsidRPr="00A748C6" w:rsidRDefault="00E516CE" w:rsidP="006D3D9E">
            <w:pPr>
              <w:ind w:left="113" w:right="113"/>
              <w:rPr>
                <w:rFonts w:ascii="Arial" w:hAnsi="Arial"/>
                <w:color w:val="000000"/>
                <w:sz w:val="18"/>
                <w:szCs w:val="18"/>
              </w:rPr>
            </w:pPr>
            <w:r w:rsidRPr="00A748C6">
              <w:rPr>
                <w:rFonts w:ascii="Arial" w:hAnsi="Arial"/>
                <w:sz w:val="18"/>
                <w:szCs w:val="18"/>
              </w:rPr>
              <w:t xml:space="preserve"> </w:t>
            </w:r>
            <w:r w:rsidRPr="00A748C6">
              <w:rPr>
                <w:rFonts w:ascii="Arial" w:hAnsi="Arial"/>
                <w:color w:val="000000"/>
                <w:sz w:val="18"/>
                <w:szCs w:val="18"/>
                <w:shd w:val="clear" w:color="auto" w:fill="E6E6E6"/>
              </w:rPr>
              <w:t>Hamon formulation</w:t>
            </w:r>
          </w:p>
        </w:tc>
        <w:tc>
          <w:tcPr>
            <w:tcW w:w="1036" w:type="dxa"/>
            <w:textDirection w:val="btLr"/>
          </w:tcPr>
          <w:p w14:paraId="3C5D6F2E" w14:textId="77777777" w:rsidR="00E516CE" w:rsidRPr="00A748C6" w:rsidRDefault="00E516CE" w:rsidP="006D3D9E">
            <w:pPr>
              <w:ind w:left="113" w:right="113"/>
              <w:rPr>
                <w:rFonts w:ascii="Arial" w:hAnsi="Arial"/>
                <w:color w:val="000000"/>
                <w:sz w:val="18"/>
                <w:szCs w:val="18"/>
                <w:shd w:val="clear" w:color="auto" w:fill="E6E6E6"/>
              </w:rPr>
            </w:pPr>
            <w:r w:rsidRPr="00A748C6">
              <w:rPr>
                <w:rFonts w:ascii="Arial" w:hAnsi="Arial"/>
                <w:color w:val="000000"/>
                <w:sz w:val="18"/>
                <w:szCs w:val="18"/>
                <w:shd w:val="clear" w:color="auto" w:fill="E6E6E6"/>
              </w:rPr>
              <w:t>Priestley–Taylor</w:t>
            </w:r>
          </w:p>
        </w:tc>
      </w:tr>
      <w:tr w:rsidR="00E516CE" w:rsidRPr="00D35C82" w14:paraId="282EE244" w14:textId="77777777" w:rsidTr="006D3D9E">
        <w:trPr>
          <w:trHeight w:val="1429"/>
        </w:trPr>
        <w:tc>
          <w:tcPr>
            <w:tcW w:w="723" w:type="dxa"/>
            <w:vMerge/>
            <w:tcBorders>
              <w:left w:val="nil"/>
              <w:right w:val="single" w:sz="4" w:space="0" w:color="auto"/>
            </w:tcBorders>
            <w:textDirection w:val="btLr"/>
          </w:tcPr>
          <w:p w14:paraId="11C574E8" w14:textId="77777777" w:rsidR="00E516CE" w:rsidRPr="00A748C6" w:rsidRDefault="00E516CE" w:rsidP="006D3D9E">
            <w:pPr>
              <w:ind w:left="113" w:right="113"/>
              <w:jc w:val="center"/>
              <w:rPr>
                <w:rFonts w:ascii="Arial" w:eastAsia="Times New Roman" w:hAnsi="Arial"/>
                <w:color w:val="000000"/>
                <w:sz w:val="16"/>
                <w:szCs w:val="16"/>
              </w:rPr>
            </w:pPr>
          </w:p>
        </w:tc>
        <w:tc>
          <w:tcPr>
            <w:tcW w:w="722" w:type="dxa"/>
            <w:tcBorders>
              <w:right w:val="single" w:sz="4" w:space="0" w:color="auto"/>
            </w:tcBorders>
            <w:textDirection w:val="btLr"/>
          </w:tcPr>
          <w:p w14:paraId="5F229649" w14:textId="77777777" w:rsidR="00E516CE" w:rsidRPr="00A748C6" w:rsidRDefault="00E516CE" w:rsidP="006D3D9E">
            <w:pPr>
              <w:ind w:left="113" w:right="113"/>
              <w:rPr>
                <w:rFonts w:ascii="Arial" w:eastAsia="Times New Roman" w:hAnsi="Arial"/>
                <w:b/>
                <w:bCs/>
                <w:color w:val="000000"/>
                <w:sz w:val="18"/>
                <w:szCs w:val="18"/>
              </w:rPr>
            </w:pPr>
            <w:r w:rsidRPr="00A748C6">
              <w:rPr>
                <w:rFonts w:ascii="Arial" w:eastAsia="Times New Roman" w:hAnsi="Arial"/>
                <w:b/>
                <w:bCs/>
                <w:color w:val="000000"/>
                <w:sz w:val="18"/>
                <w:szCs w:val="18"/>
              </w:rPr>
              <w:t>Groundwater scheme</w:t>
            </w:r>
          </w:p>
        </w:tc>
        <w:tc>
          <w:tcPr>
            <w:tcW w:w="1085" w:type="dxa"/>
            <w:tcBorders>
              <w:left w:val="single" w:sz="4" w:space="0" w:color="auto"/>
            </w:tcBorders>
            <w:textDirection w:val="btLr"/>
          </w:tcPr>
          <w:p w14:paraId="4CEC5C97"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Explicit (single reservoir)</w:t>
            </w:r>
          </w:p>
        </w:tc>
        <w:tc>
          <w:tcPr>
            <w:tcW w:w="1205" w:type="dxa"/>
            <w:gridSpan w:val="2"/>
            <w:textDirection w:val="btLr"/>
          </w:tcPr>
          <w:p w14:paraId="22A8E02E"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Explicit (renewable and non-renewable reservoirs)</w:t>
            </w:r>
          </w:p>
        </w:tc>
        <w:tc>
          <w:tcPr>
            <w:tcW w:w="1368" w:type="dxa"/>
            <w:textDirection w:val="btLr"/>
          </w:tcPr>
          <w:p w14:paraId="43ACF796"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Groundwater recharge and runoff calculated from seepage in soil</w:t>
            </w:r>
          </w:p>
        </w:tc>
        <w:tc>
          <w:tcPr>
            <w:tcW w:w="1134" w:type="dxa"/>
            <w:textDirection w:val="btLr"/>
          </w:tcPr>
          <w:p w14:paraId="5DA31C24"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Explicit (single reservoir)</w:t>
            </w:r>
          </w:p>
        </w:tc>
        <w:tc>
          <w:tcPr>
            <w:tcW w:w="992" w:type="dxa"/>
            <w:textDirection w:val="btLr"/>
          </w:tcPr>
          <w:p w14:paraId="557B8B6F"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Implicit</w:t>
            </w:r>
          </w:p>
        </w:tc>
        <w:tc>
          <w:tcPr>
            <w:tcW w:w="1085" w:type="dxa"/>
            <w:textDirection w:val="btLr"/>
          </w:tcPr>
          <w:p w14:paraId="7FA112E9"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shd w:val="clear" w:color="auto" w:fill="E6E6E6"/>
              </w:rPr>
              <w:t>Explicit (single reservoir)</w:t>
            </w:r>
          </w:p>
        </w:tc>
        <w:tc>
          <w:tcPr>
            <w:tcW w:w="1036" w:type="dxa"/>
            <w:textDirection w:val="btLr"/>
          </w:tcPr>
          <w:p w14:paraId="615F82EF" w14:textId="77777777" w:rsidR="00E516CE" w:rsidRPr="00A748C6" w:rsidRDefault="00E516CE" w:rsidP="006D3D9E">
            <w:pPr>
              <w:ind w:left="113" w:right="113"/>
              <w:rPr>
                <w:rFonts w:ascii="Arial" w:hAnsi="Arial"/>
                <w:color w:val="000000"/>
                <w:sz w:val="18"/>
                <w:szCs w:val="18"/>
                <w:shd w:val="clear" w:color="auto" w:fill="E6E6E6"/>
              </w:rPr>
            </w:pPr>
            <w:r w:rsidRPr="00A748C6">
              <w:rPr>
                <w:rFonts w:ascii="Arial" w:hAnsi="Arial"/>
                <w:color w:val="000000"/>
                <w:sz w:val="18"/>
                <w:szCs w:val="18"/>
                <w:shd w:val="clear" w:color="auto" w:fill="E6E6E6"/>
              </w:rPr>
              <w:t>Explicit (single reservoir)</w:t>
            </w:r>
          </w:p>
        </w:tc>
      </w:tr>
      <w:tr w:rsidR="00E516CE" w:rsidRPr="00D35C82" w14:paraId="3F71525E" w14:textId="77777777" w:rsidTr="006D3D9E">
        <w:trPr>
          <w:trHeight w:val="1659"/>
        </w:trPr>
        <w:tc>
          <w:tcPr>
            <w:tcW w:w="723" w:type="dxa"/>
            <w:vMerge/>
            <w:tcBorders>
              <w:left w:val="nil"/>
              <w:right w:val="single" w:sz="4" w:space="0" w:color="auto"/>
            </w:tcBorders>
            <w:textDirection w:val="btLr"/>
          </w:tcPr>
          <w:p w14:paraId="29AB2392" w14:textId="77777777" w:rsidR="00E516CE" w:rsidRPr="00A748C6" w:rsidRDefault="00E516CE" w:rsidP="006D3D9E">
            <w:pPr>
              <w:ind w:left="113" w:right="113"/>
              <w:rPr>
                <w:rFonts w:ascii="Arial" w:eastAsia="Times New Roman" w:hAnsi="Arial"/>
                <w:color w:val="000000"/>
                <w:sz w:val="18"/>
                <w:szCs w:val="18"/>
              </w:rPr>
            </w:pPr>
          </w:p>
        </w:tc>
        <w:tc>
          <w:tcPr>
            <w:tcW w:w="722" w:type="dxa"/>
            <w:tcBorders>
              <w:right w:val="single" w:sz="4" w:space="0" w:color="auto"/>
            </w:tcBorders>
            <w:textDirection w:val="btLr"/>
          </w:tcPr>
          <w:p w14:paraId="25805BDA" w14:textId="77777777" w:rsidR="00E516CE" w:rsidRPr="00A748C6" w:rsidRDefault="00E516CE" w:rsidP="006D3D9E">
            <w:pPr>
              <w:ind w:left="113" w:right="113"/>
              <w:rPr>
                <w:rFonts w:ascii="Arial" w:eastAsia="Times New Roman" w:hAnsi="Arial"/>
                <w:b/>
                <w:bCs/>
                <w:color w:val="000000"/>
                <w:sz w:val="18"/>
                <w:szCs w:val="18"/>
              </w:rPr>
            </w:pPr>
            <w:r w:rsidRPr="00A748C6">
              <w:rPr>
                <w:rFonts w:ascii="Arial" w:eastAsia="Times New Roman" w:hAnsi="Arial"/>
                <w:b/>
                <w:bCs/>
                <w:color w:val="000000"/>
                <w:sz w:val="18"/>
                <w:szCs w:val="18"/>
              </w:rPr>
              <w:t>Runoff scheme</w:t>
            </w:r>
          </w:p>
        </w:tc>
        <w:tc>
          <w:tcPr>
            <w:tcW w:w="1085" w:type="dxa"/>
            <w:tcBorders>
              <w:left w:val="single" w:sz="4" w:space="0" w:color="auto"/>
            </w:tcBorders>
            <w:textDirection w:val="btLr"/>
          </w:tcPr>
          <w:p w14:paraId="48507C6F"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Saturation excess, infiltration excess, groundwater discharge</w:t>
            </w:r>
          </w:p>
        </w:tc>
        <w:tc>
          <w:tcPr>
            <w:tcW w:w="1205" w:type="dxa"/>
            <w:gridSpan w:val="2"/>
            <w:textDirection w:val="btLr"/>
          </w:tcPr>
          <w:p w14:paraId="52C277AE" w14:textId="77777777" w:rsidR="00E516CE" w:rsidRPr="00A748C6" w:rsidRDefault="00E516CE" w:rsidP="006D3D9E">
            <w:pPr>
              <w:ind w:left="113" w:right="113"/>
              <w:rPr>
                <w:rFonts w:ascii="Arial" w:hAnsi="Arial"/>
                <w:color w:val="000000"/>
                <w:sz w:val="18"/>
                <w:szCs w:val="18"/>
              </w:rPr>
            </w:pPr>
            <w:r w:rsidRPr="00A748C6">
              <w:rPr>
                <w:rFonts w:ascii="Arial" w:eastAsia="Times New Roman" w:hAnsi="Arial"/>
                <w:color w:val="000000"/>
                <w:sz w:val="18"/>
                <w:szCs w:val="18"/>
              </w:rPr>
              <w:t>Saturation excess, beta function, subsurface flow</w:t>
            </w:r>
          </w:p>
        </w:tc>
        <w:tc>
          <w:tcPr>
            <w:tcW w:w="1368" w:type="dxa"/>
            <w:textDirection w:val="btLr"/>
          </w:tcPr>
          <w:p w14:paraId="09762163"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Saturation excess</w:t>
            </w:r>
          </w:p>
        </w:tc>
        <w:tc>
          <w:tcPr>
            <w:tcW w:w="1134" w:type="dxa"/>
            <w:textDirection w:val="btLr"/>
          </w:tcPr>
          <w:p w14:paraId="13EB77E8"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Saturation excess, infiltration excess</w:t>
            </w:r>
          </w:p>
        </w:tc>
        <w:tc>
          <w:tcPr>
            <w:tcW w:w="992" w:type="dxa"/>
            <w:textDirection w:val="btLr"/>
          </w:tcPr>
          <w:p w14:paraId="4B63C7D0"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Improved Arno</w:t>
            </w:r>
          </w:p>
        </w:tc>
        <w:tc>
          <w:tcPr>
            <w:tcW w:w="1085" w:type="dxa"/>
            <w:textDirection w:val="btLr"/>
          </w:tcPr>
          <w:p w14:paraId="4DF549CF" w14:textId="0E7A2BBC" w:rsidR="00E516CE" w:rsidRPr="00A748C6" w:rsidRDefault="00E516CE" w:rsidP="006D3D9E">
            <w:pPr>
              <w:ind w:left="113" w:right="113"/>
              <w:rPr>
                <w:rFonts w:ascii="Arial" w:hAnsi="Arial"/>
                <w:color w:val="000000"/>
                <w:sz w:val="18"/>
                <w:szCs w:val="18"/>
              </w:rPr>
            </w:pPr>
            <w:r>
              <w:rPr>
                <w:rFonts w:ascii="Arial" w:hAnsi="Arial"/>
                <w:color w:val="000000"/>
                <w:sz w:val="18"/>
                <w:szCs w:val="18"/>
              </w:rPr>
              <w:fldChar w:fldCharType="begin" w:fldLock="1"/>
            </w:r>
            <w:r w:rsidR="00926B52">
              <w:rPr>
                <w:rFonts w:ascii="Arial" w:hAnsi="Arial"/>
                <w:color w:val="000000"/>
                <w:sz w:val="18"/>
                <w:szCs w:val="18"/>
              </w:rPr>
              <w:instrText>ADDIN CSL_CITATION {"citationItems":[{"id":"ITEM-1","itemData":{"DOI":"10.1007/s00382-003-0349-x","ISSN":"09307575","abstract":"In this study it is shown that the availability of a very high resolution dataset of land surface characteristics leads to the improvement of a surface runoff parameterization scheme. The improved parameterization scheme was developed for application in global and regional climate models and is a further development of the Arno scheme that is widely used in climate models. Here, surface runoff is computed as infiltration excess from a \"bucket\" type reservoir which takes the subgrid variability of soil saturation within a model gridbox into account. Instead of prescribing a distribution of subgrid scale soil water capacities as in the original Arno scheme, the array of high resolution soil water capacities taken from a global 1 km dataset of land surface parameters is used to obtain individual fractional saturation curves for each model gridbox. From each saturation curve, the three parameters (a shape parameter describing the shape of the subgrid distribution of soil water capacities, subgrid minimum and maximum soil water capacity) required in the modified formulation of the scheme are derived via optimization. As in the original Arno scheme applied in the ECHAM general circulation model and the REMO regional climate model, topography variations will influence the distribution of saturated subgrid areas within a model gridbox. At most gridboxes the net effect of these changes is such that more runoff is produced for high soil water contents and less runoff for low soil water contents. A validation of simulated discharge computed with a simplified land surface scheme applied to reanalysis data of the European Centre for Medium-Range Weather Forecasts and a hydrological discharge model has shown that these changes lead to a more realistic simulation of the annual cycle of discharge for several catchments. In particular this could be shown for the Yangtze Kiang and Amur catchments where adequate input data are available.","author":[{"dropping-particle":"","family":"Hagemann","given":"S.","non-dropping-particle":"","parse-names":false,"suffix":""},{"dropping-particle":"","family":"Gates","given":"L. D.","non-dropping-particle":"","parse-names":false,"suffix":""}],"container-title":"Climate Dynamics","id":"ITEM-1","issue":"3-4","issued":{"date-parts":[["2003"]]},"page":"349-359","title":"Improving a subgrid runoff parameterization scheme for climate models by the use of high resolution data derived from satellite observations","type":"article-journal","volume":"21"},"uris":["http://www.mendeley.com/documents/?uuid=918b59cb-cb64-492d-90fb-4c3d96771739","http://www.mendeley.com/documents/?uuid=f7449f06-62ec-4df5-af0d-3dcd9d7df567"]},{"id":"ITEM-2","itemData":{"DOI":"10.5194/hess-16-2915-2012","ISSN":"10275606","abstract":"In this study we present the development of the dynamical wetland extent scheme (DWES) and evaluate its skill to represent the global wetland distribution. The DWES is a simple, global scale hydrological scheme that solves the water balance of wetlands and estimates their extent dynamically. The extent depends on the balance of water flows in the wetlands and the slope distribution within the grid cells. In contrast to most models, the DWES is not directly calibrated against wetland extent observations. Instead, wetland affected river discharge data are used to optimise global parameters of the model. The DWES is not a complete hydrological model by itself but implemented into the Max Planck Institute Hydrology Model (MPI-HM). However, it can be transferred into other models as well. For present climate, the model evaluation reveals a good agreement for the spatial distribution of simulated wetlands compared to different observations on the global scale. The best results are achieved for the Northern Hemisphere where not only the wetland distribution pattern but also their extent is simulated reasonably well by the DWES. However, the wetland fraction in the tropical parts of South America and Central Africa is strongly overestimated. The simulated extent dynamics correlate well with monthly inundation variations obtained from satellites for most locations. Also, the simulated river discharge is affected by wetlands resulting in a delay and mitigation of peak flows. Compared to simulations without wetlands, we find locally increased evaporation and decreased river flow into the oceans due to the implemented wetland processes. In summary, the evaluation demonstrates the DWES ability to simulate the distribution of wetlands and their seasonal variations for most regions. Thus, the DWES can provide hydrological boundary conditions for wetland related studies. In future applications, the DWES may be implemented into an Earth system model to study feedbacks between wetlands and climate. © 2012 Author(s). CC Attribution 3.0 License.","author":[{"dropping-particle":"","family":"Stacke","given":"T.","non-dropping-particle":"","parse-names":false,"suffix":""},{"dropping-particle":"","family":"Hagemann","given":"S.","non-dropping-particle":"","parse-names":false,"suffix":""}],"container-title":"Hydrology and Earth System Sciences","id":"ITEM-2","issue":"8","issued":{"date-parts":[["2012"]]},"page":"2915-2933","title":"Development and evaluation of a global dynamical wetlands extent scheme","type":"article-journal","volume":"16"},"uris":["http://www.mendeley.com/documents/?uuid=c0658e4a-9d8c-492f-8ba8-c681a21e048c","http://www.mendeley.com/documents/?uuid=ff783711-33e8-4e25-98a2-d344c207f8c6","http://www.mendeley.com/documents/?uuid=95f298f4-23c7-4f24-ac9c-e33bbf8ff890"]}],"mendeley":{"formattedCitation":"&lt;sup&gt;92,93&lt;/sup&gt;","manualFormatting":" Saturation excess, infiltration excess","plainTextFormattedCitation":"92,93","previouslyFormattedCitation":"&lt;sup&gt;90,91&lt;/sup&gt;"},"properties":{"noteIndex":0},"schema":"https://github.com/citation-style-language/schema/raw/master/csl-citation.json"}</w:instrText>
            </w:r>
            <w:r>
              <w:rPr>
                <w:rFonts w:ascii="Arial" w:hAnsi="Arial"/>
                <w:color w:val="000000"/>
                <w:sz w:val="18"/>
                <w:szCs w:val="18"/>
              </w:rPr>
              <w:fldChar w:fldCharType="separate"/>
            </w:r>
            <w:r w:rsidRPr="00A748C6">
              <w:rPr>
                <w:rFonts w:ascii="Arial" w:hAnsi="Arial"/>
                <w:noProof/>
                <w:sz w:val="18"/>
                <w:szCs w:val="18"/>
              </w:rPr>
              <w:t xml:space="preserve"> </w:t>
            </w:r>
            <w:r w:rsidRPr="00A748C6">
              <w:rPr>
                <w:rFonts w:ascii="Arial" w:hAnsi="Arial"/>
                <w:noProof/>
                <w:color w:val="000000"/>
                <w:sz w:val="18"/>
                <w:szCs w:val="18"/>
              </w:rPr>
              <w:t>Saturation excess, infiltration excess</w:t>
            </w:r>
            <w:r>
              <w:rPr>
                <w:rFonts w:ascii="Arial" w:hAnsi="Arial"/>
                <w:color w:val="000000"/>
                <w:sz w:val="18"/>
                <w:szCs w:val="18"/>
              </w:rPr>
              <w:fldChar w:fldCharType="end"/>
            </w:r>
          </w:p>
        </w:tc>
        <w:tc>
          <w:tcPr>
            <w:tcW w:w="1036" w:type="dxa"/>
            <w:textDirection w:val="btLr"/>
          </w:tcPr>
          <w:p w14:paraId="561D5C78" w14:textId="77777777" w:rsidR="00E516CE" w:rsidRPr="00A748C6" w:rsidRDefault="00E516CE" w:rsidP="006D3D9E">
            <w:pPr>
              <w:ind w:left="113" w:right="113"/>
              <w:rPr>
                <w:rFonts w:ascii="Arial" w:hAnsi="Arial"/>
                <w:color w:val="000000"/>
                <w:sz w:val="18"/>
                <w:szCs w:val="18"/>
                <w:shd w:val="clear" w:color="auto" w:fill="E6E6E6"/>
              </w:rPr>
            </w:pPr>
            <w:r w:rsidRPr="00A748C6">
              <w:rPr>
                <w:rFonts w:ascii="Arial" w:hAnsi="Arial"/>
                <w:color w:val="000000"/>
                <w:sz w:val="18"/>
                <w:szCs w:val="18"/>
                <w:shd w:val="clear" w:color="auto" w:fill="E6E6E6"/>
              </w:rPr>
              <w:t>Saturation excess, beta function</w:t>
            </w:r>
          </w:p>
        </w:tc>
      </w:tr>
      <w:tr w:rsidR="00E516CE" w:rsidRPr="00D35C82" w14:paraId="7E378AE2" w14:textId="77777777" w:rsidTr="006D3D9E">
        <w:trPr>
          <w:trHeight w:val="856"/>
        </w:trPr>
        <w:tc>
          <w:tcPr>
            <w:tcW w:w="723" w:type="dxa"/>
            <w:vMerge/>
            <w:tcBorders>
              <w:left w:val="nil"/>
              <w:right w:val="single" w:sz="4" w:space="0" w:color="auto"/>
            </w:tcBorders>
            <w:textDirection w:val="btLr"/>
          </w:tcPr>
          <w:p w14:paraId="7971B3C4" w14:textId="77777777" w:rsidR="00E516CE" w:rsidRPr="00A748C6" w:rsidRDefault="00E516CE" w:rsidP="006D3D9E">
            <w:pPr>
              <w:ind w:left="113" w:right="113"/>
              <w:rPr>
                <w:rFonts w:ascii="Arial" w:eastAsia="Times New Roman" w:hAnsi="Arial"/>
                <w:color w:val="000000"/>
                <w:sz w:val="18"/>
                <w:szCs w:val="18"/>
              </w:rPr>
            </w:pPr>
          </w:p>
        </w:tc>
        <w:tc>
          <w:tcPr>
            <w:tcW w:w="722" w:type="dxa"/>
            <w:tcBorders>
              <w:right w:val="single" w:sz="4" w:space="0" w:color="auto"/>
            </w:tcBorders>
            <w:textDirection w:val="btLr"/>
          </w:tcPr>
          <w:p w14:paraId="1A0A5B52" w14:textId="77777777" w:rsidR="00E516CE" w:rsidRPr="00A748C6" w:rsidRDefault="00E516CE" w:rsidP="006D3D9E">
            <w:pPr>
              <w:ind w:left="113" w:right="113"/>
              <w:rPr>
                <w:rFonts w:ascii="Arial" w:eastAsia="Times New Roman" w:hAnsi="Arial"/>
                <w:b/>
                <w:bCs/>
                <w:color w:val="000000"/>
                <w:sz w:val="18"/>
                <w:szCs w:val="18"/>
              </w:rPr>
            </w:pPr>
            <w:r w:rsidRPr="00A748C6">
              <w:rPr>
                <w:rFonts w:ascii="Arial" w:eastAsia="Times New Roman" w:hAnsi="Arial"/>
                <w:b/>
                <w:bCs/>
                <w:color w:val="000000"/>
                <w:sz w:val="18"/>
                <w:szCs w:val="18"/>
              </w:rPr>
              <w:t>Model type</w:t>
            </w:r>
          </w:p>
        </w:tc>
        <w:tc>
          <w:tcPr>
            <w:tcW w:w="1085" w:type="dxa"/>
            <w:tcBorders>
              <w:left w:val="single" w:sz="4" w:space="0" w:color="auto"/>
            </w:tcBorders>
            <w:textDirection w:val="btLr"/>
          </w:tcPr>
          <w:p w14:paraId="1A5E08AC"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LSM</w:t>
            </w:r>
          </w:p>
        </w:tc>
        <w:tc>
          <w:tcPr>
            <w:tcW w:w="1205" w:type="dxa"/>
            <w:gridSpan w:val="2"/>
            <w:textDirection w:val="btLr"/>
          </w:tcPr>
          <w:p w14:paraId="247F6496"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GHM</w:t>
            </w:r>
          </w:p>
        </w:tc>
        <w:tc>
          <w:tcPr>
            <w:tcW w:w="1368" w:type="dxa"/>
            <w:textDirection w:val="btLr"/>
          </w:tcPr>
          <w:p w14:paraId="46428783"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DGVM</w:t>
            </w:r>
          </w:p>
        </w:tc>
        <w:tc>
          <w:tcPr>
            <w:tcW w:w="1134" w:type="dxa"/>
            <w:textDirection w:val="btLr"/>
          </w:tcPr>
          <w:p w14:paraId="01558F33"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LSM</w:t>
            </w:r>
          </w:p>
        </w:tc>
        <w:tc>
          <w:tcPr>
            <w:tcW w:w="992" w:type="dxa"/>
            <w:textDirection w:val="btLr"/>
          </w:tcPr>
          <w:p w14:paraId="4A634C80"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GHM</w:t>
            </w:r>
          </w:p>
        </w:tc>
        <w:tc>
          <w:tcPr>
            <w:tcW w:w="1085" w:type="dxa"/>
            <w:textDirection w:val="btLr"/>
          </w:tcPr>
          <w:p w14:paraId="5E7AB473"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shd w:val="clear" w:color="auto" w:fill="E6E6E6"/>
              </w:rPr>
              <w:t>GHM</w:t>
            </w:r>
          </w:p>
        </w:tc>
        <w:tc>
          <w:tcPr>
            <w:tcW w:w="1036" w:type="dxa"/>
            <w:textDirection w:val="btLr"/>
          </w:tcPr>
          <w:p w14:paraId="24697EF0" w14:textId="77777777" w:rsidR="00E516CE" w:rsidRPr="00A748C6" w:rsidRDefault="00E516CE" w:rsidP="006D3D9E">
            <w:pPr>
              <w:ind w:left="113" w:right="113"/>
              <w:rPr>
                <w:rFonts w:ascii="Arial" w:hAnsi="Arial"/>
                <w:color w:val="000000"/>
                <w:sz w:val="18"/>
                <w:szCs w:val="18"/>
                <w:shd w:val="clear" w:color="auto" w:fill="E6E6E6"/>
              </w:rPr>
            </w:pPr>
            <w:r w:rsidRPr="00A748C6">
              <w:rPr>
                <w:rFonts w:ascii="Arial" w:hAnsi="Arial"/>
                <w:color w:val="000000"/>
                <w:sz w:val="18"/>
                <w:szCs w:val="18"/>
                <w:shd w:val="clear" w:color="auto" w:fill="E6E6E6"/>
              </w:rPr>
              <w:t>GHM</w:t>
            </w:r>
          </w:p>
        </w:tc>
      </w:tr>
      <w:tr w:rsidR="00E516CE" w:rsidRPr="00D35C82" w14:paraId="1717CAFE" w14:textId="77777777" w:rsidTr="006D3D9E">
        <w:trPr>
          <w:trHeight w:val="1419"/>
        </w:trPr>
        <w:tc>
          <w:tcPr>
            <w:tcW w:w="723" w:type="dxa"/>
            <w:vMerge/>
            <w:tcBorders>
              <w:left w:val="nil"/>
              <w:right w:val="single" w:sz="4" w:space="0" w:color="auto"/>
            </w:tcBorders>
            <w:textDirection w:val="btLr"/>
          </w:tcPr>
          <w:p w14:paraId="33D80E2B" w14:textId="77777777" w:rsidR="00E516CE" w:rsidRPr="00A748C6" w:rsidRDefault="00E516CE" w:rsidP="006D3D9E">
            <w:pPr>
              <w:ind w:left="113" w:right="113"/>
              <w:rPr>
                <w:rFonts w:ascii="Arial" w:eastAsia="Times New Roman" w:hAnsi="Arial"/>
                <w:color w:val="000000"/>
                <w:sz w:val="18"/>
                <w:szCs w:val="18"/>
              </w:rPr>
            </w:pPr>
          </w:p>
        </w:tc>
        <w:tc>
          <w:tcPr>
            <w:tcW w:w="722" w:type="dxa"/>
            <w:tcBorders>
              <w:right w:val="single" w:sz="4" w:space="0" w:color="auto"/>
            </w:tcBorders>
            <w:textDirection w:val="btLr"/>
          </w:tcPr>
          <w:p w14:paraId="02A44A16" w14:textId="77777777" w:rsidR="00E516CE" w:rsidRPr="00A748C6" w:rsidRDefault="00E516CE" w:rsidP="006D3D9E">
            <w:pPr>
              <w:ind w:left="113" w:right="113"/>
              <w:rPr>
                <w:rFonts w:ascii="Arial" w:eastAsia="Times New Roman" w:hAnsi="Arial"/>
                <w:b/>
                <w:bCs/>
                <w:color w:val="000000"/>
                <w:sz w:val="18"/>
                <w:szCs w:val="18"/>
              </w:rPr>
            </w:pPr>
            <w:r w:rsidRPr="00A748C6">
              <w:rPr>
                <w:rFonts w:ascii="Arial" w:eastAsia="Times New Roman" w:hAnsi="Arial"/>
                <w:b/>
                <w:bCs/>
                <w:color w:val="000000"/>
                <w:sz w:val="18"/>
                <w:szCs w:val="18"/>
              </w:rPr>
              <w:t>Model</w:t>
            </w:r>
          </w:p>
        </w:tc>
        <w:tc>
          <w:tcPr>
            <w:tcW w:w="1085" w:type="dxa"/>
            <w:tcBorders>
              <w:left w:val="single" w:sz="4" w:space="0" w:color="auto"/>
            </w:tcBorders>
            <w:textDirection w:val="btLr"/>
          </w:tcPr>
          <w:p w14:paraId="73BAE5E3"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CLM4.5</w:t>
            </w:r>
          </w:p>
        </w:tc>
        <w:tc>
          <w:tcPr>
            <w:tcW w:w="1205" w:type="dxa"/>
            <w:gridSpan w:val="2"/>
            <w:textDirection w:val="btLr"/>
          </w:tcPr>
          <w:p w14:paraId="641222A3"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H08</w:t>
            </w:r>
          </w:p>
        </w:tc>
        <w:tc>
          <w:tcPr>
            <w:tcW w:w="1368" w:type="dxa"/>
            <w:textDirection w:val="btLr"/>
          </w:tcPr>
          <w:p w14:paraId="26C7AAA6"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LPJML</w:t>
            </w:r>
          </w:p>
        </w:tc>
        <w:tc>
          <w:tcPr>
            <w:tcW w:w="1134" w:type="dxa"/>
            <w:textDirection w:val="btLr"/>
          </w:tcPr>
          <w:p w14:paraId="54EA5734"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MATSIRO</w:t>
            </w:r>
          </w:p>
        </w:tc>
        <w:tc>
          <w:tcPr>
            <w:tcW w:w="992" w:type="dxa"/>
            <w:textDirection w:val="btLr"/>
          </w:tcPr>
          <w:p w14:paraId="3D2048DF"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MPI-HM</w:t>
            </w:r>
          </w:p>
        </w:tc>
        <w:tc>
          <w:tcPr>
            <w:tcW w:w="1085" w:type="dxa"/>
            <w:textDirection w:val="btLr"/>
          </w:tcPr>
          <w:p w14:paraId="1A986AD5" w14:textId="77777777" w:rsidR="00E516CE" w:rsidRPr="00A748C6" w:rsidRDefault="00E516CE" w:rsidP="006D3D9E">
            <w:pPr>
              <w:ind w:left="113" w:right="113"/>
              <w:rPr>
                <w:rFonts w:ascii="Arial" w:hAnsi="Arial"/>
                <w:color w:val="000000"/>
                <w:sz w:val="18"/>
                <w:szCs w:val="18"/>
                <w:shd w:val="clear" w:color="auto" w:fill="E6E6E6"/>
              </w:rPr>
            </w:pPr>
            <w:r w:rsidRPr="00A748C6">
              <w:rPr>
                <w:rFonts w:ascii="Arial" w:hAnsi="Arial"/>
                <w:color w:val="000000"/>
                <w:sz w:val="18"/>
                <w:szCs w:val="18"/>
                <w:shd w:val="clear" w:color="auto" w:fill="E6E6E6"/>
              </w:rPr>
              <w:t>PCR-GLOBWB</w:t>
            </w:r>
          </w:p>
        </w:tc>
        <w:tc>
          <w:tcPr>
            <w:tcW w:w="1036" w:type="dxa"/>
            <w:textDirection w:val="btLr"/>
          </w:tcPr>
          <w:p w14:paraId="64471C5B" w14:textId="77777777" w:rsidR="00E516CE" w:rsidRPr="00A748C6" w:rsidRDefault="00E516CE" w:rsidP="006D3D9E">
            <w:pPr>
              <w:ind w:left="113" w:right="113"/>
              <w:rPr>
                <w:rFonts w:ascii="Arial" w:hAnsi="Arial"/>
                <w:color w:val="000000"/>
                <w:sz w:val="18"/>
                <w:szCs w:val="18"/>
                <w:shd w:val="clear" w:color="auto" w:fill="E6E6E6"/>
              </w:rPr>
            </w:pPr>
            <w:r w:rsidRPr="00A748C6">
              <w:rPr>
                <w:rFonts w:ascii="Arial" w:hAnsi="Arial"/>
                <w:color w:val="000000"/>
                <w:sz w:val="18"/>
                <w:szCs w:val="18"/>
                <w:shd w:val="clear" w:color="auto" w:fill="E6E6E6"/>
              </w:rPr>
              <w:t>WATERGAP2</w:t>
            </w:r>
          </w:p>
        </w:tc>
      </w:tr>
      <w:tr w:rsidR="00E516CE" w:rsidRPr="00D35C82" w14:paraId="27DE2553" w14:textId="77777777" w:rsidTr="006D3D9E">
        <w:trPr>
          <w:trHeight w:val="73"/>
        </w:trPr>
        <w:tc>
          <w:tcPr>
            <w:tcW w:w="723" w:type="dxa"/>
            <w:tcBorders>
              <w:left w:val="nil"/>
              <w:right w:val="single" w:sz="4" w:space="0" w:color="auto"/>
            </w:tcBorders>
            <w:textDirection w:val="btLr"/>
          </w:tcPr>
          <w:p w14:paraId="06D33663" w14:textId="77777777" w:rsidR="00E516CE" w:rsidRPr="00A748C6" w:rsidRDefault="00E516CE" w:rsidP="006D3D9E">
            <w:pPr>
              <w:ind w:left="113" w:right="113"/>
              <w:rPr>
                <w:rFonts w:ascii="Arial" w:eastAsia="Times New Roman" w:hAnsi="Arial"/>
                <w:color w:val="000000"/>
                <w:sz w:val="18"/>
                <w:szCs w:val="18"/>
              </w:rPr>
            </w:pPr>
          </w:p>
        </w:tc>
        <w:tc>
          <w:tcPr>
            <w:tcW w:w="722" w:type="dxa"/>
            <w:tcBorders>
              <w:right w:val="single" w:sz="4" w:space="0" w:color="auto"/>
            </w:tcBorders>
            <w:textDirection w:val="btLr"/>
          </w:tcPr>
          <w:p w14:paraId="6FDA2BB5" w14:textId="77777777" w:rsidR="00E516CE" w:rsidRPr="00A748C6" w:rsidRDefault="00E516CE" w:rsidP="006D3D9E">
            <w:pPr>
              <w:ind w:left="113" w:right="113"/>
              <w:rPr>
                <w:rFonts w:ascii="Arial" w:eastAsia="Times New Roman" w:hAnsi="Arial"/>
                <w:b/>
                <w:bCs/>
                <w:color w:val="000000"/>
                <w:sz w:val="18"/>
                <w:szCs w:val="18"/>
              </w:rPr>
            </w:pPr>
            <w:r w:rsidRPr="00A748C6">
              <w:rPr>
                <w:rFonts w:ascii="Arial" w:eastAsia="Times New Roman" w:hAnsi="Arial"/>
                <w:b/>
                <w:bCs/>
                <w:color w:val="000000"/>
                <w:sz w:val="18"/>
                <w:szCs w:val="18"/>
              </w:rPr>
              <w:t>Model</w:t>
            </w:r>
          </w:p>
        </w:tc>
        <w:tc>
          <w:tcPr>
            <w:tcW w:w="1754" w:type="dxa"/>
            <w:gridSpan w:val="2"/>
            <w:tcBorders>
              <w:left w:val="single" w:sz="4" w:space="0" w:color="auto"/>
            </w:tcBorders>
            <w:textDirection w:val="btLr"/>
          </w:tcPr>
          <w:p w14:paraId="1FCBC45A" w14:textId="77777777" w:rsidR="00E516CE" w:rsidRPr="00A748C6" w:rsidRDefault="00E516CE" w:rsidP="006D3D9E">
            <w:pPr>
              <w:ind w:left="113" w:right="113"/>
              <w:rPr>
                <w:rFonts w:ascii="Arial" w:hAnsi="Arial"/>
                <w:color w:val="000000"/>
                <w:sz w:val="18"/>
                <w:szCs w:val="18"/>
              </w:rPr>
            </w:pPr>
            <w:r w:rsidRPr="00A748C6">
              <w:rPr>
                <w:rFonts w:ascii="Arial" w:eastAsia="Times New Roman" w:hAnsi="Arial"/>
                <w:color w:val="000000"/>
                <w:sz w:val="18"/>
                <w:szCs w:val="18"/>
              </w:rPr>
              <w:t>CLM4.5</w:t>
            </w:r>
          </w:p>
        </w:tc>
        <w:tc>
          <w:tcPr>
            <w:tcW w:w="536" w:type="dxa"/>
            <w:textDirection w:val="btLr"/>
          </w:tcPr>
          <w:p w14:paraId="67388570"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H08</w:t>
            </w:r>
          </w:p>
        </w:tc>
        <w:tc>
          <w:tcPr>
            <w:tcW w:w="1368" w:type="dxa"/>
            <w:textDirection w:val="btLr"/>
          </w:tcPr>
          <w:p w14:paraId="7E64043B"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LPJML</w:t>
            </w:r>
          </w:p>
        </w:tc>
        <w:tc>
          <w:tcPr>
            <w:tcW w:w="1134" w:type="dxa"/>
            <w:textDirection w:val="btLr"/>
          </w:tcPr>
          <w:p w14:paraId="5E0356E0"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MATSIRO</w:t>
            </w:r>
          </w:p>
        </w:tc>
        <w:tc>
          <w:tcPr>
            <w:tcW w:w="992" w:type="dxa"/>
            <w:textDirection w:val="btLr"/>
          </w:tcPr>
          <w:p w14:paraId="4128AA90"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rPr>
              <w:t>MPI-HM</w:t>
            </w:r>
          </w:p>
        </w:tc>
        <w:tc>
          <w:tcPr>
            <w:tcW w:w="1085" w:type="dxa"/>
            <w:textDirection w:val="btLr"/>
          </w:tcPr>
          <w:p w14:paraId="50243253" w14:textId="77777777" w:rsidR="00E516CE" w:rsidRPr="00A748C6" w:rsidRDefault="00E516CE" w:rsidP="006D3D9E">
            <w:pPr>
              <w:ind w:left="113" w:right="113"/>
              <w:rPr>
                <w:rFonts w:ascii="Arial" w:hAnsi="Arial"/>
                <w:color w:val="000000"/>
                <w:sz w:val="18"/>
                <w:szCs w:val="18"/>
              </w:rPr>
            </w:pPr>
            <w:r w:rsidRPr="00A748C6">
              <w:rPr>
                <w:rFonts w:ascii="Arial" w:hAnsi="Arial"/>
                <w:color w:val="000000"/>
                <w:sz w:val="18"/>
                <w:szCs w:val="18"/>
                <w:shd w:val="clear" w:color="auto" w:fill="E6E6E6"/>
              </w:rPr>
              <w:t>PCR-GLOBWB</w:t>
            </w:r>
          </w:p>
        </w:tc>
        <w:tc>
          <w:tcPr>
            <w:tcW w:w="1036" w:type="dxa"/>
            <w:textDirection w:val="btLr"/>
          </w:tcPr>
          <w:p w14:paraId="17AB7618" w14:textId="77777777" w:rsidR="00E516CE" w:rsidRPr="00A748C6" w:rsidRDefault="00E516CE" w:rsidP="006D3D9E">
            <w:pPr>
              <w:ind w:left="113" w:right="113"/>
              <w:rPr>
                <w:rFonts w:ascii="Arial" w:hAnsi="Arial"/>
                <w:color w:val="000000"/>
                <w:sz w:val="18"/>
                <w:szCs w:val="18"/>
                <w:shd w:val="clear" w:color="auto" w:fill="E6E6E6"/>
              </w:rPr>
            </w:pPr>
            <w:r w:rsidRPr="00A748C6">
              <w:rPr>
                <w:rFonts w:ascii="Arial" w:hAnsi="Arial"/>
                <w:color w:val="000000"/>
                <w:sz w:val="18"/>
                <w:szCs w:val="18"/>
                <w:shd w:val="clear" w:color="auto" w:fill="E6E6E6"/>
              </w:rPr>
              <w:t>WATERGAP2</w:t>
            </w:r>
          </w:p>
        </w:tc>
      </w:tr>
    </w:tbl>
    <w:p w14:paraId="104ABA3F" w14:textId="77777777" w:rsidR="00E516CE" w:rsidRDefault="00E516CE" w:rsidP="00E516CE">
      <w:pPr>
        <w:spacing w:line="360" w:lineRule="auto"/>
        <w:jc w:val="both"/>
        <w:rPr>
          <w:rFonts w:ascii="Arial" w:hAnsi="Arial"/>
        </w:rPr>
      </w:pPr>
    </w:p>
    <w:p w14:paraId="1DD7B53E" w14:textId="77777777" w:rsidR="00E516CE" w:rsidRDefault="00E516CE" w:rsidP="00E516CE">
      <w:pPr>
        <w:rPr>
          <w:b/>
          <w:bCs/>
        </w:rPr>
      </w:pPr>
      <w:r>
        <w:rPr>
          <w:b/>
          <w:bCs/>
        </w:rPr>
        <w:br w:type="page"/>
      </w:r>
    </w:p>
    <w:p w14:paraId="7750C165" w14:textId="77777777" w:rsidR="00E516CE" w:rsidRPr="00D35C82" w:rsidRDefault="00E516CE" w:rsidP="00E516CE">
      <w:pPr>
        <w:spacing w:after="160" w:line="259" w:lineRule="auto"/>
        <w:rPr>
          <w:rFonts w:ascii="Segoe UI" w:hAnsi="Segoe UI" w:cs="Segoe UI"/>
          <w:sz w:val="18"/>
          <w:szCs w:val="18"/>
          <w:lang w:val="en-US" w:eastAsia="en-US"/>
        </w:rPr>
      </w:pPr>
      <w:r w:rsidRPr="00E35FE7">
        <w:rPr>
          <w:rFonts w:eastAsia="Times New Roman" w:cs="Calibri"/>
          <w:b/>
          <w:bCs/>
          <w:lang w:eastAsia="en-US"/>
        </w:rPr>
        <w:lastRenderedPageBreak/>
        <w:t>Extended Data Table 2 |</w:t>
      </w:r>
      <w:r>
        <w:rPr>
          <w:rFonts w:eastAsia="Times New Roman" w:cs="Calibri"/>
          <w:lang w:eastAsia="en-US"/>
        </w:rPr>
        <w:t xml:space="preserve"> </w:t>
      </w:r>
      <w:r w:rsidRPr="00D35C82">
        <w:rPr>
          <w:rFonts w:eastAsia="Times New Roman" w:cs="Calibri"/>
          <w:lang w:eastAsia="en-US"/>
        </w:rPr>
        <w:t>Description of simulation settings</w:t>
      </w:r>
      <w:r w:rsidRPr="00D35C82">
        <w:rPr>
          <w:rFonts w:eastAsia="Times New Roman" w:cs="Calibri"/>
          <w:lang w:val="en-US" w:eastAsia="en-US"/>
        </w:rPr>
        <w:t> </w:t>
      </w:r>
    </w:p>
    <w:tbl>
      <w:tblPr>
        <w:tblW w:w="936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582"/>
        <w:gridCol w:w="2556"/>
        <w:gridCol w:w="2054"/>
        <w:gridCol w:w="3168"/>
      </w:tblGrid>
      <w:tr w:rsidR="00E516CE" w:rsidRPr="00D35C82" w14:paraId="730B0F2D" w14:textId="77777777" w:rsidTr="006D3D9E">
        <w:trPr>
          <w:jc w:val="center"/>
        </w:trPr>
        <w:tc>
          <w:tcPr>
            <w:tcW w:w="1582" w:type="dxa"/>
            <w:tcBorders>
              <w:top w:val="single" w:sz="6" w:space="0" w:color="auto"/>
              <w:left w:val="nil"/>
              <w:bottom w:val="single" w:sz="6" w:space="0" w:color="auto"/>
              <w:right w:val="nil"/>
            </w:tcBorders>
          </w:tcPr>
          <w:p w14:paraId="70183088" w14:textId="77777777" w:rsidR="00E516CE" w:rsidRPr="00D35C82" w:rsidRDefault="00E516CE" w:rsidP="006D3D9E">
            <w:pPr>
              <w:jc w:val="center"/>
              <w:textAlignment w:val="baseline"/>
              <w:rPr>
                <w:rFonts w:ascii="Arial" w:hAnsi="Arial"/>
                <w:b/>
                <w:bCs/>
                <w:caps/>
                <w:lang w:val="en-US" w:eastAsia="en-US"/>
              </w:rPr>
            </w:pPr>
            <w:r w:rsidRPr="00D35C82">
              <w:rPr>
                <w:rFonts w:ascii="Arial" w:hAnsi="Arial"/>
                <w:b/>
                <w:bCs/>
                <w:color w:val="000000"/>
                <w:lang w:eastAsia="en-US"/>
              </w:rPr>
              <w:t>Model</w:t>
            </w:r>
          </w:p>
        </w:tc>
        <w:tc>
          <w:tcPr>
            <w:tcW w:w="2556" w:type="dxa"/>
            <w:tcBorders>
              <w:top w:val="single" w:sz="6" w:space="0" w:color="auto"/>
              <w:left w:val="nil"/>
              <w:bottom w:val="single" w:sz="6" w:space="0" w:color="auto"/>
              <w:right w:val="nil"/>
            </w:tcBorders>
          </w:tcPr>
          <w:p w14:paraId="6B0AC086" w14:textId="77777777" w:rsidR="00E516CE" w:rsidRPr="00D35C82" w:rsidRDefault="00E516CE" w:rsidP="006D3D9E">
            <w:pPr>
              <w:jc w:val="center"/>
              <w:textAlignment w:val="baseline"/>
              <w:rPr>
                <w:rFonts w:ascii="Arial" w:hAnsi="Arial"/>
                <w:b/>
                <w:bCs/>
                <w:caps/>
                <w:lang w:val="en-US" w:eastAsia="en-US"/>
              </w:rPr>
            </w:pPr>
            <w:r w:rsidRPr="00D35C82">
              <w:rPr>
                <w:rFonts w:ascii="Arial" w:hAnsi="Arial"/>
                <w:b/>
                <w:bCs/>
                <w:color w:val="000000"/>
                <w:lang w:eastAsia="en-US"/>
              </w:rPr>
              <w:t>Meteorological forcing</w:t>
            </w:r>
          </w:p>
        </w:tc>
        <w:tc>
          <w:tcPr>
            <w:tcW w:w="2054" w:type="dxa"/>
            <w:tcBorders>
              <w:top w:val="single" w:sz="6" w:space="0" w:color="auto"/>
              <w:left w:val="nil"/>
              <w:bottom w:val="single" w:sz="6" w:space="0" w:color="auto"/>
              <w:right w:val="nil"/>
            </w:tcBorders>
          </w:tcPr>
          <w:p w14:paraId="1688BCE8" w14:textId="77777777" w:rsidR="00E516CE" w:rsidRPr="00D35C82" w:rsidRDefault="00E516CE" w:rsidP="006D3D9E">
            <w:pPr>
              <w:jc w:val="center"/>
              <w:textAlignment w:val="baseline"/>
              <w:rPr>
                <w:rFonts w:ascii="Arial" w:hAnsi="Arial"/>
                <w:b/>
                <w:bCs/>
                <w:caps/>
                <w:lang w:val="en-US" w:eastAsia="en-US"/>
              </w:rPr>
            </w:pPr>
            <w:r w:rsidRPr="00D35C82">
              <w:rPr>
                <w:rFonts w:ascii="Arial" w:hAnsi="Arial"/>
                <w:b/>
                <w:bCs/>
                <w:color w:val="000000"/>
                <w:lang w:eastAsia="en-US"/>
              </w:rPr>
              <w:t>Radiative forcing scenario</w:t>
            </w:r>
          </w:p>
        </w:tc>
        <w:tc>
          <w:tcPr>
            <w:tcW w:w="3168" w:type="dxa"/>
            <w:tcBorders>
              <w:top w:val="single" w:sz="6" w:space="0" w:color="auto"/>
              <w:left w:val="nil"/>
              <w:bottom w:val="single" w:sz="6" w:space="0" w:color="auto"/>
              <w:right w:val="nil"/>
            </w:tcBorders>
          </w:tcPr>
          <w:p w14:paraId="16C3DD3C" w14:textId="77777777" w:rsidR="00E516CE" w:rsidRPr="00D35C82" w:rsidRDefault="00E516CE" w:rsidP="006D3D9E">
            <w:pPr>
              <w:jc w:val="center"/>
              <w:textAlignment w:val="baseline"/>
              <w:rPr>
                <w:rFonts w:ascii="Arial" w:hAnsi="Arial"/>
                <w:b/>
                <w:bCs/>
                <w:caps/>
                <w:lang w:val="en-US" w:eastAsia="en-US"/>
              </w:rPr>
            </w:pPr>
            <w:r w:rsidRPr="00D35C82">
              <w:rPr>
                <w:rFonts w:ascii="Arial" w:hAnsi="Arial"/>
                <w:b/>
                <w:bCs/>
                <w:color w:val="000000"/>
                <w:lang w:eastAsia="en-US"/>
              </w:rPr>
              <w:t>Socioeconomic scenario</w:t>
            </w:r>
          </w:p>
        </w:tc>
      </w:tr>
      <w:tr w:rsidR="00E516CE" w:rsidRPr="00D35C82" w14:paraId="3AA44AE9" w14:textId="77777777" w:rsidTr="006D3D9E">
        <w:trPr>
          <w:jc w:val="center"/>
        </w:trPr>
        <w:tc>
          <w:tcPr>
            <w:tcW w:w="1582" w:type="dxa"/>
            <w:tcBorders>
              <w:top w:val="single" w:sz="6" w:space="0" w:color="auto"/>
              <w:left w:val="nil"/>
              <w:bottom w:val="nil"/>
              <w:right w:val="single" w:sz="6" w:space="0" w:color="7F7F7F"/>
            </w:tcBorders>
            <w:shd w:val="clear" w:color="auto" w:fill="F2F2F2"/>
          </w:tcPr>
          <w:p w14:paraId="0A521D06" w14:textId="77777777" w:rsidR="00E516CE" w:rsidRPr="00D35C82" w:rsidRDefault="00E516CE" w:rsidP="006D3D9E">
            <w:pPr>
              <w:textAlignment w:val="baseline"/>
              <w:rPr>
                <w:rFonts w:ascii="Arial" w:hAnsi="Arial"/>
                <w:b/>
                <w:bCs/>
                <w:caps/>
                <w:lang w:val="en-US" w:eastAsia="en-US"/>
              </w:rPr>
            </w:pPr>
            <w:r w:rsidRPr="00D35C82">
              <w:rPr>
                <w:rFonts w:ascii="Arial" w:hAnsi="Arial"/>
                <w:caps/>
                <w:color w:val="000000"/>
                <w:lang w:eastAsia="en-US"/>
              </w:rPr>
              <w:t>CLM4.5</w:t>
            </w:r>
            <w:r w:rsidRPr="00D35C82">
              <w:rPr>
                <w:rFonts w:ascii="Arial" w:hAnsi="Arial"/>
                <w:b/>
                <w:bCs/>
                <w:caps/>
                <w:color w:val="000000"/>
                <w:lang w:val="en-US" w:eastAsia="en-US"/>
              </w:rPr>
              <w:t> </w:t>
            </w:r>
          </w:p>
        </w:tc>
        <w:tc>
          <w:tcPr>
            <w:tcW w:w="2556" w:type="dxa"/>
            <w:tcBorders>
              <w:top w:val="single" w:sz="6" w:space="0" w:color="auto"/>
              <w:left w:val="single" w:sz="6" w:space="0" w:color="7F7F7F"/>
              <w:bottom w:val="nil"/>
              <w:right w:val="nil"/>
            </w:tcBorders>
            <w:shd w:val="clear" w:color="auto" w:fill="F2F2F2"/>
          </w:tcPr>
          <w:p w14:paraId="0B302369"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GFDL-ESM2M, HadGEM2-ES, IPSL-CM5A-LR, MIROC5</w:t>
            </w:r>
            <w:r w:rsidRPr="00D35C82">
              <w:rPr>
                <w:rFonts w:ascii="Arial" w:hAnsi="Arial"/>
                <w:color w:val="000000"/>
                <w:lang w:val="en-US" w:eastAsia="en-US"/>
              </w:rPr>
              <w:t> </w:t>
            </w:r>
          </w:p>
        </w:tc>
        <w:tc>
          <w:tcPr>
            <w:tcW w:w="2054" w:type="dxa"/>
            <w:tcBorders>
              <w:top w:val="single" w:sz="6" w:space="0" w:color="auto"/>
              <w:left w:val="nil"/>
              <w:bottom w:val="nil"/>
              <w:right w:val="nil"/>
            </w:tcBorders>
            <w:shd w:val="clear" w:color="auto" w:fill="F2F2F2"/>
          </w:tcPr>
          <w:p w14:paraId="50CB1769"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HIST, RCP2.6, RCP6.0</w:t>
            </w:r>
            <w:r w:rsidRPr="00D35C82">
              <w:rPr>
                <w:rFonts w:ascii="Arial" w:hAnsi="Arial"/>
                <w:color w:val="000000"/>
                <w:lang w:val="en-US" w:eastAsia="en-US"/>
              </w:rPr>
              <w:t> </w:t>
            </w:r>
          </w:p>
        </w:tc>
        <w:tc>
          <w:tcPr>
            <w:tcW w:w="3168" w:type="dxa"/>
            <w:tcBorders>
              <w:top w:val="single" w:sz="6" w:space="0" w:color="auto"/>
              <w:left w:val="nil"/>
              <w:bottom w:val="nil"/>
              <w:right w:val="nil"/>
            </w:tcBorders>
            <w:shd w:val="clear" w:color="auto" w:fill="F2F2F2"/>
          </w:tcPr>
          <w:p w14:paraId="1A4DEDB0"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2005soc (HIST, RCP2.6, RCP6.0)</w:t>
            </w:r>
            <w:r w:rsidRPr="00D35C82">
              <w:rPr>
                <w:rFonts w:ascii="Arial" w:hAnsi="Arial"/>
                <w:color w:val="000000"/>
                <w:lang w:val="en-US" w:eastAsia="en-US"/>
              </w:rPr>
              <w:t> </w:t>
            </w:r>
          </w:p>
        </w:tc>
      </w:tr>
      <w:tr w:rsidR="00E516CE" w:rsidRPr="00D35C82" w14:paraId="6C974A0E" w14:textId="77777777" w:rsidTr="006D3D9E">
        <w:trPr>
          <w:jc w:val="center"/>
        </w:trPr>
        <w:tc>
          <w:tcPr>
            <w:tcW w:w="1582" w:type="dxa"/>
            <w:tcBorders>
              <w:top w:val="nil"/>
              <w:left w:val="nil"/>
              <w:bottom w:val="nil"/>
              <w:right w:val="single" w:sz="6" w:space="0" w:color="7F7F7F"/>
            </w:tcBorders>
          </w:tcPr>
          <w:p w14:paraId="4BDA9B8B" w14:textId="77777777" w:rsidR="00E516CE" w:rsidRPr="00D35C82" w:rsidRDefault="00E516CE" w:rsidP="006D3D9E">
            <w:pPr>
              <w:textAlignment w:val="baseline"/>
              <w:rPr>
                <w:rFonts w:ascii="Arial" w:hAnsi="Arial"/>
                <w:b/>
                <w:bCs/>
                <w:caps/>
                <w:lang w:val="en-US" w:eastAsia="en-US"/>
              </w:rPr>
            </w:pPr>
            <w:r w:rsidRPr="00D35C82">
              <w:rPr>
                <w:rFonts w:ascii="Arial" w:hAnsi="Arial"/>
                <w:caps/>
                <w:color w:val="000000"/>
                <w:lang w:eastAsia="en-US"/>
              </w:rPr>
              <w:t>H08</w:t>
            </w:r>
            <w:r w:rsidRPr="00D35C82">
              <w:rPr>
                <w:rFonts w:ascii="Arial" w:hAnsi="Arial"/>
                <w:b/>
                <w:bCs/>
                <w:caps/>
                <w:color w:val="000000"/>
                <w:lang w:val="en-US" w:eastAsia="en-US"/>
              </w:rPr>
              <w:t> </w:t>
            </w:r>
          </w:p>
        </w:tc>
        <w:tc>
          <w:tcPr>
            <w:tcW w:w="2556" w:type="dxa"/>
            <w:tcBorders>
              <w:top w:val="nil"/>
              <w:left w:val="nil"/>
              <w:bottom w:val="nil"/>
              <w:right w:val="nil"/>
            </w:tcBorders>
          </w:tcPr>
          <w:p w14:paraId="1C8E079A"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GFDL-ESM2M, HadGEM2-ES, IPSL-CM5A-LR, MIROC5</w:t>
            </w:r>
            <w:r w:rsidRPr="00D35C82">
              <w:rPr>
                <w:rFonts w:ascii="Arial" w:hAnsi="Arial"/>
                <w:color w:val="000000"/>
                <w:lang w:val="en-US" w:eastAsia="en-US"/>
              </w:rPr>
              <w:t> </w:t>
            </w:r>
          </w:p>
        </w:tc>
        <w:tc>
          <w:tcPr>
            <w:tcW w:w="2054" w:type="dxa"/>
            <w:tcBorders>
              <w:top w:val="nil"/>
              <w:left w:val="nil"/>
              <w:bottom w:val="nil"/>
              <w:right w:val="nil"/>
            </w:tcBorders>
          </w:tcPr>
          <w:p w14:paraId="0FC66C33"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HIST, RCP2.6, RCP6.0</w:t>
            </w:r>
            <w:r w:rsidRPr="00D35C82">
              <w:rPr>
                <w:rFonts w:ascii="Arial" w:hAnsi="Arial"/>
                <w:color w:val="000000"/>
                <w:lang w:val="en-US" w:eastAsia="en-US"/>
              </w:rPr>
              <w:t> </w:t>
            </w:r>
          </w:p>
        </w:tc>
        <w:tc>
          <w:tcPr>
            <w:tcW w:w="3168" w:type="dxa"/>
            <w:tcBorders>
              <w:top w:val="nil"/>
              <w:left w:val="nil"/>
              <w:bottom w:val="nil"/>
              <w:right w:val="nil"/>
            </w:tcBorders>
          </w:tcPr>
          <w:p w14:paraId="4A319E6B"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histsoc (HIST), 2005soc (RCP2.6, RCP6.0)</w:t>
            </w:r>
            <w:r w:rsidRPr="00D35C82">
              <w:rPr>
                <w:rFonts w:ascii="Arial" w:hAnsi="Arial"/>
                <w:color w:val="000000"/>
                <w:lang w:val="en-US" w:eastAsia="en-US"/>
              </w:rPr>
              <w:t> </w:t>
            </w:r>
          </w:p>
        </w:tc>
      </w:tr>
      <w:tr w:rsidR="00E516CE" w:rsidRPr="00D35C82" w14:paraId="3B271A1C" w14:textId="77777777" w:rsidTr="006D3D9E">
        <w:trPr>
          <w:jc w:val="center"/>
        </w:trPr>
        <w:tc>
          <w:tcPr>
            <w:tcW w:w="1582" w:type="dxa"/>
            <w:tcBorders>
              <w:top w:val="nil"/>
              <w:left w:val="nil"/>
              <w:bottom w:val="nil"/>
              <w:right w:val="single" w:sz="6" w:space="0" w:color="7F7F7F"/>
            </w:tcBorders>
            <w:shd w:val="clear" w:color="auto" w:fill="F2F2F2"/>
          </w:tcPr>
          <w:p w14:paraId="0300FD77" w14:textId="77777777" w:rsidR="00E516CE" w:rsidRPr="00D35C82" w:rsidRDefault="00E516CE" w:rsidP="006D3D9E">
            <w:pPr>
              <w:textAlignment w:val="baseline"/>
              <w:rPr>
                <w:rFonts w:ascii="Arial" w:hAnsi="Arial"/>
                <w:b/>
                <w:bCs/>
                <w:caps/>
                <w:lang w:val="en-US" w:eastAsia="en-US"/>
              </w:rPr>
            </w:pPr>
            <w:r w:rsidRPr="00D35C82">
              <w:rPr>
                <w:rFonts w:ascii="Arial" w:hAnsi="Arial"/>
                <w:caps/>
                <w:color w:val="000000"/>
                <w:lang w:eastAsia="en-US"/>
              </w:rPr>
              <w:t>LPJML</w:t>
            </w:r>
            <w:r w:rsidRPr="00D35C82">
              <w:rPr>
                <w:rFonts w:ascii="Arial" w:hAnsi="Arial"/>
                <w:b/>
                <w:bCs/>
                <w:caps/>
                <w:color w:val="000000"/>
                <w:lang w:val="en-US" w:eastAsia="en-US"/>
              </w:rPr>
              <w:t> </w:t>
            </w:r>
          </w:p>
        </w:tc>
        <w:tc>
          <w:tcPr>
            <w:tcW w:w="2556" w:type="dxa"/>
            <w:tcBorders>
              <w:top w:val="nil"/>
              <w:left w:val="nil"/>
              <w:bottom w:val="nil"/>
              <w:right w:val="nil"/>
            </w:tcBorders>
            <w:shd w:val="clear" w:color="auto" w:fill="F2F2F2"/>
          </w:tcPr>
          <w:p w14:paraId="580873CE"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GFDL-ESM2M, HadGEM2-ES, IPSL-CM5A-LR, MIROC5</w:t>
            </w:r>
            <w:r w:rsidRPr="00D35C82">
              <w:rPr>
                <w:rFonts w:ascii="Arial" w:hAnsi="Arial"/>
                <w:color w:val="000000"/>
                <w:lang w:val="en-US" w:eastAsia="en-US"/>
              </w:rPr>
              <w:t> </w:t>
            </w:r>
          </w:p>
        </w:tc>
        <w:tc>
          <w:tcPr>
            <w:tcW w:w="2054" w:type="dxa"/>
            <w:tcBorders>
              <w:top w:val="nil"/>
              <w:left w:val="nil"/>
              <w:bottom w:val="nil"/>
              <w:right w:val="nil"/>
            </w:tcBorders>
            <w:shd w:val="clear" w:color="auto" w:fill="F2F2F2"/>
          </w:tcPr>
          <w:p w14:paraId="574F7ACE"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HIST, RCP2.6, RCP6.0</w:t>
            </w:r>
            <w:r w:rsidRPr="00D35C82">
              <w:rPr>
                <w:rFonts w:ascii="Arial" w:hAnsi="Arial"/>
                <w:color w:val="000000"/>
                <w:lang w:val="en-US" w:eastAsia="en-US"/>
              </w:rPr>
              <w:t> </w:t>
            </w:r>
          </w:p>
        </w:tc>
        <w:tc>
          <w:tcPr>
            <w:tcW w:w="3168" w:type="dxa"/>
            <w:tcBorders>
              <w:top w:val="nil"/>
              <w:left w:val="nil"/>
              <w:bottom w:val="nil"/>
              <w:right w:val="nil"/>
            </w:tcBorders>
            <w:shd w:val="clear" w:color="auto" w:fill="F2F2F2"/>
          </w:tcPr>
          <w:p w14:paraId="1F2720EE"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histsoc (HIST), 2005soc (RCP2.6, RCP6.0)</w:t>
            </w:r>
            <w:r w:rsidRPr="00D35C82">
              <w:rPr>
                <w:rFonts w:ascii="Arial" w:hAnsi="Arial"/>
                <w:color w:val="000000"/>
                <w:lang w:val="en-US" w:eastAsia="en-US"/>
              </w:rPr>
              <w:t> </w:t>
            </w:r>
          </w:p>
        </w:tc>
      </w:tr>
      <w:tr w:rsidR="00E516CE" w:rsidRPr="00D35C82" w14:paraId="22439104" w14:textId="77777777" w:rsidTr="006D3D9E">
        <w:trPr>
          <w:jc w:val="center"/>
        </w:trPr>
        <w:tc>
          <w:tcPr>
            <w:tcW w:w="1582" w:type="dxa"/>
            <w:tcBorders>
              <w:top w:val="nil"/>
              <w:left w:val="nil"/>
              <w:bottom w:val="nil"/>
              <w:right w:val="single" w:sz="6" w:space="0" w:color="7F7F7F"/>
            </w:tcBorders>
          </w:tcPr>
          <w:p w14:paraId="6621813B" w14:textId="77777777" w:rsidR="00E516CE" w:rsidRPr="00D35C82" w:rsidRDefault="00E516CE" w:rsidP="006D3D9E">
            <w:pPr>
              <w:textAlignment w:val="baseline"/>
              <w:rPr>
                <w:rFonts w:ascii="Arial" w:hAnsi="Arial"/>
                <w:b/>
                <w:bCs/>
                <w:caps/>
                <w:lang w:val="en-US" w:eastAsia="en-US"/>
              </w:rPr>
            </w:pPr>
            <w:r w:rsidRPr="00D35C82">
              <w:rPr>
                <w:rFonts w:ascii="Arial" w:hAnsi="Arial"/>
                <w:caps/>
                <w:color w:val="000000"/>
                <w:lang w:eastAsia="en-US"/>
              </w:rPr>
              <w:t>MATSIRO</w:t>
            </w:r>
            <w:r w:rsidRPr="00D35C82">
              <w:rPr>
                <w:rFonts w:ascii="Arial" w:hAnsi="Arial"/>
                <w:b/>
                <w:bCs/>
                <w:caps/>
                <w:color w:val="000000"/>
                <w:lang w:val="en-US" w:eastAsia="en-US"/>
              </w:rPr>
              <w:t> </w:t>
            </w:r>
          </w:p>
        </w:tc>
        <w:tc>
          <w:tcPr>
            <w:tcW w:w="2556" w:type="dxa"/>
            <w:tcBorders>
              <w:top w:val="nil"/>
              <w:left w:val="nil"/>
              <w:bottom w:val="nil"/>
              <w:right w:val="nil"/>
            </w:tcBorders>
          </w:tcPr>
          <w:p w14:paraId="2E67A534"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GFDL-ESM2M, HadGEM2-ES, IPSL-CM5A-LR, MIROC5</w:t>
            </w:r>
            <w:r w:rsidRPr="00D35C82">
              <w:rPr>
                <w:rFonts w:ascii="Arial" w:hAnsi="Arial"/>
                <w:color w:val="000000"/>
                <w:lang w:val="en-US" w:eastAsia="en-US"/>
              </w:rPr>
              <w:t> </w:t>
            </w:r>
          </w:p>
        </w:tc>
        <w:tc>
          <w:tcPr>
            <w:tcW w:w="2054" w:type="dxa"/>
            <w:tcBorders>
              <w:top w:val="nil"/>
              <w:left w:val="nil"/>
              <w:bottom w:val="nil"/>
              <w:right w:val="nil"/>
            </w:tcBorders>
          </w:tcPr>
          <w:p w14:paraId="59397D87"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HIST, RCP2.6, RCP6.0</w:t>
            </w:r>
            <w:r w:rsidRPr="00D35C82">
              <w:rPr>
                <w:rFonts w:ascii="Arial" w:hAnsi="Arial"/>
                <w:color w:val="000000"/>
                <w:lang w:val="en-US" w:eastAsia="en-US"/>
              </w:rPr>
              <w:t> </w:t>
            </w:r>
          </w:p>
        </w:tc>
        <w:tc>
          <w:tcPr>
            <w:tcW w:w="3168" w:type="dxa"/>
            <w:tcBorders>
              <w:top w:val="nil"/>
              <w:left w:val="nil"/>
              <w:bottom w:val="nil"/>
              <w:right w:val="nil"/>
            </w:tcBorders>
          </w:tcPr>
          <w:p w14:paraId="0D918262"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histsoc (HIST), 2005soc (RCP2.6, RCP6.0)</w:t>
            </w:r>
            <w:r w:rsidRPr="00D35C82">
              <w:rPr>
                <w:rFonts w:ascii="Arial" w:hAnsi="Arial"/>
                <w:color w:val="000000"/>
                <w:lang w:val="en-US" w:eastAsia="en-US"/>
              </w:rPr>
              <w:t> </w:t>
            </w:r>
          </w:p>
        </w:tc>
      </w:tr>
      <w:tr w:rsidR="00E516CE" w:rsidRPr="00D35C82" w14:paraId="0C96FC96" w14:textId="77777777" w:rsidTr="006D3D9E">
        <w:trPr>
          <w:jc w:val="center"/>
        </w:trPr>
        <w:tc>
          <w:tcPr>
            <w:tcW w:w="1582" w:type="dxa"/>
            <w:tcBorders>
              <w:top w:val="nil"/>
              <w:left w:val="nil"/>
              <w:bottom w:val="nil"/>
              <w:right w:val="single" w:sz="6" w:space="0" w:color="7F7F7F"/>
            </w:tcBorders>
            <w:shd w:val="clear" w:color="auto" w:fill="F2F2F2"/>
          </w:tcPr>
          <w:p w14:paraId="151F0EC3" w14:textId="77777777" w:rsidR="00E516CE" w:rsidRPr="00D35C82" w:rsidRDefault="00E516CE" w:rsidP="006D3D9E">
            <w:pPr>
              <w:textAlignment w:val="baseline"/>
              <w:rPr>
                <w:rFonts w:ascii="Arial" w:hAnsi="Arial"/>
                <w:b/>
                <w:bCs/>
                <w:caps/>
                <w:lang w:val="en-US" w:eastAsia="en-US"/>
              </w:rPr>
            </w:pPr>
            <w:r w:rsidRPr="00D35C82">
              <w:rPr>
                <w:rFonts w:ascii="Arial" w:hAnsi="Arial"/>
                <w:caps/>
                <w:color w:val="000000"/>
                <w:lang w:eastAsia="en-US"/>
              </w:rPr>
              <w:t>MPI-HM</w:t>
            </w:r>
            <w:r w:rsidRPr="00D35C82">
              <w:rPr>
                <w:rFonts w:ascii="Arial" w:hAnsi="Arial"/>
                <w:b/>
                <w:bCs/>
                <w:caps/>
                <w:color w:val="000000"/>
                <w:lang w:val="en-US" w:eastAsia="en-US"/>
              </w:rPr>
              <w:t> </w:t>
            </w:r>
          </w:p>
        </w:tc>
        <w:tc>
          <w:tcPr>
            <w:tcW w:w="2556" w:type="dxa"/>
            <w:tcBorders>
              <w:top w:val="nil"/>
              <w:left w:val="nil"/>
              <w:bottom w:val="nil"/>
              <w:right w:val="nil"/>
            </w:tcBorders>
            <w:shd w:val="clear" w:color="auto" w:fill="F2F2F2"/>
          </w:tcPr>
          <w:p w14:paraId="63860D2E"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GFDL-ESM2M, IPSL-CM5A-LR, MIROC5</w:t>
            </w:r>
            <w:r w:rsidRPr="00D35C82">
              <w:rPr>
                <w:rFonts w:ascii="Arial" w:hAnsi="Arial"/>
                <w:color w:val="000000"/>
                <w:lang w:val="en-US" w:eastAsia="en-US"/>
              </w:rPr>
              <w:t> </w:t>
            </w:r>
          </w:p>
        </w:tc>
        <w:tc>
          <w:tcPr>
            <w:tcW w:w="2054" w:type="dxa"/>
            <w:tcBorders>
              <w:top w:val="nil"/>
              <w:left w:val="nil"/>
              <w:bottom w:val="nil"/>
              <w:right w:val="nil"/>
            </w:tcBorders>
            <w:shd w:val="clear" w:color="auto" w:fill="F2F2F2"/>
          </w:tcPr>
          <w:p w14:paraId="28B47C59"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HIST, RCP2.6, RCP6.0</w:t>
            </w:r>
            <w:r w:rsidRPr="00D35C82">
              <w:rPr>
                <w:rFonts w:ascii="Arial" w:hAnsi="Arial"/>
                <w:color w:val="000000"/>
                <w:lang w:val="en-US" w:eastAsia="en-US"/>
              </w:rPr>
              <w:t> </w:t>
            </w:r>
          </w:p>
        </w:tc>
        <w:tc>
          <w:tcPr>
            <w:tcW w:w="3168" w:type="dxa"/>
            <w:tcBorders>
              <w:top w:val="nil"/>
              <w:left w:val="nil"/>
              <w:bottom w:val="nil"/>
              <w:right w:val="nil"/>
            </w:tcBorders>
            <w:shd w:val="clear" w:color="auto" w:fill="F2F2F2"/>
          </w:tcPr>
          <w:p w14:paraId="2F13259E"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histsoc (HIST), 2005soc (RCP2.6, RCP6.0)</w:t>
            </w:r>
            <w:r w:rsidRPr="00D35C82">
              <w:rPr>
                <w:rFonts w:ascii="Arial" w:hAnsi="Arial"/>
                <w:color w:val="000000"/>
                <w:lang w:val="en-US" w:eastAsia="en-US"/>
              </w:rPr>
              <w:t> </w:t>
            </w:r>
          </w:p>
        </w:tc>
      </w:tr>
      <w:tr w:rsidR="00E516CE" w:rsidRPr="00D35C82" w14:paraId="010DBA0E" w14:textId="77777777" w:rsidTr="006D3D9E">
        <w:trPr>
          <w:jc w:val="center"/>
        </w:trPr>
        <w:tc>
          <w:tcPr>
            <w:tcW w:w="1582" w:type="dxa"/>
            <w:tcBorders>
              <w:top w:val="nil"/>
              <w:left w:val="nil"/>
              <w:bottom w:val="nil"/>
              <w:right w:val="single" w:sz="6" w:space="0" w:color="7F7F7F"/>
            </w:tcBorders>
          </w:tcPr>
          <w:p w14:paraId="1764C655" w14:textId="77777777" w:rsidR="00E516CE" w:rsidRPr="00D35C82" w:rsidRDefault="00E516CE" w:rsidP="006D3D9E">
            <w:pPr>
              <w:textAlignment w:val="baseline"/>
              <w:rPr>
                <w:rFonts w:ascii="Arial" w:hAnsi="Arial"/>
                <w:b/>
                <w:bCs/>
                <w:caps/>
                <w:lang w:val="en-US" w:eastAsia="en-US"/>
              </w:rPr>
            </w:pPr>
            <w:r w:rsidRPr="00D35C82">
              <w:rPr>
                <w:rFonts w:ascii="Arial" w:hAnsi="Arial"/>
                <w:caps/>
                <w:color w:val="000000"/>
                <w:lang w:eastAsia="en-US"/>
              </w:rPr>
              <w:t>PCR-GLOBWB</w:t>
            </w:r>
            <w:r w:rsidRPr="00D35C82">
              <w:rPr>
                <w:rFonts w:ascii="Arial" w:hAnsi="Arial"/>
                <w:b/>
                <w:bCs/>
                <w:caps/>
                <w:color w:val="000000"/>
                <w:lang w:val="en-US" w:eastAsia="en-US"/>
              </w:rPr>
              <w:t> </w:t>
            </w:r>
          </w:p>
        </w:tc>
        <w:tc>
          <w:tcPr>
            <w:tcW w:w="2556" w:type="dxa"/>
            <w:tcBorders>
              <w:top w:val="nil"/>
              <w:left w:val="nil"/>
              <w:bottom w:val="nil"/>
              <w:right w:val="nil"/>
            </w:tcBorders>
          </w:tcPr>
          <w:p w14:paraId="10197B6E"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GFDL-ESM2M, HadGEM2-ES, IPSL-CM5A-LR, MIROC5</w:t>
            </w:r>
            <w:r w:rsidRPr="00D35C82">
              <w:rPr>
                <w:rFonts w:ascii="Arial" w:hAnsi="Arial"/>
                <w:color w:val="000000"/>
                <w:lang w:val="en-US" w:eastAsia="en-US"/>
              </w:rPr>
              <w:t> </w:t>
            </w:r>
          </w:p>
        </w:tc>
        <w:tc>
          <w:tcPr>
            <w:tcW w:w="2054" w:type="dxa"/>
            <w:tcBorders>
              <w:top w:val="nil"/>
              <w:left w:val="nil"/>
              <w:bottom w:val="nil"/>
              <w:right w:val="nil"/>
            </w:tcBorders>
          </w:tcPr>
          <w:p w14:paraId="3CA0E88D"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HIST, RCP2.6, RCP6.0</w:t>
            </w:r>
            <w:r w:rsidRPr="00D35C82">
              <w:rPr>
                <w:rFonts w:ascii="Arial" w:hAnsi="Arial"/>
                <w:color w:val="000000"/>
                <w:lang w:val="en-US" w:eastAsia="en-US"/>
              </w:rPr>
              <w:t> </w:t>
            </w:r>
          </w:p>
        </w:tc>
        <w:tc>
          <w:tcPr>
            <w:tcW w:w="3168" w:type="dxa"/>
            <w:tcBorders>
              <w:top w:val="nil"/>
              <w:left w:val="nil"/>
              <w:bottom w:val="nil"/>
              <w:right w:val="nil"/>
            </w:tcBorders>
          </w:tcPr>
          <w:p w14:paraId="04064EE8"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histsoc (HIST), 2005soc (RCP2.6, RCP6.0)</w:t>
            </w:r>
            <w:r w:rsidRPr="00D35C82">
              <w:rPr>
                <w:rFonts w:ascii="Arial" w:hAnsi="Arial"/>
                <w:color w:val="000000"/>
                <w:lang w:val="en-US" w:eastAsia="en-US"/>
              </w:rPr>
              <w:t> </w:t>
            </w:r>
          </w:p>
        </w:tc>
      </w:tr>
      <w:tr w:rsidR="00E516CE" w:rsidRPr="00D35C82" w14:paraId="4D602AEB" w14:textId="77777777" w:rsidTr="006D3D9E">
        <w:trPr>
          <w:jc w:val="center"/>
        </w:trPr>
        <w:tc>
          <w:tcPr>
            <w:tcW w:w="1582" w:type="dxa"/>
            <w:tcBorders>
              <w:top w:val="nil"/>
              <w:left w:val="nil"/>
              <w:bottom w:val="single" w:sz="6" w:space="0" w:color="auto"/>
              <w:right w:val="single" w:sz="6" w:space="0" w:color="7F7F7F"/>
            </w:tcBorders>
            <w:shd w:val="clear" w:color="auto" w:fill="F2F2F2"/>
          </w:tcPr>
          <w:p w14:paraId="06A75F2A" w14:textId="77777777" w:rsidR="00E516CE" w:rsidRPr="00D35C82" w:rsidRDefault="00E516CE" w:rsidP="006D3D9E">
            <w:pPr>
              <w:textAlignment w:val="baseline"/>
              <w:rPr>
                <w:rFonts w:ascii="Arial" w:hAnsi="Arial"/>
                <w:b/>
                <w:bCs/>
                <w:caps/>
                <w:lang w:val="en-US" w:eastAsia="en-US"/>
              </w:rPr>
            </w:pPr>
            <w:r w:rsidRPr="00D35C82">
              <w:rPr>
                <w:rFonts w:ascii="Arial" w:hAnsi="Arial"/>
                <w:caps/>
                <w:color w:val="000000"/>
                <w:lang w:eastAsia="en-US"/>
              </w:rPr>
              <w:t>WATERGAP2</w:t>
            </w:r>
            <w:r w:rsidRPr="00D35C82">
              <w:rPr>
                <w:rFonts w:ascii="Arial" w:hAnsi="Arial"/>
                <w:b/>
                <w:bCs/>
                <w:caps/>
                <w:color w:val="000000"/>
                <w:lang w:val="en-US" w:eastAsia="en-US"/>
              </w:rPr>
              <w:t> </w:t>
            </w:r>
          </w:p>
        </w:tc>
        <w:tc>
          <w:tcPr>
            <w:tcW w:w="2556" w:type="dxa"/>
            <w:tcBorders>
              <w:top w:val="nil"/>
              <w:left w:val="single" w:sz="6" w:space="0" w:color="7F7F7F"/>
              <w:bottom w:val="single" w:sz="6" w:space="0" w:color="auto"/>
              <w:right w:val="nil"/>
            </w:tcBorders>
            <w:shd w:val="clear" w:color="auto" w:fill="F2F2F2"/>
          </w:tcPr>
          <w:p w14:paraId="5DFA8AF3"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GFDL-ESM2M, HadGEM2-ES, IPSL-CM5A-LR, MIROC5</w:t>
            </w:r>
            <w:r w:rsidRPr="00D35C82">
              <w:rPr>
                <w:rFonts w:ascii="Arial" w:hAnsi="Arial"/>
                <w:color w:val="000000"/>
                <w:lang w:val="en-US" w:eastAsia="en-US"/>
              </w:rPr>
              <w:t> </w:t>
            </w:r>
          </w:p>
        </w:tc>
        <w:tc>
          <w:tcPr>
            <w:tcW w:w="2054" w:type="dxa"/>
            <w:tcBorders>
              <w:top w:val="nil"/>
              <w:left w:val="nil"/>
              <w:bottom w:val="single" w:sz="6" w:space="0" w:color="auto"/>
              <w:right w:val="nil"/>
            </w:tcBorders>
            <w:shd w:val="clear" w:color="auto" w:fill="F2F2F2"/>
          </w:tcPr>
          <w:p w14:paraId="6FB1768E"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HIST, RCP2.6, RCP6.0</w:t>
            </w:r>
            <w:r w:rsidRPr="00D35C82">
              <w:rPr>
                <w:rFonts w:ascii="Arial" w:hAnsi="Arial"/>
                <w:color w:val="000000"/>
                <w:lang w:val="en-US" w:eastAsia="en-US"/>
              </w:rPr>
              <w:t> </w:t>
            </w:r>
          </w:p>
        </w:tc>
        <w:tc>
          <w:tcPr>
            <w:tcW w:w="3168" w:type="dxa"/>
            <w:tcBorders>
              <w:top w:val="nil"/>
              <w:left w:val="nil"/>
              <w:bottom w:val="single" w:sz="6" w:space="0" w:color="auto"/>
              <w:right w:val="nil"/>
            </w:tcBorders>
            <w:shd w:val="clear" w:color="auto" w:fill="F2F2F2"/>
          </w:tcPr>
          <w:p w14:paraId="061E2438" w14:textId="77777777" w:rsidR="00E516CE" w:rsidRPr="00D35C82" w:rsidRDefault="00E516CE" w:rsidP="006D3D9E">
            <w:pPr>
              <w:textAlignment w:val="baseline"/>
              <w:rPr>
                <w:rFonts w:ascii="Arial" w:hAnsi="Arial"/>
                <w:lang w:val="en-US" w:eastAsia="en-US"/>
              </w:rPr>
            </w:pPr>
            <w:r w:rsidRPr="00D35C82">
              <w:rPr>
                <w:rFonts w:ascii="Arial" w:hAnsi="Arial"/>
                <w:color w:val="000000"/>
                <w:lang w:eastAsia="en-US"/>
              </w:rPr>
              <w:t>histsoc (HIST), 2005soc (RCP2.6, RCP6.0)</w:t>
            </w:r>
            <w:r w:rsidRPr="00D35C82">
              <w:rPr>
                <w:rFonts w:ascii="Arial" w:hAnsi="Arial"/>
                <w:color w:val="000000"/>
                <w:lang w:val="en-US" w:eastAsia="en-US"/>
              </w:rPr>
              <w:t> </w:t>
            </w:r>
          </w:p>
        </w:tc>
      </w:tr>
    </w:tbl>
    <w:p w14:paraId="7D5B6A82" w14:textId="77777777" w:rsidR="00E516CE" w:rsidRDefault="00E516CE" w:rsidP="00E516CE">
      <w:pPr>
        <w:spacing w:line="360" w:lineRule="auto"/>
        <w:jc w:val="both"/>
        <w:rPr>
          <w:b/>
          <w:bCs/>
        </w:rPr>
      </w:pPr>
    </w:p>
    <w:p w14:paraId="37120812" w14:textId="77777777" w:rsidR="00E516CE" w:rsidRDefault="00E516CE" w:rsidP="00E516CE">
      <w:pPr>
        <w:spacing w:after="160" w:line="259" w:lineRule="auto"/>
        <w:rPr>
          <w:bCs/>
        </w:rPr>
      </w:pPr>
      <w:r>
        <w:rPr>
          <w:bCs/>
        </w:rPr>
        <w:br w:type="page"/>
      </w:r>
    </w:p>
    <w:p w14:paraId="49CC6458" w14:textId="77777777" w:rsidR="00E516CE" w:rsidRPr="00435E50" w:rsidRDefault="00E516CE" w:rsidP="00E516CE">
      <w:pPr>
        <w:spacing w:line="360" w:lineRule="auto"/>
        <w:jc w:val="both"/>
        <w:rPr>
          <w:rFonts w:ascii="Arial" w:hAnsi="Arial"/>
          <w:bCs/>
        </w:rPr>
      </w:pPr>
      <w:r w:rsidRPr="00435E50">
        <w:rPr>
          <w:rFonts w:ascii="Arial" w:hAnsi="Arial"/>
          <w:b/>
        </w:rPr>
        <w:lastRenderedPageBreak/>
        <w:t>Extended Data Figure 4 |</w:t>
      </w:r>
      <w:r w:rsidRPr="00435E50">
        <w:rPr>
          <w:rFonts w:ascii="Arial" w:hAnsi="Arial"/>
          <w:bCs/>
        </w:rPr>
        <w:t xml:space="preserve"> The annual average temperature fingerprint trained for each model separately. The color map is reversed to match a general decreasing trend in AGMTWS corresponding to an increase in surface air temperature and a reduction in specific humidity (both are shown as red shadings). The values over the ocean are masked to focus on the AGMTWS responses over land to the external forcing. </w:t>
      </w:r>
    </w:p>
    <w:p w14:paraId="41325A96" w14:textId="77777777" w:rsidR="00E516CE" w:rsidRDefault="00E516CE" w:rsidP="00E516CE">
      <w:pPr>
        <w:spacing w:line="360" w:lineRule="auto"/>
        <w:jc w:val="both"/>
        <w:rPr>
          <w:b/>
        </w:rPr>
      </w:pPr>
      <w:r>
        <w:rPr>
          <w:noProof/>
          <w:lang w:val="en-US" w:eastAsia="en-US"/>
        </w:rPr>
        <w:drawing>
          <wp:inline distT="0" distB="0" distL="0" distR="0" wp14:anchorId="1964B2B3" wp14:editId="472843AF">
            <wp:extent cx="5923915" cy="2885440"/>
            <wp:effectExtent l="0" t="0" r="0" b="0"/>
            <wp:docPr id="51" name="Picture 51" descr="A picture containing text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A picture containing textDescription automatically generated"/>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3915" cy="2885440"/>
                    </a:xfrm>
                    <a:prstGeom prst="rect">
                      <a:avLst/>
                    </a:prstGeom>
                    <a:noFill/>
                    <a:ln>
                      <a:noFill/>
                    </a:ln>
                  </pic:spPr>
                </pic:pic>
              </a:graphicData>
            </a:graphic>
          </wp:inline>
        </w:drawing>
      </w:r>
    </w:p>
    <w:p w14:paraId="43CA056F" w14:textId="77777777" w:rsidR="00E516CE" w:rsidRDefault="00E516CE" w:rsidP="00E516CE">
      <w:pPr>
        <w:spacing w:line="360" w:lineRule="auto"/>
        <w:jc w:val="both"/>
        <w:rPr>
          <w:b/>
        </w:rPr>
      </w:pPr>
    </w:p>
    <w:p w14:paraId="383F3E1A" w14:textId="77777777" w:rsidR="00E516CE" w:rsidRDefault="00E516CE" w:rsidP="00E516CE">
      <w:pPr>
        <w:spacing w:line="360" w:lineRule="auto"/>
        <w:jc w:val="both"/>
        <w:rPr>
          <w:b/>
        </w:rPr>
      </w:pPr>
    </w:p>
    <w:p w14:paraId="6D3E4FEC" w14:textId="77777777" w:rsidR="00E516CE" w:rsidRDefault="00E516CE" w:rsidP="00E516CE">
      <w:pPr>
        <w:spacing w:line="360" w:lineRule="auto"/>
        <w:jc w:val="both"/>
        <w:rPr>
          <w:b/>
        </w:rPr>
      </w:pPr>
    </w:p>
    <w:p w14:paraId="0A8D00D5" w14:textId="77777777" w:rsidR="00E516CE" w:rsidRDefault="00E516CE" w:rsidP="00E516CE">
      <w:pPr>
        <w:spacing w:line="360" w:lineRule="auto"/>
        <w:jc w:val="both"/>
        <w:rPr>
          <w:bCs/>
        </w:rPr>
      </w:pPr>
    </w:p>
    <w:p w14:paraId="5E6594AA" w14:textId="77777777" w:rsidR="00E516CE" w:rsidRDefault="00E516CE" w:rsidP="00E516CE">
      <w:pPr>
        <w:spacing w:after="160" w:line="259" w:lineRule="auto"/>
        <w:rPr>
          <w:bCs/>
        </w:rPr>
      </w:pPr>
      <w:r>
        <w:rPr>
          <w:bCs/>
        </w:rPr>
        <w:br w:type="page"/>
      </w:r>
    </w:p>
    <w:p w14:paraId="7A051AD1" w14:textId="77777777" w:rsidR="00E516CE" w:rsidRPr="00435E50" w:rsidRDefault="00E516CE" w:rsidP="00E516CE">
      <w:pPr>
        <w:spacing w:line="360" w:lineRule="auto"/>
        <w:jc w:val="both"/>
        <w:rPr>
          <w:rFonts w:ascii="Arial" w:hAnsi="Arial"/>
          <w:bCs/>
        </w:rPr>
      </w:pPr>
      <w:r w:rsidRPr="00435E50">
        <w:rPr>
          <w:rFonts w:ascii="Arial" w:hAnsi="Arial"/>
          <w:b/>
          <w:bCs/>
        </w:rPr>
        <w:lastRenderedPageBreak/>
        <w:t>Extended Data</w:t>
      </w:r>
      <w:r w:rsidRPr="00435E50">
        <w:rPr>
          <w:rFonts w:ascii="Arial" w:hAnsi="Arial"/>
          <w:bCs/>
        </w:rPr>
        <w:t xml:space="preserve"> </w:t>
      </w:r>
      <w:r w:rsidRPr="00435E50">
        <w:rPr>
          <w:rFonts w:ascii="Arial" w:hAnsi="Arial"/>
          <w:b/>
        </w:rPr>
        <w:t>Figure 4 |</w:t>
      </w:r>
      <w:r w:rsidRPr="00435E50">
        <w:rPr>
          <w:rFonts w:ascii="Arial" w:hAnsi="Arial"/>
          <w:bCs/>
        </w:rPr>
        <w:t xml:space="preserve"> The annual average humidity fingerprint trained for each model separately. The color map is reversed to match a general decreasing trend in AGMTWS corresponding to an increase in surface air temperature and a reduction in specific humidity (both are shown as red shadings). The values over the ocean are masked to focus on the AGMTWS responses over land to the external forcing. </w:t>
      </w:r>
    </w:p>
    <w:p w14:paraId="30E2B4B2" w14:textId="77777777" w:rsidR="00E516CE" w:rsidRDefault="00E516CE" w:rsidP="00E516CE">
      <w:pPr>
        <w:spacing w:line="360" w:lineRule="auto"/>
        <w:jc w:val="both"/>
        <w:rPr>
          <w:b/>
        </w:rPr>
      </w:pPr>
      <w:r>
        <w:rPr>
          <w:b/>
          <w:noProof/>
          <w:lang w:val="en-US" w:eastAsia="en-US"/>
        </w:rPr>
        <w:drawing>
          <wp:inline distT="0" distB="0" distL="0" distR="0" wp14:anchorId="6EB9756D" wp14:editId="5BDAC32B">
            <wp:extent cx="5951855" cy="2885440"/>
            <wp:effectExtent l="0" t="0" r="0" b="0"/>
            <wp:docPr id="52" name="Picture 52" descr="A picture containing text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A picture containing textDescription automatically generated"/>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1855" cy="2885440"/>
                    </a:xfrm>
                    <a:prstGeom prst="rect">
                      <a:avLst/>
                    </a:prstGeom>
                    <a:noFill/>
                    <a:ln>
                      <a:noFill/>
                    </a:ln>
                  </pic:spPr>
                </pic:pic>
              </a:graphicData>
            </a:graphic>
          </wp:inline>
        </w:drawing>
      </w:r>
    </w:p>
    <w:p w14:paraId="043AD261" w14:textId="77777777" w:rsidR="00E516CE" w:rsidRDefault="00E516CE" w:rsidP="00E516CE">
      <w:pPr>
        <w:spacing w:after="160" w:line="259" w:lineRule="auto"/>
        <w:rPr>
          <w:b/>
        </w:rPr>
      </w:pPr>
      <w:r>
        <w:rPr>
          <w:b/>
        </w:rPr>
        <w:br w:type="page"/>
      </w:r>
    </w:p>
    <w:p w14:paraId="5FA5922D" w14:textId="77777777" w:rsidR="00E516CE" w:rsidRPr="00435E50" w:rsidRDefault="00E516CE" w:rsidP="00E516CE">
      <w:pPr>
        <w:spacing w:line="360" w:lineRule="auto"/>
        <w:jc w:val="both"/>
        <w:rPr>
          <w:rFonts w:ascii="Arial" w:hAnsi="Arial"/>
          <w:bCs/>
        </w:rPr>
      </w:pPr>
      <w:r w:rsidRPr="00435E50">
        <w:rPr>
          <w:rFonts w:ascii="Arial" w:hAnsi="Arial"/>
          <w:b/>
        </w:rPr>
        <w:lastRenderedPageBreak/>
        <w:t>Extended Data Figure 5 |</w:t>
      </w:r>
      <w:r w:rsidRPr="00435E50">
        <w:rPr>
          <w:rFonts w:ascii="Arial" w:hAnsi="Arial"/>
          <w:bCs/>
        </w:rPr>
        <w:t xml:space="preserve"> The multi-model mean temperature fingerprint at each month. Each model is trained separately.  </w:t>
      </w:r>
    </w:p>
    <w:p w14:paraId="6DE5B85D" w14:textId="77777777" w:rsidR="00E516CE" w:rsidRDefault="00E516CE" w:rsidP="00E516CE">
      <w:pPr>
        <w:spacing w:line="360" w:lineRule="auto"/>
        <w:jc w:val="both"/>
        <w:rPr>
          <w:b/>
        </w:rPr>
      </w:pPr>
      <w:r>
        <w:rPr>
          <w:b/>
          <w:noProof/>
          <w:lang w:val="en-US" w:eastAsia="en-US"/>
        </w:rPr>
        <w:drawing>
          <wp:inline distT="0" distB="0" distL="0" distR="0" wp14:anchorId="727E2A1A" wp14:editId="6D220D58">
            <wp:extent cx="5946140" cy="3788410"/>
            <wp:effectExtent l="0" t="0" r="0" b="0"/>
            <wp:docPr id="53" name="Picture 53" descr="A picture containing text, screensho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 screenshot&#10;&#10;Description automatically generated"/>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6140" cy="3788410"/>
                    </a:xfrm>
                    <a:prstGeom prst="rect">
                      <a:avLst/>
                    </a:prstGeom>
                    <a:noFill/>
                    <a:ln>
                      <a:noFill/>
                    </a:ln>
                  </pic:spPr>
                </pic:pic>
              </a:graphicData>
            </a:graphic>
          </wp:inline>
        </w:drawing>
      </w:r>
    </w:p>
    <w:p w14:paraId="20DEB6D5" w14:textId="77777777" w:rsidR="00E516CE" w:rsidRDefault="00E516CE" w:rsidP="00E516CE">
      <w:pPr>
        <w:spacing w:after="160" w:line="259" w:lineRule="auto"/>
        <w:rPr>
          <w:b/>
        </w:rPr>
      </w:pPr>
      <w:r>
        <w:rPr>
          <w:b/>
        </w:rPr>
        <w:br w:type="page"/>
      </w:r>
    </w:p>
    <w:p w14:paraId="1B18C45A" w14:textId="77777777" w:rsidR="00E516CE" w:rsidRPr="00435E50" w:rsidRDefault="00E516CE" w:rsidP="00E516CE">
      <w:pPr>
        <w:spacing w:line="360" w:lineRule="auto"/>
        <w:jc w:val="both"/>
        <w:rPr>
          <w:rFonts w:ascii="Arial" w:hAnsi="Arial"/>
          <w:bCs/>
        </w:rPr>
      </w:pPr>
      <w:r w:rsidRPr="00435E50">
        <w:rPr>
          <w:rFonts w:ascii="Arial" w:hAnsi="Arial"/>
          <w:b/>
        </w:rPr>
        <w:lastRenderedPageBreak/>
        <w:t>Extended Data Figure 6 |</w:t>
      </w:r>
      <w:r w:rsidRPr="00435E50">
        <w:rPr>
          <w:rFonts w:ascii="Arial" w:hAnsi="Arial"/>
          <w:bCs/>
        </w:rPr>
        <w:t xml:space="preserve"> The multi-model mean humidity fingerprint at each month. Each model is trained separately.   </w:t>
      </w:r>
    </w:p>
    <w:p w14:paraId="2031624D" w14:textId="77777777" w:rsidR="00E516CE" w:rsidRDefault="00E516CE" w:rsidP="00E516CE">
      <w:pPr>
        <w:spacing w:line="360" w:lineRule="auto"/>
        <w:jc w:val="both"/>
        <w:rPr>
          <w:b/>
        </w:rPr>
      </w:pPr>
      <w:r>
        <w:rPr>
          <w:b/>
          <w:noProof/>
          <w:lang w:val="en-US" w:eastAsia="en-US"/>
        </w:rPr>
        <w:drawing>
          <wp:inline distT="0" distB="0" distL="0" distR="0" wp14:anchorId="4E66EA5F" wp14:editId="5D3A0CA9">
            <wp:extent cx="5941060" cy="3754120"/>
            <wp:effectExtent l="0" t="0" r="0" b="0"/>
            <wp:docPr id="54" name="Picture 54" descr="A map of the worl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Picture 54" descr="A map of the world&#10;&#10;Description automatically generated with low confidence"/>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1060" cy="3754120"/>
                    </a:xfrm>
                    <a:prstGeom prst="rect">
                      <a:avLst/>
                    </a:prstGeom>
                    <a:noFill/>
                    <a:ln>
                      <a:noFill/>
                    </a:ln>
                  </pic:spPr>
                </pic:pic>
              </a:graphicData>
            </a:graphic>
          </wp:inline>
        </w:drawing>
      </w:r>
    </w:p>
    <w:p w14:paraId="2194E0E4" w14:textId="77777777" w:rsidR="00E516CE" w:rsidRDefault="00E516CE" w:rsidP="00E516CE">
      <w:pPr>
        <w:spacing w:after="160" w:line="259" w:lineRule="auto"/>
        <w:rPr>
          <w:b/>
        </w:rPr>
      </w:pPr>
      <w:r>
        <w:rPr>
          <w:b/>
        </w:rPr>
        <w:br w:type="page"/>
      </w:r>
    </w:p>
    <w:p w14:paraId="67845827" w14:textId="77777777" w:rsidR="00E516CE" w:rsidRDefault="00E516CE" w:rsidP="00E516CE">
      <w:pPr>
        <w:spacing w:line="360" w:lineRule="auto"/>
        <w:jc w:val="both"/>
        <w:rPr>
          <w:b/>
        </w:rPr>
      </w:pPr>
      <w:r w:rsidRPr="00610F7C">
        <w:rPr>
          <w:b/>
        </w:rPr>
        <w:lastRenderedPageBreak/>
        <w:t>﻿</w:t>
      </w:r>
    </w:p>
    <w:p w14:paraId="5B36BB64" w14:textId="77777777" w:rsidR="00E516CE" w:rsidRPr="00435E50" w:rsidRDefault="00E516CE" w:rsidP="00E516CE">
      <w:pPr>
        <w:spacing w:line="360" w:lineRule="auto"/>
        <w:jc w:val="both"/>
        <w:rPr>
          <w:rFonts w:ascii="Arial" w:hAnsi="Arial"/>
          <w:b/>
        </w:rPr>
      </w:pPr>
      <w:r w:rsidRPr="00435E50">
        <w:rPr>
          <w:rFonts w:ascii="Arial" w:hAnsi="Arial"/>
          <w:b/>
        </w:rPr>
        <w:t>Extended Data Figure 7 |</w:t>
      </w:r>
      <w:r w:rsidRPr="00435E50">
        <w:rPr>
          <w:rFonts w:ascii="Arial" w:hAnsi="Arial"/>
          <w:bCs/>
        </w:rPr>
        <w:t xml:space="preserve"> Seasonal variations of the temperature fingerprint for each model along latitudinal bands over land. </w:t>
      </w:r>
    </w:p>
    <w:p w14:paraId="5DBFC265" w14:textId="77777777" w:rsidR="00E516CE" w:rsidRDefault="00E516CE" w:rsidP="00E516CE">
      <w:pPr>
        <w:spacing w:line="360" w:lineRule="auto"/>
        <w:jc w:val="both"/>
        <w:rPr>
          <w:b/>
        </w:rPr>
      </w:pPr>
      <w:r>
        <w:rPr>
          <w:b/>
          <w:noProof/>
          <w:lang w:val="en-US" w:eastAsia="en-US"/>
        </w:rPr>
        <w:drawing>
          <wp:inline distT="0" distB="0" distL="0" distR="0" wp14:anchorId="17049A8B" wp14:editId="26A99699">
            <wp:extent cx="5929630" cy="4429760"/>
            <wp:effectExtent l="0" t="0" r="0" b="0"/>
            <wp:docPr id="55" name="Picture 55" descr="Graphical user interface, application, Excel, PowerPoint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Graphical user interface, application, Excel, PowerPointDescription automatically generated"/>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9630" cy="4429760"/>
                    </a:xfrm>
                    <a:prstGeom prst="rect">
                      <a:avLst/>
                    </a:prstGeom>
                    <a:noFill/>
                    <a:ln>
                      <a:noFill/>
                    </a:ln>
                  </pic:spPr>
                </pic:pic>
              </a:graphicData>
            </a:graphic>
          </wp:inline>
        </w:drawing>
      </w:r>
    </w:p>
    <w:p w14:paraId="20917915" w14:textId="77777777" w:rsidR="00E516CE" w:rsidRDefault="00E516CE" w:rsidP="00E516CE">
      <w:pPr>
        <w:spacing w:after="160" w:line="259" w:lineRule="auto"/>
        <w:rPr>
          <w:b/>
        </w:rPr>
      </w:pPr>
      <w:r>
        <w:rPr>
          <w:b/>
        </w:rPr>
        <w:br w:type="page"/>
      </w:r>
    </w:p>
    <w:p w14:paraId="07DECCAF" w14:textId="77777777" w:rsidR="00E516CE" w:rsidRPr="00435E50" w:rsidRDefault="00E516CE" w:rsidP="00E516CE">
      <w:pPr>
        <w:spacing w:line="360" w:lineRule="auto"/>
        <w:jc w:val="both"/>
        <w:rPr>
          <w:rFonts w:ascii="Arial" w:hAnsi="Arial"/>
          <w:b/>
        </w:rPr>
      </w:pPr>
      <w:r w:rsidRPr="00435E50">
        <w:rPr>
          <w:rFonts w:ascii="Arial" w:hAnsi="Arial"/>
          <w:b/>
        </w:rPr>
        <w:lastRenderedPageBreak/>
        <w:t>Extended Data Figure 8 |</w:t>
      </w:r>
      <w:r w:rsidRPr="00435E50">
        <w:rPr>
          <w:rFonts w:ascii="Arial" w:hAnsi="Arial"/>
          <w:bCs/>
        </w:rPr>
        <w:t xml:space="preserve"> Seasonal variations of the humidity fingerprint for each model along latitudinal bands over land. </w:t>
      </w:r>
    </w:p>
    <w:p w14:paraId="095F15F1" w14:textId="77777777" w:rsidR="00E516CE" w:rsidRPr="00472BDC" w:rsidRDefault="00E516CE" w:rsidP="00E516CE">
      <w:pPr>
        <w:spacing w:line="360" w:lineRule="auto"/>
        <w:jc w:val="both"/>
        <w:rPr>
          <w:b/>
        </w:rPr>
      </w:pPr>
      <w:r>
        <w:rPr>
          <w:b/>
          <w:noProof/>
          <w:lang w:val="en-US" w:eastAsia="en-US"/>
        </w:rPr>
        <w:drawing>
          <wp:inline distT="0" distB="0" distL="0" distR="0" wp14:anchorId="530325BA" wp14:editId="3ACB289D">
            <wp:extent cx="5912485" cy="4429760"/>
            <wp:effectExtent l="0" t="0" r="0" b="0"/>
            <wp:docPr id="56" name="Picture 56" descr="Graphical user interface, chart, application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descr="Graphical user interface, chart, applicationDescription automatically generated"/>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2485" cy="4429760"/>
                    </a:xfrm>
                    <a:prstGeom prst="rect">
                      <a:avLst/>
                    </a:prstGeom>
                    <a:noFill/>
                    <a:ln>
                      <a:noFill/>
                    </a:ln>
                  </pic:spPr>
                </pic:pic>
              </a:graphicData>
            </a:graphic>
          </wp:inline>
        </w:drawing>
      </w:r>
    </w:p>
    <w:p w14:paraId="1FD97327" w14:textId="77777777" w:rsidR="00E516CE" w:rsidRDefault="00E516CE" w:rsidP="00E516CE">
      <w:pPr>
        <w:spacing w:beforeLines="50" w:before="120" w:line="360" w:lineRule="auto"/>
        <w:jc w:val="both"/>
        <w:rPr>
          <w:b/>
          <w:bCs/>
        </w:rPr>
      </w:pPr>
    </w:p>
    <w:p w14:paraId="0213BC78" w14:textId="77777777" w:rsidR="00BB29CF" w:rsidRDefault="00BB29CF" w:rsidP="00445C05">
      <w:pPr>
        <w:spacing w:line="360" w:lineRule="auto"/>
        <w:jc w:val="both"/>
        <w:textAlignment w:val="baseline"/>
        <w:rPr>
          <w:b/>
          <w:bCs/>
        </w:rPr>
      </w:pPr>
    </w:p>
    <w:sectPr w:rsidR="00BB29CF" w:rsidSect="00FC6EB0">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4ADA24" w14:textId="77777777" w:rsidR="006A6DF7" w:rsidRDefault="006A6DF7" w:rsidP="00C50667">
      <w:r>
        <w:separator/>
      </w:r>
    </w:p>
  </w:endnote>
  <w:endnote w:type="continuationSeparator" w:id="0">
    <w:p w14:paraId="1CDDE079" w14:textId="77777777" w:rsidR="006A6DF7" w:rsidRDefault="006A6DF7" w:rsidP="00C50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05F98" w14:textId="77777777" w:rsidR="006A6DF7" w:rsidRDefault="006A6DF7" w:rsidP="00C50667">
      <w:r>
        <w:separator/>
      </w:r>
    </w:p>
  </w:footnote>
  <w:footnote w:type="continuationSeparator" w:id="0">
    <w:p w14:paraId="3536D97C" w14:textId="77777777" w:rsidR="006A6DF7" w:rsidRDefault="006A6DF7" w:rsidP="00C506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49784F"/>
    <w:multiLevelType w:val="hybridMultilevel"/>
    <w:tmpl w:val="FCE801FA"/>
    <w:lvl w:ilvl="0" w:tplc="9920D528">
      <w:start w:val="1"/>
      <w:numFmt w:val="bullet"/>
      <w:lvlText w:val=""/>
      <w:lvlJc w:val="left"/>
      <w:pPr>
        <w:ind w:left="720" w:hanging="360"/>
      </w:pPr>
      <w:rPr>
        <w:rFonts w:ascii="Symbol" w:eastAsia="Times New Roman" w:hAnsi="Symbol"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CA1"/>
    <w:rsid w:val="00000FA9"/>
    <w:rsid w:val="00002D07"/>
    <w:rsid w:val="00004454"/>
    <w:rsid w:val="000048FC"/>
    <w:rsid w:val="00004AC0"/>
    <w:rsid w:val="00004B9B"/>
    <w:rsid w:val="00005029"/>
    <w:rsid w:val="000056D2"/>
    <w:rsid w:val="0000644B"/>
    <w:rsid w:val="00006DA0"/>
    <w:rsid w:val="00007474"/>
    <w:rsid w:val="000078BA"/>
    <w:rsid w:val="00007C56"/>
    <w:rsid w:val="0001043E"/>
    <w:rsid w:val="00011616"/>
    <w:rsid w:val="00011B22"/>
    <w:rsid w:val="000133B8"/>
    <w:rsid w:val="00013FDF"/>
    <w:rsid w:val="000158D3"/>
    <w:rsid w:val="000169B2"/>
    <w:rsid w:val="00017902"/>
    <w:rsid w:val="00017C27"/>
    <w:rsid w:val="00021094"/>
    <w:rsid w:val="00022755"/>
    <w:rsid w:val="00023697"/>
    <w:rsid w:val="00023B4D"/>
    <w:rsid w:val="00023CD3"/>
    <w:rsid w:val="000248CE"/>
    <w:rsid w:val="00024AE3"/>
    <w:rsid w:val="000250DB"/>
    <w:rsid w:val="000255DE"/>
    <w:rsid w:val="000258CC"/>
    <w:rsid w:val="00026491"/>
    <w:rsid w:val="0002717D"/>
    <w:rsid w:val="000274E8"/>
    <w:rsid w:val="00030254"/>
    <w:rsid w:val="000308BA"/>
    <w:rsid w:val="00030E54"/>
    <w:rsid w:val="000325DF"/>
    <w:rsid w:val="000330FF"/>
    <w:rsid w:val="000335C6"/>
    <w:rsid w:val="000338C6"/>
    <w:rsid w:val="00033DF2"/>
    <w:rsid w:val="00034553"/>
    <w:rsid w:val="0003686A"/>
    <w:rsid w:val="00036CD1"/>
    <w:rsid w:val="00040050"/>
    <w:rsid w:val="00040069"/>
    <w:rsid w:val="0004094C"/>
    <w:rsid w:val="00040CE7"/>
    <w:rsid w:val="0004164D"/>
    <w:rsid w:val="00041E72"/>
    <w:rsid w:val="00042038"/>
    <w:rsid w:val="000426FF"/>
    <w:rsid w:val="000435F4"/>
    <w:rsid w:val="000446AA"/>
    <w:rsid w:val="00044D25"/>
    <w:rsid w:val="00044FEB"/>
    <w:rsid w:val="0004543C"/>
    <w:rsid w:val="00047368"/>
    <w:rsid w:val="0004747C"/>
    <w:rsid w:val="00047BCD"/>
    <w:rsid w:val="0005198B"/>
    <w:rsid w:val="00051A5A"/>
    <w:rsid w:val="00052219"/>
    <w:rsid w:val="00052BF9"/>
    <w:rsid w:val="0005392E"/>
    <w:rsid w:val="00055DBF"/>
    <w:rsid w:val="00056D81"/>
    <w:rsid w:val="0005740E"/>
    <w:rsid w:val="000576AB"/>
    <w:rsid w:val="00057D21"/>
    <w:rsid w:val="00060B3D"/>
    <w:rsid w:val="00061A70"/>
    <w:rsid w:val="000620AB"/>
    <w:rsid w:val="000622FE"/>
    <w:rsid w:val="00063BA9"/>
    <w:rsid w:val="0006524B"/>
    <w:rsid w:val="000666CF"/>
    <w:rsid w:val="00066B19"/>
    <w:rsid w:val="00067171"/>
    <w:rsid w:val="000706B0"/>
    <w:rsid w:val="000714AB"/>
    <w:rsid w:val="00072220"/>
    <w:rsid w:val="00074B77"/>
    <w:rsid w:val="00075147"/>
    <w:rsid w:val="000753BA"/>
    <w:rsid w:val="00075703"/>
    <w:rsid w:val="00076336"/>
    <w:rsid w:val="0008025B"/>
    <w:rsid w:val="000805E0"/>
    <w:rsid w:val="00080B02"/>
    <w:rsid w:val="00081849"/>
    <w:rsid w:val="00081FB5"/>
    <w:rsid w:val="000822EC"/>
    <w:rsid w:val="000830CB"/>
    <w:rsid w:val="00083DA3"/>
    <w:rsid w:val="00083F2D"/>
    <w:rsid w:val="0008406F"/>
    <w:rsid w:val="000843BA"/>
    <w:rsid w:val="00084915"/>
    <w:rsid w:val="000853C1"/>
    <w:rsid w:val="0008552C"/>
    <w:rsid w:val="0008585F"/>
    <w:rsid w:val="00085A1D"/>
    <w:rsid w:val="000860BC"/>
    <w:rsid w:val="0008673F"/>
    <w:rsid w:val="000867D1"/>
    <w:rsid w:val="00086C3C"/>
    <w:rsid w:val="0008D038"/>
    <w:rsid w:val="00091257"/>
    <w:rsid w:val="000913D8"/>
    <w:rsid w:val="00091C80"/>
    <w:rsid w:val="00091CDD"/>
    <w:rsid w:val="00094DF6"/>
    <w:rsid w:val="00094F96"/>
    <w:rsid w:val="00096E5A"/>
    <w:rsid w:val="0009710F"/>
    <w:rsid w:val="000971A7"/>
    <w:rsid w:val="00097388"/>
    <w:rsid w:val="00097953"/>
    <w:rsid w:val="000A1384"/>
    <w:rsid w:val="000A28D4"/>
    <w:rsid w:val="000A2CF3"/>
    <w:rsid w:val="000A36BD"/>
    <w:rsid w:val="000A399E"/>
    <w:rsid w:val="000A3BEC"/>
    <w:rsid w:val="000A50AB"/>
    <w:rsid w:val="000A5F19"/>
    <w:rsid w:val="000A6359"/>
    <w:rsid w:val="000A6844"/>
    <w:rsid w:val="000A7BD1"/>
    <w:rsid w:val="000B10A7"/>
    <w:rsid w:val="000B17D2"/>
    <w:rsid w:val="000B1D32"/>
    <w:rsid w:val="000B1ECB"/>
    <w:rsid w:val="000B22F1"/>
    <w:rsid w:val="000B2575"/>
    <w:rsid w:val="000B33B5"/>
    <w:rsid w:val="000B4301"/>
    <w:rsid w:val="000B4470"/>
    <w:rsid w:val="000B4B88"/>
    <w:rsid w:val="000B4C91"/>
    <w:rsid w:val="000B65CF"/>
    <w:rsid w:val="000B67E6"/>
    <w:rsid w:val="000B7D2D"/>
    <w:rsid w:val="000C0F85"/>
    <w:rsid w:val="000C10D8"/>
    <w:rsid w:val="000C1B9E"/>
    <w:rsid w:val="000C2035"/>
    <w:rsid w:val="000C46EC"/>
    <w:rsid w:val="000C4D8F"/>
    <w:rsid w:val="000C61FD"/>
    <w:rsid w:val="000C6588"/>
    <w:rsid w:val="000C73E9"/>
    <w:rsid w:val="000C79D7"/>
    <w:rsid w:val="000D009D"/>
    <w:rsid w:val="000D00A7"/>
    <w:rsid w:val="000D0314"/>
    <w:rsid w:val="000D069D"/>
    <w:rsid w:val="000D07CF"/>
    <w:rsid w:val="000D07EF"/>
    <w:rsid w:val="000D0E11"/>
    <w:rsid w:val="000D2685"/>
    <w:rsid w:val="000D2D9B"/>
    <w:rsid w:val="000D4BFE"/>
    <w:rsid w:val="000D53A3"/>
    <w:rsid w:val="000D53A5"/>
    <w:rsid w:val="000D5F05"/>
    <w:rsid w:val="000D7F7A"/>
    <w:rsid w:val="000E0CE0"/>
    <w:rsid w:val="000E0D2A"/>
    <w:rsid w:val="000E1866"/>
    <w:rsid w:val="000E18C5"/>
    <w:rsid w:val="000E2992"/>
    <w:rsid w:val="000E2BF6"/>
    <w:rsid w:val="000E2EEB"/>
    <w:rsid w:val="000E334C"/>
    <w:rsid w:val="000E3383"/>
    <w:rsid w:val="000E3911"/>
    <w:rsid w:val="000E39CC"/>
    <w:rsid w:val="000E527F"/>
    <w:rsid w:val="000E568C"/>
    <w:rsid w:val="000E56FA"/>
    <w:rsid w:val="000F0FC3"/>
    <w:rsid w:val="000F13A5"/>
    <w:rsid w:val="000F1882"/>
    <w:rsid w:val="000F1AC3"/>
    <w:rsid w:val="000F23D9"/>
    <w:rsid w:val="000F4E0A"/>
    <w:rsid w:val="000F541A"/>
    <w:rsid w:val="000F5682"/>
    <w:rsid w:val="000F6394"/>
    <w:rsid w:val="000F6493"/>
    <w:rsid w:val="000F67BF"/>
    <w:rsid w:val="001017F2"/>
    <w:rsid w:val="00102FD6"/>
    <w:rsid w:val="00103B84"/>
    <w:rsid w:val="00103DE7"/>
    <w:rsid w:val="001040E2"/>
    <w:rsid w:val="0010493E"/>
    <w:rsid w:val="0010505F"/>
    <w:rsid w:val="001056C6"/>
    <w:rsid w:val="001056E6"/>
    <w:rsid w:val="00105986"/>
    <w:rsid w:val="00105FF9"/>
    <w:rsid w:val="001060E2"/>
    <w:rsid w:val="00106C4A"/>
    <w:rsid w:val="00107DE5"/>
    <w:rsid w:val="001117A1"/>
    <w:rsid w:val="00111877"/>
    <w:rsid w:val="00111DB5"/>
    <w:rsid w:val="001134FA"/>
    <w:rsid w:val="001139F5"/>
    <w:rsid w:val="00114427"/>
    <w:rsid w:val="00114AD9"/>
    <w:rsid w:val="001161E9"/>
    <w:rsid w:val="001163AE"/>
    <w:rsid w:val="00116603"/>
    <w:rsid w:val="001166FF"/>
    <w:rsid w:val="00116CD6"/>
    <w:rsid w:val="00116D74"/>
    <w:rsid w:val="00116F4A"/>
    <w:rsid w:val="00116F99"/>
    <w:rsid w:val="0011726A"/>
    <w:rsid w:val="00117346"/>
    <w:rsid w:val="00120352"/>
    <w:rsid w:val="0012112A"/>
    <w:rsid w:val="00121235"/>
    <w:rsid w:val="0012239B"/>
    <w:rsid w:val="00122EDE"/>
    <w:rsid w:val="00123305"/>
    <w:rsid w:val="00124A3A"/>
    <w:rsid w:val="00124E3C"/>
    <w:rsid w:val="00124E40"/>
    <w:rsid w:val="00125220"/>
    <w:rsid w:val="00127067"/>
    <w:rsid w:val="00127C6A"/>
    <w:rsid w:val="00127D2C"/>
    <w:rsid w:val="0013010D"/>
    <w:rsid w:val="00130770"/>
    <w:rsid w:val="00130B42"/>
    <w:rsid w:val="00131B78"/>
    <w:rsid w:val="0013291B"/>
    <w:rsid w:val="001337D9"/>
    <w:rsid w:val="00133A9B"/>
    <w:rsid w:val="00133BE9"/>
    <w:rsid w:val="00134A3A"/>
    <w:rsid w:val="00135089"/>
    <w:rsid w:val="00135AD3"/>
    <w:rsid w:val="00136145"/>
    <w:rsid w:val="0013639B"/>
    <w:rsid w:val="00136BCB"/>
    <w:rsid w:val="00136F63"/>
    <w:rsid w:val="00137CF5"/>
    <w:rsid w:val="001406B6"/>
    <w:rsid w:val="0014089F"/>
    <w:rsid w:val="0014255D"/>
    <w:rsid w:val="00142808"/>
    <w:rsid w:val="0014330E"/>
    <w:rsid w:val="0014367E"/>
    <w:rsid w:val="0014372A"/>
    <w:rsid w:val="00144CAC"/>
    <w:rsid w:val="0014573E"/>
    <w:rsid w:val="0014710A"/>
    <w:rsid w:val="00147F7B"/>
    <w:rsid w:val="00151006"/>
    <w:rsid w:val="0015193D"/>
    <w:rsid w:val="00153ECD"/>
    <w:rsid w:val="00153F59"/>
    <w:rsid w:val="0015435A"/>
    <w:rsid w:val="00154921"/>
    <w:rsid w:val="00155D01"/>
    <w:rsid w:val="00156508"/>
    <w:rsid w:val="001578D3"/>
    <w:rsid w:val="00157A1D"/>
    <w:rsid w:val="00157BA8"/>
    <w:rsid w:val="001607E8"/>
    <w:rsid w:val="00160FC5"/>
    <w:rsid w:val="001620FE"/>
    <w:rsid w:val="00163421"/>
    <w:rsid w:val="0016408E"/>
    <w:rsid w:val="001647BB"/>
    <w:rsid w:val="001648A7"/>
    <w:rsid w:val="00164978"/>
    <w:rsid w:val="001659A1"/>
    <w:rsid w:val="0016655F"/>
    <w:rsid w:val="00166576"/>
    <w:rsid w:val="001667A4"/>
    <w:rsid w:val="00166CD7"/>
    <w:rsid w:val="00167A22"/>
    <w:rsid w:val="001716C3"/>
    <w:rsid w:val="0017254B"/>
    <w:rsid w:val="00172D6D"/>
    <w:rsid w:val="00173B20"/>
    <w:rsid w:val="00174437"/>
    <w:rsid w:val="001767C7"/>
    <w:rsid w:val="001776FB"/>
    <w:rsid w:val="0018183F"/>
    <w:rsid w:val="00181900"/>
    <w:rsid w:val="00181A03"/>
    <w:rsid w:val="00181A59"/>
    <w:rsid w:val="00182487"/>
    <w:rsid w:val="0018285C"/>
    <w:rsid w:val="00183283"/>
    <w:rsid w:val="00184B7E"/>
    <w:rsid w:val="001853CC"/>
    <w:rsid w:val="00185A6F"/>
    <w:rsid w:val="001861D1"/>
    <w:rsid w:val="001864F2"/>
    <w:rsid w:val="00186929"/>
    <w:rsid w:val="00186A7B"/>
    <w:rsid w:val="00187528"/>
    <w:rsid w:val="001878FA"/>
    <w:rsid w:val="00187FE9"/>
    <w:rsid w:val="0019090F"/>
    <w:rsid w:val="00190C4D"/>
    <w:rsid w:val="00190F7D"/>
    <w:rsid w:val="001918FD"/>
    <w:rsid w:val="00191CA2"/>
    <w:rsid w:val="00193377"/>
    <w:rsid w:val="0019470C"/>
    <w:rsid w:val="00195E52"/>
    <w:rsid w:val="001963FE"/>
    <w:rsid w:val="00196C15"/>
    <w:rsid w:val="00197416"/>
    <w:rsid w:val="001A00E4"/>
    <w:rsid w:val="001A2DB5"/>
    <w:rsid w:val="001A2DCD"/>
    <w:rsid w:val="001A3845"/>
    <w:rsid w:val="001A3B40"/>
    <w:rsid w:val="001A3C1B"/>
    <w:rsid w:val="001A3E17"/>
    <w:rsid w:val="001A4515"/>
    <w:rsid w:val="001A4825"/>
    <w:rsid w:val="001A53C5"/>
    <w:rsid w:val="001A61D5"/>
    <w:rsid w:val="001A6780"/>
    <w:rsid w:val="001A6D56"/>
    <w:rsid w:val="001A6FD6"/>
    <w:rsid w:val="001A7171"/>
    <w:rsid w:val="001A7455"/>
    <w:rsid w:val="001A777D"/>
    <w:rsid w:val="001A7C1E"/>
    <w:rsid w:val="001B02DF"/>
    <w:rsid w:val="001B0711"/>
    <w:rsid w:val="001B084D"/>
    <w:rsid w:val="001B0FB0"/>
    <w:rsid w:val="001B22F2"/>
    <w:rsid w:val="001B27B2"/>
    <w:rsid w:val="001B365A"/>
    <w:rsid w:val="001B37A8"/>
    <w:rsid w:val="001B3C73"/>
    <w:rsid w:val="001B5F33"/>
    <w:rsid w:val="001C03DE"/>
    <w:rsid w:val="001C1B75"/>
    <w:rsid w:val="001C223A"/>
    <w:rsid w:val="001C3962"/>
    <w:rsid w:val="001C417B"/>
    <w:rsid w:val="001C4DB3"/>
    <w:rsid w:val="001C5EAF"/>
    <w:rsid w:val="001C6A07"/>
    <w:rsid w:val="001C7C32"/>
    <w:rsid w:val="001D13B6"/>
    <w:rsid w:val="001D1BB6"/>
    <w:rsid w:val="001D4769"/>
    <w:rsid w:val="001D6081"/>
    <w:rsid w:val="001D69AF"/>
    <w:rsid w:val="001D6D5B"/>
    <w:rsid w:val="001D7B4E"/>
    <w:rsid w:val="001E07E4"/>
    <w:rsid w:val="001E1A87"/>
    <w:rsid w:val="001E248F"/>
    <w:rsid w:val="001E3CE4"/>
    <w:rsid w:val="001E4244"/>
    <w:rsid w:val="001E6537"/>
    <w:rsid w:val="001E6ABD"/>
    <w:rsid w:val="001F0135"/>
    <w:rsid w:val="001F13DB"/>
    <w:rsid w:val="001F1C7E"/>
    <w:rsid w:val="001F2025"/>
    <w:rsid w:val="001F20FB"/>
    <w:rsid w:val="001F2446"/>
    <w:rsid w:val="001F36D0"/>
    <w:rsid w:val="001F3730"/>
    <w:rsid w:val="001F3C2A"/>
    <w:rsid w:val="001F5949"/>
    <w:rsid w:val="001F5DC4"/>
    <w:rsid w:val="001F6F87"/>
    <w:rsid w:val="001F74FA"/>
    <w:rsid w:val="001F7CB7"/>
    <w:rsid w:val="002014B7"/>
    <w:rsid w:val="002018DE"/>
    <w:rsid w:val="00202AB1"/>
    <w:rsid w:val="00202EAD"/>
    <w:rsid w:val="00203FF1"/>
    <w:rsid w:val="00204086"/>
    <w:rsid w:val="0020479A"/>
    <w:rsid w:val="00204EA3"/>
    <w:rsid w:val="00205566"/>
    <w:rsid w:val="00206284"/>
    <w:rsid w:val="00207DB1"/>
    <w:rsid w:val="00207E10"/>
    <w:rsid w:val="002103C8"/>
    <w:rsid w:val="002111D3"/>
    <w:rsid w:val="002116AC"/>
    <w:rsid w:val="00211B41"/>
    <w:rsid w:val="00212483"/>
    <w:rsid w:val="002127F5"/>
    <w:rsid w:val="00212B47"/>
    <w:rsid w:val="002139AD"/>
    <w:rsid w:val="002139ED"/>
    <w:rsid w:val="00213B49"/>
    <w:rsid w:val="00213DD5"/>
    <w:rsid w:val="00214BCC"/>
    <w:rsid w:val="00215ACC"/>
    <w:rsid w:val="00216207"/>
    <w:rsid w:val="00217685"/>
    <w:rsid w:val="00217C92"/>
    <w:rsid w:val="002213E0"/>
    <w:rsid w:val="00221CC9"/>
    <w:rsid w:val="002226E2"/>
    <w:rsid w:val="00223374"/>
    <w:rsid w:val="00223947"/>
    <w:rsid w:val="00224F2A"/>
    <w:rsid w:val="0022541B"/>
    <w:rsid w:val="0022642B"/>
    <w:rsid w:val="00226B3D"/>
    <w:rsid w:val="00226F07"/>
    <w:rsid w:val="00227432"/>
    <w:rsid w:val="00227E8B"/>
    <w:rsid w:val="002301AD"/>
    <w:rsid w:val="00230965"/>
    <w:rsid w:val="00230BE5"/>
    <w:rsid w:val="00231A9A"/>
    <w:rsid w:val="00231EDD"/>
    <w:rsid w:val="00232F11"/>
    <w:rsid w:val="002330DA"/>
    <w:rsid w:val="0023386A"/>
    <w:rsid w:val="00234249"/>
    <w:rsid w:val="0023434A"/>
    <w:rsid w:val="00234DF5"/>
    <w:rsid w:val="002354DE"/>
    <w:rsid w:val="0023574F"/>
    <w:rsid w:val="00235A11"/>
    <w:rsid w:val="002363B0"/>
    <w:rsid w:val="002373EF"/>
    <w:rsid w:val="00237B24"/>
    <w:rsid w:val="00237E88"/>
    <w:rsid w:val="00240086"/>
    <w:rsid w:val="002415E2"/>
    <w:rsid w:val="00243140"/>
    <w:rsid w:val="002431C2"/>
    <w:rsid w:val="00243730"/>
    <w:rsid w:val="00243EBD"/>
    <w:rsid w:val="00243FC0"/>
    <w:rsid w:val="00245947"/>
    <w:rsid w:val="00245B26"/>
    <w:rsid w:val="00246894"/>
    <w:rsid w:val="00247042"/>
    <w:rsid w:val="002477AD"/>
    <w:rsid w:val="00247D75"/>
    <w:rsid w:val="00247EEA"/>
    <w:rsid w:val="002503DD"/>
    <w:rsid w:val="00250ADD"/>
    <w:rsid w:val="00251939"/>
    <w:rsid w:val="002522CD"/>
    <w:rsid w:val="00252720"/>
    <w:rsid w:val="00252903"/>
    <w:rsid w:val="002529E5"/>
    <w:rsid w:val="00252C1C"/>
    <w:rsid w:val="00252E2F"/>
    <w:rsid w:val="00253294"/>
    <w:rsid w:val="002532F4"/>
    <w:rsid w:val="00254012"/>
    <w:rsid w:val="002547B6"/>
    <w:rsid w:val="00255F12"/>
    <w:rsid w:val="002560AC"/>
    <w:rsid w:val="002568FC"/>
    <w:rsid w:val="00257179"/>
    <w:rsid w:val="00257575"/>
    <w:rsid w:val="00260529"/>
    <w:rsid w:val="0026054D"/>
    <w:rsid w:val="00261118"/>
    <w:rsid w:val="00261C70"/>
    <w:rsid w:val="00261FC0"/>
    <w:rsid w:val="002629F1"/>
    <w:rsid w:val="00263871"/>
    <w:rsid w:val="00263F6C"/>
    <w:rsid w:val="0026505A"/>
    <w:rsid w:val="00265402"/>
    <w:rsid w:val="00265595"/>
    <w:rsid w:val="0026631E"/>
    <w:rsid w:val="0026657E"/>
    <w:rsid w:val="00266876"/>
    <w:rsid w:val="002668E5"/>
    <w:rsid w:val="0026691E"/>
    <w:rsid w:val="00267F97"/>
    <w:rsid w:val="00270033"/>
    <w:rsid w:val="0027060E"/>
    <w:rsid w:val="00270985"/>
    <w:rsid w:val="00270B48"/>
    <w:rsid w:val="00270EEA"/>
    <w:rsid w:val="002715C9"/>
    <w:rsid w:val="0027166C"/>
    <w:rsid w:val="00272382"/>
    <w:rsid w:val="002725BF"/>
    <w:rsid w:val="00275A5F"/>
    <w:rsid w:val="0027601D"/>
    <w:rsid w:val="0027693A"/>
    <w:rsid w:val="00276B4E"/>
    <w:rsid w:val="0028042F"/>
    <w:rsid w:val="00281B2B"/>
    <w:rsid w:val="0028224C"/>
    <w:rsid w:val="002823B0"/>
    <w:rsid w:val="0028244F"/>
    <w:rsid w:val="002826CD"/>
    <w:rsid w:val="00282BA2"/>
    <w:rsid w:val="00283664"/>
    <w:rsid w:val="00283AFC"/>
    <w:rsid w:val="00283DC4"/>
    <w:rsid w:val="00284017"/>
    <w:rsid w:val="002851D6"/>
    <w:rsid w:val="00285475"/>
    <w:rsid w:val="00285D42"/>
    <w:rsid w:val="00286DF3"/>
    <w:rsid w:val="00287D6E"/>
    <w:rsid w:val="0029035A"/>
    <w:rsid w:val="00290540"/>
    <w:rsid w:val="002905D3"/>
    <w:rsid w:val="002910D9"/>
    <w:rsid w:val="00291622"/>
    <w:rsid w:val="00291C52"/>
    <w:rsid w:val="00293021"/>
    <w:rsid w:val="0029388C"/>
    <w:rsid w:val="00294DCF"/>
    <w:rsid w:val="0029540B"/>
    <w:rsid w:val="0029553D"/>
    <w:rsid w:val="002959F0"/>
    <w:rsid w:val="00295E49"/>
    <w:rsid w:val="002964C2"/>
    <w:rsid w:val="0029667B"/>
    <w:rsid w:val="00296B82"/>
    <w:rsid w:val="002974B3"/>
    <w:rsid w:val="0029756E"/>
    <w:rsid w:val="00297B9F"/>
    <w:rsid w:val="002A0266"/>
    <w:rsid w:val="002A02B9"/>
    <w:rsid w:val="002A2019"/>
    <w:rsid w:val="002A349B"/>
    <w:rsid w:val="002A3B90"/>
    <w:rsid w:val="002A3DA5"/>
    <w:rsid w:val="002A3EC1"/>
    <w:rsid w:val="002A441F"/>
    <w:rsid w:val="002A4C19"/>
    <w:rsid w:val="002A5731"/>
    <w:rsid w:val="002A5D23"/>
    <w:rsid w:val="002A5F50"/>
    <w:rsid w:val="002A607B"/>
    <w:rsid w:val="002A6643"/>
    <w:rsid w:val="002A7327"/>
    <w:rsid w:val="002B02DF"/>
    <w:rsid w:val="002B0C8A"/>
    <w:rsid w:val="002B0DD5"/>
    <w:rsid w:val="002B127E"/>
    <w:rsid w:val="002B175D"/>
    <w:rsid w:val="002B17C3"/>
    <w:rsid w:val="002B2B06"/>
    <w:rsid w:val="002B2F41"/>
    <w:rsid w:val="002B4F6D"/>
    <w:rsid w:val="002B545A"/>
    <w:rsid w:val="002B68E6"/>
    <w:rsid w:val="002B7094"/>
    <w:rsid w:val="002C0273"/>
    <w:rsid w:val="002C0486"/>
    <w:rsid w:val="002C0F03"/>
    <w:rsid w:val="002C2480"/>
    <w:rsid w:val="002C3BE2"/>
    <w:rsid w:val="002C477E"/>
    <w:rsid w:val="002C47EB"/>
    <w:rsid w:val="002C52FC"/>
    <w:rsid w:val="002C5886"/>
    <w:rsid w:val="002C58FD"/>
    <w:rsid w:val="002C5BCC"/>
    <w:rsid w:val="002C6805"/>
    <w:rsid w:val="002C7A64"/>
    <w:rsid w:val="002D2562"/>
    <w:rsid w:val="002D2696"/>
    <w:rsid w:val="002D4427"/>
    <w:rsid w:val="002D4E42"/>
    <w:rsid w:val="002D556D"/>
    <w:rsid w:val="002D5B65"/>
    <w:rsid w:val="002D66BE"/>
    <w:rsid w:val="002D6931"/>
    <w:rsid w:val="002D7216"/>
    <w:rsid w:val="002D7C54"/>
    <w:rsid w:val="002D7F9D"/>
    <w:rsid w:val="002E002A"/>
    <w:rsid w:val="002E013B"/>
    <w:rsid w:val="002E0829"/>
    <w:rsid w:val="002E094C"/>
    <w:rsid w:val="002E0F8C"/>
    <w:rsid w:val="002E200E"/>
    <w:rsid w:val="002E32A3"/>
    <w:rsid w:val="002E33ED"/>
    <w:rsid w:val="002E343D"/>
    <w:rsid w:val="002E46D6"/>
    <w:rsid w:val="002E530B"/>
    <w:rsid w:val="002E54E9"/>
    <w:rsid w:val="002E5510"/>
    <w:rsid w:val="002E5D35"/>
    <w:rsid w:val="002E713D"/>
    <w:rsid w:val="002E739F"/>
    <w:rsid w:val="002E73FA"/>
    <w:rsid w:val="002E741C"/>
    <w:rsid w:val="002E7A74"/>
    <w:rsid w:val="002F07A1"/>
    <w:rsid w:val="002F14B0"/>
    <w:rsid w:val="002F181E"/>
    <w:rsid w:val="002F206B"/>
    <w:rsid w:val="002F29B9"/>
    <w:rsid w:val="002F3AE9"/>
    <w:rsid w:val="002F3EB8"/>
    <w:rsid w:val="002F4008"/>
    <w:rsid w:val="002F418F"/>
    <w:rsid w:val="002F4EAB"/>
    <w:rsid w:val="002F5577"/>
    <w:rsid w:val="002F5C7D"/>
    <w:rsid w:val="002F68C6"/>
    <w:rsid w:val="002F7622"/>
    <w:rsid w:val="002F787B"/>
    <w:rsid w:val="002F7B3E"/>
    <w:rsid w:val="00300289"/>
    <w:rsid w:val="00300ABE"/>
    <w:rsid w:val="00301FE2"/>
    <w:rsid w:val="00302582"/>
    <w:rsid w:val="00303D3E"/>
    <w:rsid w:val="003041D3"/>
    <w:rsid w:val="00305F0D"/>
    <w:rsid w:val="003068AE"/>
    <w:rsid w:val="003074AB"/>
    <w:rsid w:val="00307CAE"/>
    <w:rsid w:val="00307D31"/>
    <w:rsid w:val="00310BE1"/>
    <w:rsid w:val="00310D96"/>
    <w:rsid w:val="00310DC4"/>
    <w:rsid w:val="003127E8"/>
    <w:rsid w:val="00312DD3"/>
    <w:rsid w:val="00313609"/>
    <w:rsid w:val="00314216"/>
    <w:rsid w:val="003153BE"/>
    <w:rsid w:val="003156B5"/>
    <w:rsid w:val="003161AC"/>
    <w:rsid w:val="00317648"/>
    <w:rsid w:val="00321671"/>
    <w:rsid w:val="00321B12"/>
    <w:rsid w:val="00321FD6"/>
    <w:rsid w:val="003220DF"/>
    <w:rsid w:val="003221E9"/>
    <w:rsid w:val="00322CDA"/>
    <w:rsid w:val="003247E4"/>
    <w:rsid w:val="0032636C"/>
    <w:rsid w:val="0033093F"/>
    <w:rsid w:val="00330E74"/>
    <w:rsid w:val="0033107B"/>
    <w:rsid w:val="0033117F"/>
    <w:rsid w:val="0033132B"/>
    <w:rsid w:val="00331506"/>
    <w:rsid w:val="003316B2"/>
    <w:rsid w:val="00331E0E"/>
    <w:rsid w:val="0033312D"/>
    <w:rsid w:val="00334147"/>
    <w:rsid w:val="00334742"/>
    <w:rsid w:val="00334BEE"/>
    <w:rsid w:val="00336772"/>
    <w:rsid w:val="00336B5C"/>
    <w:rsid w:val="00337AAD"/>
    <w:rsid w:val="00337DEF"/>
    <w:rsid w:val="003402E4"/>
    <w:rsid w:val="00340D8C"/>
    <w:rsid w:val="00342304"/>
    <w:rsid w:val="00342B01"/>
    <w:rsid w:val="00342CF1"/>
    <w:rsid w:val="00344A6A"/>
    <w:rsid w:val="00345FAF"/>
    <w:rsid w:val="00346466"/>
    <w:rsid w:val="003473DA"/>
    <w:rsid w:val="003513C5"/>
    <w:rsid w:val="0035213C"/>
    <w:rsid w:val="00353467"/>
    <w:rsid w:val="003539C0"/>
    <w:rsid w:val="0035410B"/>
    <w:rsid w:val="003551CF"/>
    <w:rsid w:val="003558A3"/>
    <w:rsid w:val="003558D0"/>
    <w:rsid w:val="0035667C"/>
    <w:rsid w:val="003566E1"/>
    <w:rsid w:val="00357E16"/>
    <w:rsid w:val="003608A1"/>
    <w:rsid w:val="00361749"/>
    <w:rsid w:val="00361864"/>
    <w:rsid w:val="00361AC2"/>
    <w:rsid w:val="00362336"/>
    <w:rsid w:val="00362629"/>
    <w:rsid w:val="0036380D"/>
    <w:rsid w:val="00365971"/>
    <w:rsid w:val="00365AF2"/>
    <w:rsid w:val="00366E37"/>
    <w:rsid w:val="00366EFC"/>
    <w:rsid w:val="00370FBB"/>
    <w:rsid w:val="00371BF0"/>
    <w:rsid w:val="00372051"/>
    <w:rsid w:val="00372EED"/>
    <w:rsid w:val="0037316A"/>
    <w:rsid w:val="003748DF"/>
    <w:rsid w:val="0037506E"/>
    <w:rsid w:val="003752AC"/>
    <w:rsid w:val="00375327"/>
    <w:rsid w:val="00375B82"/>
    <w:rsid w:val="0037653B"/>
    <w:rsid w:val="003766C6"/>
    <w:rsid w:val="0038117B"/>
    <w:rsid w:val="003813B2"/>
    <w:rsid w:val="00381DD4"/>
    <w:rsid w:val="00381EF7"/>
    <w:rsid w:val="003820C2"/>
    <w:rsid w:val="003827CF"/>
    <w:rsid w:val="00382955"/>
    <w:rsid w:val="00382DFD"/>
    <w:rsid w:val="00382EA6"/>
    <w:rsid w:val="00382EED"/>
    <w:rsid w:val="003835FC"/>
    <w:rsid w:val="00383DAC"/>
    <w:rsid w:val="003857D3"/>
    <w:rsid w:val="00385AD1"/>
    <w:rsid w:val="00385EBF"/>
    <w:rsid w:val="00385EEA"/>
    <w:rsid w:val="00387CD6"/>
    <w:rsid w:val="003903CA"/>
    <w:rsid w:val="0039090E"/>
    <w:rsid w:val="00394D61"/>
    <w:rsid w:val="00395A7C"/>
    <w:rsid w:val="00395EF8"/>
    <w:rsid w:val="0039661C"/>
    <w:rsid w:val="00396B11"/>
    <w:rsid w:val="00396F51"/>
    <w:rsid w:val="00397DCC"/>
    <w:rsid w:val="00397E90"/>
    <w:rsid w:val="00397FE1"/>
    <w:rsid w:val="0039DC2E"/>
    <w:rsid w:val="003A0D62"/>
    <w:rsid w:val="003A1906"/>
    <w:rsid w:val="003A2C97"/>
    <w:rsid w:val="003A3118"/>
    <w:rsid w:val="003A345D"/>
    <w:rsid w:val="003A50A0"/>
    <w:rsid w:val="003A5F96"/>
    <w:rsid w:val="003A68D7"/>
    <w:rsid w:val="003A6E44"/>
    <w:rsid w:val="003A75E4"/>
    <w:rsid w:val="003A765A"/>
    <w:rsid w:val="003A7836"/>
    <w:rsid w:val="003A7FB5"/>
    <w:rsid w:val="003AC868"/>
    <w:rsid w:val="003B0998"/>
    <w:rsid w:val="003B106A"/>
    <w:rsid w:val="003B11B6"/>
    <w:rsid w:val="003B157D"/>
    <w:rsid w:val="003B1862"/>
    <w:rsid w:val="003B491A"/>
    <w:rsid w:val="003B4ECF"/>
    <w:rsid w:val="003B62E2"/>
    <w:rsid w:val="003B6625"/>
    <w:rsid w:val="003B68D1"/>
    <w:rsid w:val="003B6994"/>
    <w:rsid w:val="003B6E27"/>
    <w:rsid w:val="003B6EA3"/>
    <w:rsid w:val="003B73FB"/>
    <w:rsid w:val="003B799E"/>
    <w:rsid w:val="003B7C34"/>
    <w:rsid w:val="003B7CC9"/>
    <w:rsid w:val="003C0533"/>
    <w:rsid w:val="003C1ABB"/>
    <w:rsid w:val="003C1B45"/>
    <w:rsid w:val="003C25E9"/>
    <w:rsid w:val="003C2A10"/>
    <w:rsid w:val="003C4FA4"/>
    <w:rsid w:val="003C6760"/>
    <w:rsid w:val="003C67BA"/>
    <w:rsid w:val="003C6875"/>
    <w:rsid w:val="003C706B"/>
    <w:rsid w:val="003C7AFE"/>
    <w:rsid w:val="003D01A0"/>
    <w:rsid w:val="003D0F08"/>
    <w:rsid w:val="003D2F1A"/>
    <w:rsid w:val="003D2F1B"/>
    <w:rsid w:val="003D3A83"/>
    <w:rsid w:val="003D3B74"/>
    <w:rsid w:val="003D464C"/>
    <w:rsid w:val="003D4E90"/>
    <w:rsid w:val="003D4EEA"/>
    <w:rsid w:val="003D50C1"/>
    <w:rsid w:val="003D55C2"/>
    <w:rsid w:val="003D6A45"/>
    <w:rsid w:val="003D6BA9"/>
    <w:rsid w:val="003D78F7"/>
    <w:rsid w:val="003D79ED"/>
    <w:rsid w:val="003E09F3"/>
    <w:rsid w:val="003E1415"/>
    <w:rsid w:val="003E1842"/>
    <w:rsid w:val="003E1A27"/>
    <w:rsid w:val="003E296E"/>
    <w:rsid w:val="003E2E7C"/>
    <w:rsid w:val="003E357E"/>
    <w:rsid w:val="003E413D"/>
    <w:rsid w:val="003E64BD"/>
    <w:rsid w:val="003E6673"/>
    <w:rsid w:val="003E6BD0"/>
    <w:rsid w:val="003F007F"/>
    <w:rsid w:val="003F0741"/>
    <w:rsid w:val="003F0787"/>
    <w:rsid w:val="003F0A63"/>
    <w:rsid w:val="003F0B95"/>
    <w:rsid w:val="003F0FE2"/>
    <w:rsid w:val="003F1031"/>
    <w:rsid w:val="003F1551"/>
    <w:rsid w:val="003F1897"/>
    <w:rsid w:val="003F1BAF"/>
    <w:rsid w:val="003F2659"/>
    <w:rsid w:val="003F2A25"/>
    <w:rsid w:val="003F2D7E"/>
    <w:rsid w:val="003F32D4"/>
    <w:rsid w:val="003F35A6"/>
    <w:rsid w:val="003F3DA1"/>
    <w:rsid w:val="003F4EAC"/>
    <w:rsid w:val="003F64B9"/>
    <w:rsid w:val="003F7E28"/>
    <w:rsid w:val="0040004F"/>
    <w:rsid w:val="00400455"/>
    <w:rsid w:val="00401125"/>
    <w:rsid w:val="00401564"/>
    <w:rsid w:val="0040226B"/>
    <w:rsid w:val="004025C6"/>
    <w:rsid w:val="00403A02"/>
    <w:rsid w:val="004046C8"/>
    <w:rsid w:val="00404BDB"/>
    <w:rsid w:val="00404C4B"/>
    <w:rsid w:val="00404F46"/>
    <w:rsid w:val="004051AE"/>
    <w:rsid w:val="00405435"/>
    <w:rsid w:val="004073A4"/>
    <w:rsid w:val="004100BB"/>
    <w:rsid w:val="0041023E"/>
    <w:rsid w:val="0041044E"/>
    <w:rsid w:val="00410963"/>
    <w:rsid w:val="00411662"/>
    <w:rsid w:val="00411C05"/>
    <w:rsid w:val="0041285C"/>
    <w:rsid w:val="00412A91"/>
    <w:rsid w:val="0041304A"/>
    <w:rsid w:val="004134AC"/>
    <w:rsid w:val="00413DAF"/>
    <w:rsid w:val="0041501C"/>
    <w:rsid w:val="004150EC"/>
    <w:rsid w:val="00415B77"/>
    <w:rsid w:val="00416729"/>
    <w:rsid w:val="0041675A"/>
    <w:rsid w:val="004176DC"/>
    <w:rsid w:val="00420F7E"/>
    <w:rsid w:val="0042108C"/>
    <w:rsid w:val="00421483"/>
    <w:rsid w:val="0042164B"/>
    <w:rsid w:val="00421689"/>
    <w:rsid w:val="00421999"/>
    <w:rsid w:val="00421E28"/>
    <w:rsid w:val="00421FC8"/>
    <w:rsid w:val="004222FE"/>
    <w:rsid w:val="004224EC"/>
    <w:rsid w:val="004225DE"/>
    <w:rsid w:val="00422BB4"/>
    <w:rsid w:val="00423001"/>
    <w:rsid w:val="0042314A"/>
    <w:rsid w:val="004231DA"/>
    <w:rsid w:val="00423DC5"/>
    <w:rsid w:val="00423E5D"/>
    <w:rsid w:val="00424617"/>
    <w:rsid w:val="004301E1"/>
    <w:rsid w:val="00430AEE"/>
    <w:rsid w:val="00431A16"/>
    <w:rsid w:val="00431B70"/>
    <w:rsid w:val="00431FE8"/>
    <w:rsid w:val="0043280A"/>
    <w:rsid w:val="00433432"/>
    <w:rsid w:val="0043493E"/>
    <w:rsid w:val="00435E50"/>
    <w:rsid w:val="00436BC8"/>
    <w:rsid w:val="00437BE4"/>
    <w:rsid w:val="00440612"/>
    <w:rsid w:val="004425BD"/>
    <w:rsid w:val="004428BD"/>
    <w:rsid w:val="0044388D"/>
    <w:rsid w:val="00444A4B"/>
    <w:rsid w:val="004455B4"/>
    <w:rsid w:val="00445C05"/>
    <w:rsid w:val="00446D0E"/>
    <w:rsid w:val="00447231"/>
    <w:rsid w:val="00450088"/>
    <w:rsid w:val="00450789"/>
    <w:rsid w:val="00450B15"/>
    <w:rsid w:val="00451D7D"/>
    <w:rsid w:val="004526AF"/>
    <w:rsid w:val="0045379B"/>
    <w:rsid w:val="004542E4"/>
    <w:rsid w:val="00455A09"/>
    <w:rsid w:val="00455A56"/>
    <w:rsid w:val="00455C9E"/>
    <w:rsid w:val="00455E91"/>
    <w:rsid w:val="00455FA6"/>
    <w:rsid w:val="00456143"/>
    <w:rsid w:val="00456C36"/>
    <w:rsid w:val="004575FE"/>
    <w:rsid w:val="00457635"/>
    <w:rsid w:val="00460317"/>
    <w:rsid w:val="00460C10"/>
    <w:rsid w:val="0046127D"/>
    <w:rsid w:val="00461487"/>
    <w:rsid w:val="004617F6"/>
    <w:rsid w:val="00461B4E"/>
    <w:rsid w:val="00461DE9"/>
    <w:rsid w:val="00462023"/>
    <w:rsid w:val="00462879"/>
    <w:rsid w:val="0046367C"/>
    <w:rsid w:val="00463B1C"/>
    <w:rsid w:val="00465919"/>
    <w:rsid w:val="00465C22"/>
    <w:rsid w:val="004661B7"/>
    <w:rsid w:val="004662F1"/>
    <w:rsid w:val="00467E52"/>
    <w:rsid w:val="004701CC"/>
    <w:rsid w:val="004703F4"/>
    <w:rsid w:val="00470A12"/>
    <w:rsid w:val="00470E98"/>
    <w:rsid w:val="00471739"/>
    <w:rsid w:val="00471BEC"/>
    <w:rsid w:val="00472BDC"/>
    <w:rsid w:val="0047458B"/>
    <w:rsid w:val="00474B93"/>
    <w:rsid w:val="00474D34"/>
    <w:rsid w:val="004758BC"/>
    <w:rsid w:val="00476923"/>
    <w:rsid w:val="004811E1"/>
    <w:rsid w:val="004812AC"/>
    <w:rsid w:val="00482C39"/>
    <w:rsid w:val="00482E73"/>
    <w:rsid w:val="0048304D"/>
    <w:rsid w:val="00483A79"/>
    <w:rsid w:val="00483D83"/>
    <w:rsid w:val="0048481C"/>
    <w:rsid w:val="00484D54"/>
    <w:rsid w:val="00485590"/>
    <w:rsid w:val="00485653"/>
    <w:rsid w:val="00485D19"/>
    <w:rsid w:val="00487881"/>
    <w:rsid w:val="004909DB"/>
    <w:rsid w:val="00490BFC"/>
    <w:rsid w:val="00492F92"/>
    <w:rsid w:val="004952A8"/>
    <w:rsid w:val="00495467"/>
    <w:rsid w:val="004966A6"/>
    <w:rsid w:val="00497538"/>
    <w:rsid w:val="0049757F"/>
    <w:rsid w:val="004A01CC"/>
    <w:rsid w:val="004A1835"/>
    <w:rsid w:val="004A1896"/>
    <w:rsid w:val="004A1B92"/>
    <w:rsid w:val="004A25F5"/>
    <w:rsid w:val="004A3A07"/>
    <w:rsid w:val="004A4219"/>
    <w:rsid w:val="004A5E90"/>
    <w:rsid w:val="004A6357"/>
    <w:rsid w:val="004A6A3E"/>
    <w:rsid w:val="004A6AD5"/>
    <w:rsid w:val="004A6EC8"/>
    <w:rsid w:val="004A745F"/>
    <w:rsid w:val="004B02A6"/>
    <w:rsid w:val="004B1767"/>
    <w:rsid w:val="004B2CF2"/>
    <w:rsid w:val="004B2DA6"/>
    <w:rsid w:val="004B355F"/>
    <w:rsid w:val="004B3C03"/>
    <w:rsid w:val="004B3DBF"/>
    <w:rsid w:val="004B46A3"/>
    <w:rsid w:val="004B4714"/>
    <w:rsid w:val="004B4859"/>
    <w:rsid w:val="004B55D4"/>
    <w:rsid w:val="004B61F8"/>
    <w:rsid w:val="004B6813"/>
    <w:rsid w:val="004B6BE2"/>
    <w:rsid w:val="004C12F8"/>
    <w:rsid w:val="004C1A61"/>
    <w:rsid w:val="004C23ED"/>
    <w:rsid w:val="004C2898"/>
    <w:rsid w:val="004C3022"/>
    <w:rsid w:val="004C3088"/>
    <w:rsid w:val="004C381B"/>
    <w:rsid w:val="004C39D4"/>
    <w:rsid w:val="004C3C19"/>
    <w:rsid w:val="004C3E22"/>
    <w:rsid w:val="004C3EF4"/>
    <w:rsid w:val="004C434C"/>
    <w:rsid w:val="004C4710"/>
    <w:rsid w:val="004C4C50"/>
    <w:rsid w:val="004C4E23"/>
    <w:rsid w:val="004C5A7F"/>
    <w:rsid w:val="004C616A"/>
    <w:rsid w:val="004C7D22"/>
    <w:rsid w:val="004D035D"/>
    <w:rsid w:val="004D20B4"/>
    <w:rsid w:val="004D26F0"/>
    <w:rsid w:val="004D3273"/>
    <w:rsid w:val="004D3A94"/>
    <w:rsid w:val="004D4B29"/>
    <w:rsid w:val="004D54B1"/>
    <w:rsid w:val="004D61EA"/>
    <w:rsid w:val="004D721C"/>
    <w:rsid w:val="004D776E"/>
    <w:rsid w:val="004D780A"/>
    <w:rsid w:val="004E056B"/>
    <w:rsid w:val="004E0597"/>
    <w:rsid w:val="004E0888"/>
    <w:rsid w:val="004E0D5B"/>
    <w:rsid w:val="004E101E"/>
    <w:rsid w:val="004E2225"/>
    <w:rsid w:val="004E228D"/>
    <w:rsid w:val="004E2562"/>
    <w:rsid w:val="004E280D"/>
    <w:rsid w:val="004E4101"/>
    <w:rsid w:val="004E52DE"/>
    <w:rsid w:val="004E72E6"/>
    <w:rsid w:val="004E7320"/>
    <w:rsid w:val="004E7352"/>
    <w:rsid w:val="004E75FD"/>
    <w:rsid w:val="004E7C8D"/>
    <w:rsid w:val="004F0065"/>
    <w:rsid w:val="004F029F"/>
    <w:rsid w:val="004F03DF"/>
    <w:rsid w:val="004F08D0"/>
    <w:rsid w:val="004F0E29"/>
    <w:rsid w:val="004F186C"/>
    <w:rsid w:val="004F231B"/>
    <w:rsid w:val="004F35E6"/>
    <w:rsid w:val="004F464F"/>
    <w:rsid w:val="005000A9"/>
    <w:rsid w:val="00501064"/>
    <w:rsid w:val="00501610"/>
    <w:rsid w:val="00501B2E"/>
    <w:rsid w:val="00502707"/>
    <w:rsid w:val="00502B55"/>
    <w:rsid w:val="00503D75"/>
    <w:rsid w:val="00503DC4"/>
    <w:rsid w:val="00504025"/>
    <w:rsid w:val="0050478A"/>
    <w:rsid w:val="005047CD"/>
    <w:rsid w:val="00504BE3"/>
    <w:rsid w:val="00505839"/>
    <w:rsid w:val="00506657"/>
    <w:rsid w:val="00506C42"/>
    <w:rsid w:val="00506D5A"/>
    <w:rsid w:val="005106A6"/>
    <w:rsid w:val="00512C31"/>
    <w:rsid w:val="00515AD1"/>
    <w:rsid w:val="00515FEF"/>
    <w:rsid w:val="0051642A"/>
    <w:rsid w:val="00516760"/>
    <w:rsid w:val="00520058"/>
    <w:rsid w:val="00520C8C"/>
    <w:rsid w:val="00522051"/>
    <w:rsid w:val="0052278F"/>
    <w:rsid w:val="00522C8D"/>
    <w:rsid w:val="00523727"/>
    <w:rsid w:val="00523A96"/>
    <w:rsid w:val="0052488F"/>
    <w:rsid w:val="0052565A"/>
    <w:rsid w:val="00526347"/>
    <w:rsid w:val="0052671E"/>
    <w:rsid w:val="0052742A"/>
    <w:rsid w:val="0053006B"/>
    <w:rsid w:val="005305D4"/>
    <w:rsid w:val="0053098F"/>
    <w:rsid w:val="00530D34"/>
    <w:rsid w:val="00531755"/>
    <w:rsid w:val="00531C76"/>
    <w:rsid w:val="005328EE"/>
    <w:rsid w:val="0053333B"/>
    <w:rsid w:val="00533349"/>
    <w:rsid w:val="00533906"/>
    <w:rsid w:val="00534125"/>
    <w:rsid w:val="005345D7"/>
    <w:rsid w:val="00535373"/>
    <w:rsid w:val="00535613"/>
    <w:rsid w:val="00535680"/>
    <w:rsid w:val="0053608F"/>
    <w:rsid w:val="00537273"/>
    <w:rsid w:val="005405AF"/>
    <w:rsid w:val="00540BB6"/>
    <w:rsid w:val="00540F69"/>
    <w:rsid w:val="00541C83"/>
    <w:rsid w:val="00542051"/>
    <w:rsid w:val="0054287F"/>
    <w:rsid w:val="00542C6F"/>
    <w:rsid w:val="00542CAE"/>
    <w:rsid w:val="00543197"/>
    <w:rsid w:val="00543754"/>
    <w:rsid w:val="00544062"/>
    <w:rsid w:val="0054413F"/>
    <w:rsid w:val="00544642"/>
    <w:rsid w:val="00544CA7"/>
    <w:rsid w:val="00545A9C"/>
    <w:rsid w:val="00545CAF"/>
    <w:rsid w:val="00546E27"/>
    <w:rsid w:val="00547726"/>
    <w:rsid w:val="005506A1"/>
    <w:rsid w:val="00550D4C"/>
    <w:rsid w:val="00550DF9"/>
    <w:rsid w:val="00550FD5"/>
    <w:rsid w:val="005518A0"/>
    <w:rsid w:val="00551D77"/>
    <w:rsid w:val="00551F96"/>
    <w:rsid w:val="00552224"/>
    <w:rsid w:val="005537D4"/>
    <w:rsid w:val="00555C0F"/>
    <w:rsid w:val="0055656C"/>
    <w:rsid w:val="00556C32"/>
    <w:rsid w:val="00556EFC"/>
    <w:rsid w:val="00557AB0"/>
    <w:rsid w:val="00557F76"/>
    <w:rsid w:val="005601D8"/>
    <w:rsid w:val="00560CFA"/>
    <w:rsid w:val="00560F27"/>
    <w:rsid w:val="00561412"/>
    <w:rsid w:val="0056186B"/>
    <w:rsid w:val="00562A99"/>
    <w:rsid w:val="005632A7"/>
    <w:rsid w:val="005634EE"/>
    <w:rsid w:val="005638EA"/>
    <w:rsid w:val="005642B3"/>
    <w:rsid w:val="00566176"/>
    <w:rsid w:val="00567B76"/>
    <w:rsid w:val="00570653"/>
    <w:rsid w:val="00571D73"/>
    <w:rsid w:val="00571DE7"/>
    <w:rsid w:val="00572D88"/>
    <w:rsid w:val="00574436"/>
    <w:rsid w:val="00574FF4"/>
    <w:rsid w:val="00575FA4"/>
    <w:rsid w:val="00576069"/>
    <w:rsid w:val="0057641C"/>
    <w:rsid w:val="00576F82"/>
    <w:rsid w:val="00577015"/>
    <w:rsid w:val="00577EBC"/>
    <w:rsid w:val="0058086B"/>
    <w:rsid w:val="005811FA"/>
    <w:rsid w:val="005818F8"/>
    <w:rsid w:val="00581D40"/>
    <w:rsid w:val="00581E4F"/>
    <w:rsid w:val="00582259"/>
    <w:rsid w:val="005827EF"/>
    <w:rsid w:val="00583199"/>
    <w:rsid w:val="00583898"/>
    <w:rsid w:val="00583978"/>
    <w:rsid w:val="00583F69"/>
    <w:rsid w:val="005841FA"/>
    <w:rsid w:val="00584D4D"/>
    <w:rsid w:val="005858B9"/>
    <w:rsid w:val="00587273"/>
    <w:rsid w:val="00587458"/>
    <w:rsid w:val="00587C7F"/>
    <w:rsid w:val="00587D85"/>
    <w:rsid w:val="00587FFD"/>
    <w:rsid w:val="005902DB"/>
    <w:rsid w:val="0059051A"/>
    <w:rsid w:val="00590C44"/>
    <w:rsid w:val="0059144E"/>
    <w:rsid w:val="00592180"/>
    <w:rsid w:val="00592790"/>
    <w:rsid w:val="00592B24"/>
    <w:rsid w:val="00593538"/>
    <w:rsid w:val="00594027"/>
    <w:rsid w:val="00594942"/>
    <w:rsid w:val="00594ABC"/>
    <w:rsid w:val="00595719"/>
    <w:rsid w:val="0059618F"/>
    <w:rsid w:val="00596771"/>
    <w:rsid w:val="005967EB"/>
    <w:rsid w:val="0059762F"/>
    <w:rsid w:val="00597E42"/>
    <w:rsid w:val="005A0453"/>
    <w:rsid w:val="005A2748"/>
    <w:rsid w:val="005A29C6"/>
    <w:rsid w:val="005A2E55"/>
    <w:rsid w:val="005A38E3"/>
    <w:rsid w:val="005A3EA4"/>
    <w:rsid w:val="005A4649"/>
    <w:rsid w:val="005A47C1"/>
    <w:rsid w:val="005A4876"/>
    <w:rsid w:val="005A52B6"/>
    <w:rsid w:val="005A5377"/>
    <w:rsid w:val="005A7534"/>
    <w:rsid w:val="005A7C63"/>
    <w:rsid w:val="005B0540"/>
    <w:rsid w:val="005B1485"/>
    <w:rsid w:val="005B17CE"/>
    <w:rsid w:val="005B1813"/>
    <w:rsid w:val="005B19B9"/>
    <w:rsid w:val="005B1F6D"/>
    <w:rsid w:val="005B1F80"/>
    <w:rsid w:val="005B2429"/>
    <w:rsid w:val="005B273F"/>
    <w:rsid w:val="005B31B2"/>
    <w:rsid w:val="005B3BE6"/>
    <w:rsid w:val="005B3C3D"/>
    <w:rsid w:val="005B43CC"/>
    <w:rsid w:val="005B43EC"/>
    <w:rsid w:val="005B4907"/>
    <w:rsid w:val="005B4C1D"/>
    <w:rsid w:val="005B545C"/>
    <w:rsid w:val="005B658B"/>
    <w:rsid w:val="005B6744"/>
    <w:rsid w:val="005B6761"/>
    <w:rsid w:val="005B686B"/>
    <w:rsid w:val="005B6D17"/>
    <w:rsid w:val="005B7220"/>
    <w:rsid w:val="005B7EF0"/>
    <w:rsid w:val="005C0B3D"/>
    <w:rsid w:val="005C19A4"/>
    <w:rsid w:val="005C19FD"/>
    <w:rsid w:val="005C2380"/>
    <w:rsid w:val="005C25B4"/>
    <w:rsid w:val="005C2807"/>
    <w:rsid w:val="005C37AE"/>
    <w:rsid w:val="005C387F"/>
    <w:rsid w:val="005C470F"/>
    <w:rsid w:val="005C4A10"/>
    <w:rsid w:val="005C4CC3"/>
    <w:rsid w:val="005C601A"/>
    <w:rsid w:val="005C637A"/>
    <w:rsid w:val="005C7684"/>
    <w:rsid w:val="005C776E"/>
    <w:rsid w:val="005C79AE"/>
    <w:rsid w:val="005D15F2"/>
    <w:rsid w:val="005D1B01"/>
    <w:rsid w:val="005D4C76"/>
    <w:rsid w:val="005D5846"/>
    <w:rsid w:val="005D6083"/>
    <w:rsid w:val="005D61F6"/>
    <w:rsid w:val="005D6B17"/>
    <w:rsid w:val="005D724D"/>
    <w:rsid w:val="005D756C"/>
    <w:rsid w:val="005D7771"/>
    <w:rsid w:val="005D78DB"/>
    <w:rsid w:val="005E1C7D"/>
    <w:rsid w:val="005E2447"/>
    <w:rsid w:val="005E28E8"/>
    <w:rsid w:val="005E40BE"/>
    <w:rsid w:val="005E43E3"/>
    <w:rsid w:val="005E5B7E"/>
    <w:rsid w:val="005E5F20"/>
    <w:rsid w:val="005E6A5C"/>
    <w:rsid w:val="005E6E0B"/>
    <w:rsid w:val="005E7A03"/>
    <w:rsid w:val="005E7D37"/>
    <w:rsid w:val="005F0A21"/>
    <w:rsid w:val="005F2591"/>
    <w:rsid w:val="005F2607"/>
    <w:rsid w:val="005F2A96"/>
    <w:rsid w:val="005F2EB1"/>
    <w:rsid w:val="005F3235"/>
    <w:rsid w:val="005F359B"/>
    <w:rsid w:val="005F39AD"/>
    <w:rsid w:val="005F4314"/>
    <w:rsid w:val="005F5610"/>
    <w:rsid w:val="005F57B9"/>
    <w:rsid w:val="005F697E"/>
    <w:rsid w:val="005F6F10"/>
    <w:rsid w:val="005F7999"/>
    <w:rsid w:val="005F7C93"/>
    <w:rsid w:val="005F7D79"/>
    <w:rsid w:val="005F7F56"/>
    <w:rsid w:val="00600C15"/>
    <w:rsid w:val="00601562"/>
    <w:rsid w:val="00601873"/>
    <w:rsid w:val="00602C33"/>
    <w:rsid w:val="00603012"/>
    <w:rsid w:val="0060306A"/>
    <w:rsid w:val="006035F9"/>
    <w:rsid w:val="00603D89"/>
    <w:rsid w:val="006040D9"/>
    <w:rsid w:val="0060439F"/>
    <w:rsid w:val="0060572C"/>
    <w:rsid w:val="00605ECF"/>
    <w:rsid w:val="0060639A"/>
    <w:rsid w:val="00606645"/>
    <w:rsid w:val="00606663"/>
    <w:rsid w:val="00606903"/>
    <w:rsid w:val="00610516"/>
    <w:rsid w:val="00610905"/>
    <w:rsid w:val="00610F7C"/>
    <w:rsid w:val="00611C3D"/>
    <w:rsid w:val="0061328C"/>
    <w:rsid w:val="00613B11"/>
    <w:rsid w:val="00614D39"/>
    <w:rsid w:val="0061524B"/>
    <w:rsid w:val="0061591C"/>
    <w:rsid w:val="00615D01"/>
    <w:rsid w:val="00616139"/>
    <w:rsid w:val="0061630B"/>
    <w:rsid w:val="0061632F"/>
    <w:rsid w:val="0061651C"/>
    <w:rsid w:val="00617249"/>
    <w:rsid w:val="0061750A"/>
    <w:rsid w:val="00617C50"/>
    <w:rsid w:val="00621186"/>
    <w:rsid w:val="006213DD"/>
    <w:rsid w:val="00621F6F"/>
    <w:rsid w:val="0062221C"/>
    <w:rsid w:val="00622FB3"/>
    <w:rsid w:val="00623495"/>
    <w:rsid w:val="0062368E"/>
    <w:rsid w:val="00623981"/>
    <w:rsid w:val="006239E3"/>
    <w:rsid w:val="00624879"/>
    <w:rsid w:val="0062498C"/>
    <w:rsid w:val="00624FA3"/>
    <w:rsid w:val="00625134"/>
    <w:rsid w:val="006266E8"/>
    <w:rsid w:val="0062678D"/>
    <w:rsid w:val="006271A6"/>
    <w:rsid w:val="00627523"/>
    <w:rsid w:val="00627975"/>
    <w:rsid w:val="0063005C"/>
    <w:rsid w:val="00630A19"/>
    <w:rsid w:val="00631106"/>
    <w:rsid w:val="0063116C"/>
    <w:rsid w:val="00631301"/>
    <w:rsid w:val="00633C80"/>
    <w:rsid w:val="00635C41"/>
    <w:rsid w:val="00635FA4"/>
    <w:rsid w:val="006360CD"/>
    <w:rsid w:val="00636AC2"/>
    <w:rsid w:val="006373BC"/>
    <w:rsid w:val="00637ED1"/>
    <w:rsid w:val="0064170D"/>
    <w:rsid w:val="00641811"/>
    <w:rsid w:val="00641A0A"/>
    <w:rsid w:val="00643400"/>
    <w:rsid w:val="00643569"/>
    <w:rsid w:val="006437E6"/>
    <w:rsid w:val="0064380F"/>
    <w:rsid w:val="0064492A"/>
    <w:rsid w:val="00645118"/>
    <w:rsid w:val="00645BA3"/>
    <w:rsid w:val="00646800"/>
    <w:rsid w:val="00646D9E"/>
    <w:rsid w:val="00647821"/>
    <w:rsid w:val="00650E88"/>
    <w:rsid w:val="00651C22"/>
    <w:rsid w:val="00652392"/>
    <w:rsid w:val="0065259E"/>
    <w:rsid w:val="00652DB9"/>
    <w:rsid w:val="00653B7E"/>
    <w:rsid w:val="00653EB7"/>
    <w:rsid w:val="00654238"/>
    <w:rsid w:val="00654DFF"/>
    <w:rsid w:val="00654ED2"/>
    <w:rsid w:val="006557E0"/>
    <w:rsid w:val="00655B5A"/>
    <w:rsid w:val="00656605"/>
    <w:rsid w:val="006566A5"/>
    <w:rsid w:val="006567C3"/>
    <w:rsid w:val="00656E48"/>
    <w:rsid w:val="00656EEB"/>
    <w:rsid w:val="00661696"/>
    <w:rsid w:val="0066278D"/>
    <w:rsid w:val="00662C04"/>
    <w:rsid w:val="00663014"/>
    <w:rsid w:val="00663DBA"/>
    <w:rsid w:val="00663E57"/>
    <w:rsid w:val="00663FFF"/>
    <w:rsid w:val="00664098"/>
    <w:rsid w:val="00665BBD"/>
    <w:rsid w:val="006663D0"/>
    <w:rsid w:val="00666EB4"/>
    <w:rsid w:val="00667D54"/>
    <w:rsid w:val="006702D8"/>
    <w:rsid w:val="006704A8"/>
    <w:rsid w:val="00670549"/>
    <w:rsid w:val="0067092A"/>
    <w:rsid w:val="00670AD7"/>
    <w:rsid w:val="00671B20"/>
    <w:rsid w:val="00673402"/>
    <w:rsid w:val="00673FA7"/>
    <w:rsid w:val="0067428F"/>
    <w:rsid w:val="006742DB"/>
    <w:rsid w:val="00676143"/>
    <w:rsid w:val="00676D35"/>
    <w:rsid w:val="006775E0"/>
    <w:rsid w:val="00677DE3"/>
    <w:rsid w:val="0067BEF1"/>
    <w:rsid w:val="006803E3"/>
    <w:rsid w:val="00682DF0"/>
    <w:rsid w:val="00683272"/>
    <w:rsid w:val="00683514"/>
    <w:rsid w:val="006838FD"/>
    <w:rsid w:val="00683A80"/>
    <w:rsid w:val="006855C0"/>
    <w:rsid w:val="00685610"/>
    <w:rsid w:val="00685697"/>
    <w:rsid w:val="00685A64"/>
    <w:rsid w:val="006860D5"/>
    <w:rsid w:val="00686174"/>
    <w:rsid w:val="00686A52"/>
    <w:rsid w:val="00686F73"/>
    <w:rsid w:val="006872FF"/>
    <w:rsid w:val="00687720"/>
    <w:rsid w:val="0069041B"/>
    <w:rsid w:val="006905D0"/>
    <w:rsid w:val="00690E50"/>
    <w:rsid w:val="0069151C"/>
    <w:rsid w:val="0069168D"/>
    <w:rsid w:val="006929B0"/>
    <w:rsid w:val="00694074"/>
    <w:rsid w:val="0069521E"/>
    <w:rsid w:val="0069545D"/>
    <w:rsid w:val="006956A3"/>
    <w:rsid w:val="006959B9"/>
    <w:rsid w:val="0069626F"/>
    <w:rsid w:val="00696B9C"/>
    <w:rsid w:val="006973DC"/>
    <w:rsid w:val="00697525"/>
    <w:rsid w:val="00697F58"/>
    <w:rsid w:val="006A042A"/>
    <w:rsid w:val="006A07F7"/>
    <w:rsid w:val="006A0FE7"/>
    <w:rsid w:val="006A2336"/>
    <w:rsid w:val="006A2B10"/>
    <w:rsid w:val="006A43C1"/>
    <w:rsid w:val="006A519E"/>
    <w:rsid w:val="006A5762"/>
    <w:rsid w:val="006A58A7"/>
    <w:rsid w:val="006A5E6F"/>
    <w:rsid w:val="006A6938"/>
    <w:rsid w:val="006A6DF7"/>
    <w:rsid w:val="006A7924"/>
    <w:rsid w:val="006A7AFA"/>
    <w:rsid w:val="006B050C"/>
    <w:rsid w:val="006B0CF4"/>
    <w:rsid w:val="006B10E1"/>
    <w:rsid w:val="006B1386"/>
    <w:rsid w:val="006B16B7"/>
    <w:rsid w:val="006B28B6"/>
    <w:rsid w:val="006B2CA1"/>
    <w:rsid w:val="006B3BC0"/>
    <w:rsid w:val="006B3CA5"/>
    <w:rsid w:val="006B4465"/>
    <w:rsid w:val="006B62F2"/>
    <w:rsid w:val="006B65CA"/>
    <w:rsid w:val="006C0351"/>
    <w:rsid w:val="006C213E"/>
    <w:rsid w:val="006C21A1"/>
    <w:rsid w:val="006C2352"/>
    <w:rsid w:val="006C23D3"/>
    <w:rsid w:val="006C24F1"/>
    <w:rsid w:val="006C296A"/>
    <w:rsid w:val="006C369D"/>
    <w:rsid w:val="006C4148"/>
    <w:rsid w:val="006C51B2"/>
    <w:rsid w:val="006C622A"/>
    <w:rsid w:val="006C6C03"/>
    <w:rsid w:val="006D0307"/>
    <w:rsid w:val="006D035E"/>
    <w:rsid w:val="006D03A7"/>
    <w:rsid w:val="006D055B"/>
    <w:rsid w:val="006D1A13"/>
    <w:rsid w:val="006D2015"/>
    <w:rsid w:val="006D2500"/>
    <w:rsid w:val="006D25B1"/>
    <w:rsid w:val="006D2FCF"/>
    <w:rsid w:val="006D343D"/>
    <w:rsid w:val="006D3D9E"/>
    <w:rsid w:val="006D4904"/>
    <w:rsid w:val="006D4ADC"/>
    <w:rsid w:val="006D5442"/>
    <w:rsid w:val="006D60F1"/>
    <w:rsid w:val="006D639D"/>
    <w:rsid w:val="006D685A"/>
    <w:rsid w:val="006DBDA7"/>
    <w:rsid w:val="006E02B7"/>
    <w:rsid w:val="006E0416"/>
    <w:rsid w:val="006E0671"/>
    <w:rsid w:val="006E0836"/>
    <w:rsid w:val="006E2980"/>
    <w:rsid w:val="006E344F"/>
    <w:rsid w:val="006E3D79"/>
    <w:rsid w:val="006E4832"/>
    <w:rsid w:val="006E6308"/>
    <w:rsid w:val="006E7A24"/>
    <w:rsid w:val="006E7A3B"/>
    <w:rsid w:val="006F05AC"/>
    <w:rsid w:val="006F0640"/>
    <w:rsid w:val="006F1A6A"/>
    <w:rsid w:val="006F364D"/>
    <w:rsid w:val="006F39F4"/>
    <w:rsid w:val="006F4318"/>
    <w:rsid w:val="006F4C1A"/>
    <w:rsid w:val="006F56D6"/>
    <w:rsid w:val="006F60CA"/>
    <w:rsid w:val="006F6138"/>
    <w:rsid w:val="006F79C0"/>
    <w:rsid w:val="006F7CCA"/>
    <w:rsid w:val="006F7F47"/>
    <w:rsid w:val="00701FC7"/>
    <w:rsid w:val="00702FF2"/>
    <w:rsid w:val="007034A2"/>
    <w:rsid w:val="00703BF6"/>
    <w:rsid w:val="007042AB"/>
    <w:rsid w:val="00705B7C"/>
    <w:rsid w:val="00705F52"/>
    <w:rsid w:val="0070637E"/>
    <w:rsid w:val="00706468"/>
    <w:rsid w:val="0070719C"/>
    <w:rsid w:val="00707781"/>
    <w:rsid w:val="00707D96"/>
    <w:rsid w:val="0071051C"/>
    <w:rsid w:val="007111C0"/>
    <w:rsid w:val="007119AF"/>
    <w:rsid w:val="007121CE"/>
    <w:rsid w:val="00713469"/>
    <w:rsid w:val="00714330"/>
    <w:rsid w:val="00715089"/>
    <w:rsid w:val="00716238"/>
    <w:rsid w:val="007167CB"/>
    <w:rsid w:val="00720548"/>
    <w:rsid w:val="00720B60"/>
    <w:rsid w:val="00720BFF"/>
    <w:rsid w:val="007211EE"/>
    <w:rsid w:val="007212F7"/>
    <w:rsid w:val="0072221E"/>
    <w:rsid w:val="00722E60"/>
    <w:rsid w:val="007234B1"/>
    <w:rsid w:val="0072390C"/>
    <w:rsid w:val="00724982"/>
    <w:rsid w:val="007254C3"/>
    <w:rsid w:val="0072603B"/>
    <w:rsid w:val="00726D8F"/>
    <w:rsid w:val="007276FE"/>
    <w:rsid w:val="007277C3"/>
    <w:rsid w:val="00727CFA"/>
    <w:rsid w:val="0072917D"/>
    <w:rsid w:val="00731EA3"/>
    <w:rsid w:val="007327A7"/>
    <w:rsid w:val="00733464"/>
    <w:rsid w:val="007348F1"/>
    <w:rsid w:val="00735EA4"/>
    <w:rsid w:val="0073725A"/>
    <w:rsid w:val="00737B1C"/>
    <w:rsid w:val="00737C53"/>
    <w:rsid w:val="007414B4"/>
    <w:rsid w:val="0074179F"/>
    <w:rsid w:val="00741B3F"/>
    <w:rsid w:val="00743A33"/>
    <w:rsid w:val="00744760"/>
    <w:rsid w:val="00746561"/>
    <w:rsid w:val="007465F3"/>
    <w:rsid w:val="00746834"/>
    <w:rsid w:val="00746C4B"/>
    <w:rsid w:val="007524ED"/>
    <w:rsid w:val="007535F6"/>
    <w:rsid w:val="00754459"/>
    <w:rsid w:val="00754581"/>
    <w:rsid w:val="00755509"/>
    <w:rsid w:val="007572FB"/>
    <w:rsid w:val="00760EB9"/>
    <w:rsid w:val="0076162E"/>
    <w:rsid w:val="00761BC8"/>
    <w:rsid w:val="00762026"/>
    <w:rsid w:val="0076387D"/>
    <w:rsid w:val="00763B60"/>
    <w:rsid w:val="007648B1"/>
    <w:rsid w:val="00764900"/>
    <w:rsid w:val="00764C72"/>
    <w:rsid w:val="00765077"/>
    <w:rsid w:val="00765F24"/>
    <w:rsid w:val="007661A2"/>
    <w:rsid w:val="0076633B"/>
    <w:rsid w:val="0076791F"/>
    <w:rsid w:val="00767C96"/>
    <w:rsid w:val="007708A1"/>
    <w:rsid w:val="007708E2"/>
    <w:rsid w:val="00770D79"/>
    <w:rsid w:val="00771390"/>
    <w:rsid w:val="00772154"/>
    <w:rsid w:val="0077247D"/>
    <w:rsid w:val="00772AC1"/>
    <w:rsid w:val="00773336"/>
    <w:rsid w:val="00773B00"/>
    <w:rsid w:val="00773C23"/>
    <w:rsid w:val="00780609"/>
    <w:rsid w:val="007806B0"/>
    <w:rsid w:val="00781F66"/>
    <w:rsid w:val="00782D38"/>
    <w:rsid w:val="007833ED"/>
    <w:rsid w:val="007836E0"/>
    <w:rsid w:val="00784098"/>
    <w:rsid w:val="00784467"/>
    <w:rsid w:val="00784594"/>
    <w:rsid w:val="00784EA1"/>
    <w:rsid w:val="00786912"/>
    <w:rsid w:val="00787310"/>
    <w:rsid w:val="0078732C"/>
    <w:rsid w:val="00787A81"/>
    <w:rsid w:val="00787A8D"/>
    <w:rsid w:val="00790243"/>
    <w:rsid w:val="0079036A"/>
    <w:rsid w:val="00790661"/>
    <w:rsid w:val="00790E60"/>
    <w:rsid w:val="00791235"/>
    <w:rsid w:val="00791BC7"/>
    <w:rsid w:val="0079293E"/>
    <w:rsid w:val="007929A1"/>
    <w:rsid w:val="00792B60"/>
    <w:rsid w:val="00793558"/>
    <w:rsid w:val="007939BA"/>
    <w:rsid w:val="007943B5"/>
    <w:rsid w:val="00794B68"/>
    <w:rsid w:val="007950BC"/>
    <w:rsid w:val="00795874"/>
    <w:rsid w:val="00796AB3"/>
    <w:rsid w:val="0079794A"/>
    <w:rsid w:val="00797CEB"/>
    <w:rsid w:val="007A1254"/>
    <w:rsid w:val="007A206E"/>
    <w:rsid w:val="007A20DF"/>
    <w:rsid w:val="007A20FA"/>
    <w:rsid w:val="007A2208"/>
    <w:rsid w:val="007A27EA"/>
    <w:rsid w:val="007A2999"/>
    <w:rsid w:val="007A3949"/>
    <w:rsid w:val="007A4AFD"/>
    <w:rsid w:val="007A5382"/>
    <w:rsid w:val="007A7B77"/>
    <w:rsid w:val="007A7F75"/>
    <w:rsid w:val="007B0A1A"/>
    <w:rsid w:val="007B0AE0"/>
    <w:rsid w:val="007B21FD"/>
    <w:rsid w:val="007B3B6A"/>
    <w:rsid w:val="007B43CB"/>
    <w:rsid w:val="007B445A"/>
    <w:rsid w:val="007B5DD7"/>
    <w:rsid w:val="007B6937"/>
    <w:rsid w:val="007B7985"/>
    <w:rsid w:val="007C0D98"/>
    <w:rsid w:val="007C1182"/>
    <w:rsid w:val="007C1D4C"/>
    <w:rsid w:val="007C2391"/>
    <w:rsid w:val="007C3D25"/>
    <w:rsid w:val="007C473F"/>
    <w:rsid w:val="007C4DE6"/>
    <w:rsid w:val="007C505C"/>
    <w:rsid w:val="007C573A"/>
    <w:rsid w:val="007C6647"/>
    <w:rsid w:val="007C6B4F"/>
    <w:rsid w:val="007C7095"/>
    <w:rsid w:val="007C75E7"/>
    <w:rsid w:val="007D087B"/>
    <w:rsid w:val="007D242D"/>
    <w:rsid w:val="007D287B"/>
    <w:rsid w:val="007D3A25"/>
    <w:rsid w:val="007D4220"/>
    <w:rsid w:val="007D5130"/>
    <w:rsid w:val="007D56EE"/>
    <w:rsid w:val="007D73A3"/>
    <w:rsid w:val="007D7935"/>
    <w:rsid w:val="007D7AF5"/>
    <w:rsid w:val="007E001A"/>
    <w:rsid w:val="007E0743"/>
    <w:rsid w:val="007E09E9"/>
    <w:rsid w:val="007E10EF"/>
    <w:rsid w:val="007E1CBD"/>
    <w:rsid w:val="007E2FE6"/>
    <w:rsid w:val="007E3543"/>
    <w:rsid w:val="007E391D"/>
    <w:rsid w:val="007E514C"/>
    <w:rsid w:val="007E5D41"/>
    <w:rsid w:val="007E6FD1"/>
    <w:rsid w:val="007E7675"/>
    <w:rsid w:val="007E7A68"/>
    <w:rsid w:val="007E7FA2"/>
    <w:rsid w:val="007F0EB7"/>
    <w:rsid w:val="007F115E"/>
    <w:rsid w:val="007F13E3"/>
    <w:rsid w:val="007F18F7"/>
    <w:rsid w:val="007F1C7B"/>
    <w:rsid w:val="007F1CB0"/>
    <w:rsid w:val="007F24C8"/>
    <w:rsid w:val="007F29AD"/>
    <w:rsid w:val="007F3687"/>
    <w:rsid w:val="007F4125"/>
    <w:rsid w:val="007F4A7B"/>
    <w:rsid w:val="007F5105"/>
    <w:rsid w:val="007F5809"/>
    <w:rsid w:val="007F6E0E"/>
    <w:rsid w:val="007F7D3E"/>
    <w:rsid w:val="007F7F62"/>
    <w:rsid w:val="0080051C"/>
    <w:rsid w:val="0080243A"/>
    <w:rsid w:val="00802BB3"/>
    <w:rsid w:val="00805987"/>
    <w:rsid w:val="00805B97"/>
    <w:rsid w:val="00805D73"/>
    <w:rsid w:val="00805EB2"/>
    <w:rsid w:val="00806455"/>
    <w:rsid w:val="0080736A"/>
    <w:rsid w:val="00807406"/>
    <w:rsid w:val="00810E44"/>
    <w:rsid w:val="0081260D"/>
    <w:rsid w:val="0081327A"/>
    <w:rsid w:val="008136D0"/>
    <w:rsid w:val="00814864"/>
    <w:rsid w:val="00814C25"/>
    <w:rsid w:val="008151F7"/>
    <w:rsid w:val="00815640"/>
    <w:rsid w:val="00815E7B"/>
    <w:rsid w:val="008166C3"/>
    <w:rsid w:val="0081768F"/>
    <w:rsid w:val="00817E0B"/>
    <w:rsid w:val="0082180C"/>
    <w:rsid w:val="00822B77"/>
    <w:rsid w:val="0082301B"/>
    <w:rsid w:val="008237E7"/>
    <w:rsid w:val="008245C3"/>
    <w:rsid w:val="0082497A"/>
    <w:rsid w:val="00824C13"/>
    <w:rsid w:val="008268EE"/>
    <w:rsid w:val="00826C42"/>
    <w:rsid w:val="0082781A"/>
    <w:rsid w:val="00827F49"/>
    <w:rsid w:val="008304BD"/>
    <w:rsid w:val="00831F65"/>
    <w:rsid w:val="00832BEA"/>
    <w:rsid w:val="00832EF2"/>
    <w:rsid w:val="00833682"/>
    <w:rsid w:val="00834BEC"/>
    <w:rsid w:val="00835B04"/>
    <w:rsid w:val="00836283"/>
    <w:rsid w:val="008367AF"/>
    <w:rsid w:val="008369EF"/>
    <w:rsid w:val="00836ADD"/>
    <w:rsid w:val="008375EE"/>
    <w:rsid w:val="00840816"/>
    <w:rsid w:val="00840E38"/>
    <w:rsid w:val="008411B8"/>
    <w:rsid w:val="0084190C"/>
    <w:rsid w:val="008424B9"/>
    <w:rsid w:val="00842791"/>
    <w:rsid w:val="008427D7"/>
    <w:rsid w:val="00842930"/>
    <w:rsid w:val="008429F3"/>
    <w:rsid w:val="00844725"/>
    <w:rsid w:val="00844E4E"/>
    <w:rsid w:val="008451E0"/>
    <w:rsid w:val="0084536E"/>
    <w:rsid w:val="008459E8"/>
    <w:rsid w:val="00845D12"/>
    <w:rsid w:val="0084660C"/>
    <w:rsid w:val="00846824"/>
    <w:rsid w:val="00846EEB"/>
    <w:rsid w:val="0084711A"/>
    <w:rsid w:val="00850823"/>
    <w:rsid w:val="00850BD3"/>
    <w:rsid w:val="008510CD"/>
    <w:rsid w:val="00851EB3"/>
    <w:rsid w:val="00852B3B"/>
    <w:rsid w:val="00853CA7"/>
    <w:rsid w:val="008549ED"/>
    <w:rsid w:val="00855A34"/>
    <w:rsid w:val="00855BC6"/>
    <w:rsid w:val="00856E0C"/>
    <w:rsid w:val="0086041F"/>
    <w:rsid w:val="00860DE9"/>
    <w:rsid w:val="00861748"/>
    <w:rsid w:val="00862C56"/>
    <w:rsid w:val="00863428"/>
    <w:rsid w:val="00863A01"/>
    <w:rsid w:val="00863A44"/>
    <w:rsid w:val="00863EF6"/>
    <w:rsid w:val="0086461F"/>
    <w:rsid w:val="0086789D"/>
    <w:rsid w:val="00871B01"/>
    <w:rsid w:val="00871BB5"/>
    <w:rsid w:val="00871D45"/>
    <w:rsid w:val="008721EA"/>
    <w:rsid w:val="00872563"/>
    <w:rsid w:val="00872D07"/>
    <w:rsid w:val="00874033"/>
    <w:rsid w:val="00874A8D"/>
    <w:rsid w:val="00875CA3"/>
    <w:rsid w:val="008765B0"/>
    <w:rsid w:val="0087772D"/>
    <w:rsid w:val="008777B6"/>
    <w:rsid w:val="0088147A"/>
    <w:rsid w:val="00881722"/>
    <w:rsid w:val="00881C30"/>
    <w:rsid w:val="008829F9"/>
    <w:rsid w:val="008849C5"/>
    <w:rsid w:val="00886357"/>
    <w:rsid w:val="00886415"/>
    <w:rsid w:val="00887A1B"/>
    <w:rsid w:val="008904A0"/>
    <w:rsid w:val="00891CB3"/>
    <w:rsid w:val="00891EFF"/>
    <w:rsid w:val="008922DE"/>
    <w:rsid w:val="00893477"/>
    <w:rsid w:val="00894414"/>
    <w:rsid w:val="00894BC2"/>
    <w:rsid w:val="00896306"/>
    <w:rsid w:val="00897157"/>
    <w:rsid w:val="008974B9"/>
    <w:rsid w:val="008A0F57"/>
    <w:rsid w:val="008A27D5"/>
    <w:rsid w:val="008A283E"/>
    <w:rsid w:val="008A34ED"/>
    <w:rsid w:val="008A3946"/>
    <w:rsid w:val="008A5D44"/>
    <w:rsid w:val="008A5F65"/>
    <w:rsid w:val="008A76B2"/>
    <w:rsid w:val="008B0FF4"/>
    <w:rsid w:val="008B1469"/>
    <w:rsid w:val="008B1D34"/>
    <w:rsid w:val="008B1DC5"/>
    <w:rsid w:val="008B2E01"/>
    <w:rsid w:val="008B2F74"/>
    <w:rsid w:val="008B340F"/>
    <w:rsid w:val="008B3870"/>
    <w:rsid w:val="008B4645"/>
    <w:rsid w:val="008B4C30"/>
    <w:rsid w:val="008B50BB"/>
    <w:rsid w:val="008B6DAD"/>
    <w:rsid w:val="008B745B"/>
    <w:rsid w:val="008C267F"/>
    <w:rsid w:val="008C2870"/>
    <w:rsid w:val="008C2B6A"/>
    <w:rsid w:val="008C39A8"/>
    <w:rsid w:val="008C4672"/>
    <w:rsid w:val="008C51B9"/>
    <w:rsid w:val="008C6E1B"/>
    <w:rsid w:val="008C6F9A"/>
    <w:rsid w:val="008C7A9E"/>
    <w:rsid w:val="008C7F17"/>
    <w:rsid w:val="008D00DB"/>
    <w:rsid w:val="008D0290"/>
    <w:rsid w:val="008D1238"/>
    <w:rsid w:val="008D2A6C"/>
    <w:rsid w:val="008D3BE6"/>
    <w:rsid w:val="008D51BE"/>
    <w:rsid w:val="008D555E"/>
    <w:rsid w:val="008D5C9B"/>
    <w:rsid w:val="008D5FEC"/>
    <w:rsid w:val="008D5FF2"/>
    <w:rsid w:val="008D62C2"/>
    <w:rsid w:val="008D7BF3"/>
    <w:rsid w:val="008E0425"/>
    <w:rsid w:val="008E0BAF"/>
    <w:rsid w:val="008E10AB"/>
    <w:rsid w:val="008E130F"/>
    <w:rsid w:val="008E146C"/>
    <w:rsid w:val="008E1695"/>
    <w:rsid w:val="008E1A41"/>
    <w:rsid w:val="008E2070"/>
    <w:rsid w:val="008E2819"/>
    <w:rsid w:val="008E2A42"/>
    <w:rsid w:val="008E2C42"/>
    <w:rsid w:val="008E2EA8"/>
    <w:rsid w:val="008E3A90"/>
    <w:rsid w:val="008E3B02"/>
    <w:rsid w:val="008E3B5C"/>
    <w:rsid w:val="008E43CB"/>
    <w:rsid w:val="008E4954"/>
    <w:rsid w:val="008E4DE8"/>
    <w:rsid w:val="008E5BE8"/>
    <w:rsid w:val="008E5FF7"/>
    <w:rsid w:val="008E675F"/>
    <w:rsid w:val="008E7263"/>
    <w:rsid w:val="008E7FED"/>
    <w:rsid w:val="008F0011"/>
    <w:rsid w:val="008F138E"/>
    <w:rsid w:val="008F319D"/>
    <w:rsid w:val="008F6275"/>
    <w:rsid w:val="008F6791"/>
    <w:rsid w:val="008F725D"/>
    <w:rsid w:val="0090026E"/>
    <w:rsid w:val="00900639"/>
    <w:rsid w:val="00902878"/>
    <w:rsid w:val="00902EF2"/>
    <w:rsid w:val="00903262"/>
    <w:rsid w:val="00903DE3"/>
    <w:rsid w:val="0090434B"/>
    <w:rsid w:val="009043F7"/>
    <w:rsid w:val="0090460C"/>
    <w:rsid w:val="00907126"/>
    <w:rsid w:val="00907850"/>
    <w:rsid w:val="009101B5"/>
    <w:rsid w:val="00910FF2"/>
    <w:rsid w:val="00911EBF"/>
    <w:rsid w:val="00912446"/>
    <w:rsid w:val="0091259B"/>
    <w:rsid w:val="009137A2"/>
    <w:rsid w:val="00913994"/>
    <w:rsid w:val="00913A07"/>
    <w:rsid w:val="009146B9"/>
    <w:rsid w:val="00914803"/>
    <w:rsid w:val="009152EA"/>
    <w:rsid w:val="00915429"/>
    <w:rsid w:val="0091639B"/>
    <w:rsid w:val="009168A5"/>
    <w:rsid w:val="00916CD6"/>
    <w:rsid w:val="00916EF8"/>
    <w:rsid w:val="0092005B"/>
    <w:rsid w:val="009203DD"/>
    <w:rsid w:val="00920DA5"/>
    <w:rsid w:val="009217EC"/>
    <w:rsid w:val="00921A4A"/>
    <w:rsid w:val="00921C39"/>
    <w:rsid w:val="00921C73"/>
    <w:rsid w:val="00922B0D"/>
    <w:rsid w:val="00923659"/>
    <w:rsid w:val="0092527A"/>
    <w:rsid w:val="00926419"/>
    <w:rsid w:val="00926B52"/>
    <w:rsid w:val="00927764"/>
    <w:rsid w:val="009308C8"/>
    <w:rsid w:val="0093114B"/>
    <w:rsid w:val="00931176"/>
    <w:rsid w:val="00931EBC"/>
    <w:rsid w:val="009325AD"/>
    <w:rsid w:val="009329D0"/>
    <w:rsid w:val="00933336"/>
    <w:rsid w:val="00933FE7"/>
    <w:rsid w:val="0093452F"/>
    <w:rsid w:val="00934B81"/>
    <w:rsid w:val="00934DC7"/>
    <w:rsid w:val="009350A4"/>
    <w:rsid w:val="00937751"/>
    <w:rsid w:val="0093792F"/>
    <w:rsid w:val="00937CF2"/>
    <w:rsid w:val="00940458"/>
    <w:rsid w:val="00940471"/>
    <w:rsid w:val="00940814"/>
    <w:rsid w:val="00940D2F"/>
    <w:rsid w:val="0094167E"/>
    <w:rsid w:val="009418C6"/>
    <w:rsid w:val="009418F9"/>
    <w:rsid w:val="0094191E"/>
    <w:rsid w:val="00941946"/>
    <w:rsid w:val="00941D88"/>
    <w:rsid w:val="009421B4"/>
    <w:rsid w:val="0094334C"/>
    <w:rsid w:val="00944765"/>
    <w:rsid w:val="00944F42"/>
    <w:rsid w:val="009458E7"/>
    <w:rsid w:val="00945920"/>
    <w:rsid w:val="00945D09"/>
    <w:rsid w:val="0094616A"/>
    <w:rsid w:val="00946B47"/>
    <w:rsid w:val="0094702B"/>
    <w:rsid w:val="00947200"/>
    <w:rsid w:val="009476FE"/>
    <w:rsid w:val="00947AD9"/>
    <w:rsid w:val="00950B33"/>
    <w:rsid w:val="00950F4C"/>
    <w:rsid w:val="0095123F"/>
    <w:rsid w:val="0095124B"/>
    <w:rsid w:val="00952B5C"/>
    <w:rsid w:val="009535A8"/>
    <w:rsid w:val="00953E58"/>
    <w:rsid w:val="00953FF6"/>
    <w:rsid w:val="009543F1"/>
    <w:rsid w:val="009552CF"/>
    <w:rsid w:val="00955DD0"/>
    <w:rsid w:val="009561DC"/>
    <w:rsid w:val="009564DA"/>
    <w:rsid w:val="009570D2"/>
    <w:rsid w:val="0095772B"/>
    <w:rsid w:val="00957961"/>
    <w:rsid w:val="0096032E"/>
    <w:rsid w:val="00960D01"/>
    <w:rsid w:val="00960EE8"/>
    <w:rsid w:val="009615E9"/>
    <w:rsid w:val="009617D8"/>
    <w:rsid w:val="00961D8F"/>
    <w:rsid w:val="009628B9"/>
    <w:rsid w:val="00963BA7"/>
    <w:rsid w:val="0097074D"/>
    <w:rsid w:val="00970AA6"/>
    <w:rsid w:val="00971682"/>
    <w:rsid w:val="00971B07"/>
    <w:rsid w:val="00971DB0"/>
    <w:rsid w:val="00972351"/>
    <w:rsid w:val="0097274F"/>
    <w:rsid w:val="009733BF"/>
    <w:rsid w:val="009766A1"/>
    <w:rsid w:val="00976FBC"/>
    <w:rsid w:val="00977D37"/>
    <w:rsid w:val="009835DB"/>
    <w:rsid w:val="00984E67"/>
    <w:rsid w:val="00985075"/>
    <w:rsid w:val="00985239"/>
    <w:rsid w:val="009858D2"/>
    <w:rsid w:val="00985C45"/>
    <w:rsid w:val="0098608C"/>
    <w:rsid w:val="00986301"/>
    <w:rsid w:val="00986597"/>
    <w:rsid w:val="00986699"/>
    <w:rsid w:val="00986F1C"/>
    <w:rsid w:val="009875B8"/>
    <w:rsid w:val="009905BE"/>
    <w:rsid w:val="00990BED"/>
    <w:rsid w:val="00990CF6"/>
    <w:rsid w:val="009917C1"/>
    <w:rsid w:val="00992E74"/>
    <w:rsid w:val="00993135"/>
    <w:rsid w:val="0099586B"/>
    <w:rsid w:val="00995AB9"/>
    <w:rsid w:val="00996CB3"/>
    <w:rsid w:val="009A14D3"/>
    <w:rsid w:val="009A19D6"/>
    <w:rsid w:val="009A1A82"/>
    <w:rsid w:val="009A1AA6"/>
    <w:rsid w:val="009A2EAC"/>
    <w:rsid w:val="009A3A3D"/>
    <w:rsid w:val="009A43A9"/>
    <w:rsid w:val="009A521C"/>
    <w:rsid w:val="009A5B9A"/>
    <w:rsid w:val="009A61A0"/>
    <w:rsid w:val="009A7913"/>
    <w:rsid w:val="009A7C85"/>
    <w:rsid w:val="009B12A4"/>
    <w:rsid w:val="009B12AF"/>
    <w:rsid w:val="009B1C96"/>
    <w:rsid w:val="009B2757"/>
    <w:rsid w:val="009B28B8"/>
    <w:rsid w:val="009B2BC2"/>
    <w:rsid w:val="009B3A8B"/>
    <w:rsid w:val="009B4201"/>
    <w:rsid w:val="009B4FC6"/>
    <w:rsid w:val="009B5E41"/>
    <w:rsid w:val="009B5FDC"/>
    <w:rsid w:val="009B616A"/>
    <w:rsid w:val="009B64CB"/>
    <w:rsid w:val="009B66FE"/>
    <w:rsid w:val="009B67EE"/>
    <w:rsid w:val="009B7342"/>
    <w:rsid w:val="009B7415"/>
    <w:rsid w:val="009C0C9C"/>
    <w:rsid w:val="009C0D82"/>
    <w:rsid w:val="009C1513"/>
    <w:rsid w:val="009C15C3"/>
    <w:rsid w:val="009C1BFA"/>
    <w:rsid w:val="009C1DA6"/>
    <w:rsid w:val="009C28C2"/>
    <w:rsid w:val="009C4647"/>
    <w:rsid w:val="009C5EBA"/>
    <w:rsid w:val="009D034C"/>
    <w:rsid w:val="009D0535"/>
    <w:rsid w:val="009D0C77"/>
    <w:rsid w:val="009D113D"/>
    <w:rsid w:val="009D2984"/>
    <w:rsid w:val="009D2D80"/>
    <w:rsid w:val="009D4309"/>
    <w:rsid w:val="009D46C0"/>
    <w:rsid w:val="009D47AE"/>
    <w:rsid w:val="009D4DE9"/>
    <w:rsid w:val="009D4DF3"/>
    <w:rsid w:val="009D5AB8"/>
    <w:rsid w:val="009D6E58"/>
    <w:rsid w:val="009D72E9"/>
    <w:rsid w:val="009D7A34"/>
    <w:rsid w:val="009E01F7"/>
    <w:rsid w:val="009E0447"/>
    <w:rsid w:val="009E096E"/>
    <w:rsid w:val="009E09A5"/>
    <w:rsid w:val="009E0DD8"/>
    <w:rsid w:val="009E1612"/>
    <w:rsid w:val="009E16E5"/>
    <w:rsid w:val="009E1A21"/>
    <w:rsid w:val="009E207A"/>
    <w:rsid w:val="009E2B5E"/>
    <w:rsid w:val="009E2B65"/>
    <w:rsid w:val="009E2B95"/>
    <w:rsid w:val="009E3D4E"/>
    <w:rsid w:val="009E41E9"/>
    <w:rsid w:val="009E43E4"/>
    <w:rsid w:val="009E4A19"/>
    <w:rsid w:val="009E62CB"/>
    <w:rsid w:val="009E6FBD"/>
    <w:rsid w:val="009E7033"/>
    <w:rsid w:val="009E7B59"/>
    <w:rsid w:val="009E7FA1"/>
    <w:rsid w:val="009F01B8"/>
    <w:rsid w:val="009F0B6E"/>
    <w:rsid w:val="009F1347"/>
    <w:rsid w:val="009F3391"/>
    <w:rsid w:val="009F3E5E"/>
    <w:rsid w:val="009F45E2"/>
    <w:rsid w:val="009F4A53"/>
    <w:rsid w:val="009F4B5A"/>
    <w:rsid w:val="009F703F"/>
    <w:rsid w:val="009F7627"/>
    <w:rsid w:val="00A001C3"/>
    <w:rsid w:val="00A00660"/>
    <w:rsid w:val="00A00BC0"/>
    <w:rsid w:val="00A01043"/>
    <w:rsid w:val="00A015C0"/>
    <w:rsid w:val="00A01AE0"/>
    <w:rsid w:val="00A02410"/>
    <w:rsid w:val="00A0297A"/>
    <w:rsid w:val="00A033B1"/>
    <w:rsid w:val="00A03798"/>
    <w:rsid w:val="00A041C4"/>
    <w:rsid w:val="00A04F2D"/>
    <w:rsid w:val="00A051CC"/>
    <w:rsid w:val="00A0574E"/>
    <w:rsid w:val="00A05DA3"/>
    <w:rsid w:val="00A065FF"/>
    <w:rsid w:val="00A06893"/>
    <w:rsid w:val="00A0761B"/>
    <w:rsid w:val="00A07D8F"/>
    <w:rsid w:val="00A109B6"/>
    <w:rsid w:val="00A10DFD"/>
    <w:rsid w:val="00A11522"/>
    <w:rsid w:val="00A11A29"/>
    <w:rsid w:val="00A11FD4"/>
    <w:rsid w:val="00A12C85"/>
    <w:rsid w:val="00A12E57"/>
    <w:rsid w:val="00A1362D"/>
    <w:rsid w:val="00A142A9"/>
    <w:rsid w:val="00A154D9"/>
    <w:rsid w:val="00A154F0"/>
    <w:rsid w:val="00A161E7"/>
    <w:rsid w:val="00A16A6F"/>
    <w:rsid w:val="00A200C7"/>
    <w:rsid w:val="00A20155"/>
    <w:rsid w:val="00A20957"/>
    <w:rsid w:val="00A20AF2"/>
    <w:rsid w:val="00A215C9"/>
    <w:rsid w:val="00A21BD6"/>
    <w:rsid w:val="00A2247D"/>
    <w:rsid w:val="00A23F11"/>
    <w:rsid w:val="00A242F2"/>
    <w:rsid w:val="00A251B0"/>
    <w:rsid w:val="00A25720"/>
    <w:rsid w:val="00A26104"/>
    <w:rsid w:val="00A26474"/>
    <w:rsid w:val="00A269A6"/>
    <w:rsid w:val="00A26A89"/>
    <w:rsid w:val="00A26D5F"/>
    <w:rsid w:val="00A2712F"/>
    <w:rsid w:val="00A27330"/>
    <w:rsid w:val="00A278DD"/>
    <w:rsid w:val="00A27972"/>
    <w:rsid w:val="00A27C38"/>
    <w:rsid w:val="00A27C81"/>
    <w:rsid w:val="00A27E5F"/>
    <w:rsid w:val="00A31C38"/>
    <w:rsid w:val="00A32EC2"/>
    <w:rsid w:val="00A32EC6"/>
    <w:rsid w:val="00A33470"/>
    <w:rsid w:val="00A33774"/>
    <w:rsid w:val="00A341A3"/>
    <w:rsid w:val="00A348C3"/>
    <w:rsid w:val="00A34DD1"/>
    <w:rsid w:val="00A3541C"/>
    <w:rsid w:val="00A36DC0"/>
    <w:rsid w:val="00A37147"/>
    <w:rsid w:val="00A37A4F"/>
    <w:rsid w:val="00A37BAE"/>
    <w:rsid w:val="00A406B4"/>
    <w:rsid w:val="00A410F0"/>
    <w:rsid w:val="00A417A2"/>
    <w:rsid w:val="00A41AFD"/>
    <w:rsid w:val="00A42F00"/>
    <w:rsid w:val="00A431DF"/>
    <w:rsid w:val="00A43AE5"/>
    <w:rsid w:val="00A44843"/>
    <w:rsid w:val="00A454A9"/>
    <w:rsid w:val="00A45F75"/>
    <w:rsid w:val="00A467CB"/>
    <w:rsid w:val="00A46A42"/>
    <w:rsid w:val="00A46C43"/>
    <w:rsid w:val="00A46DAE"/>
    <w:rsid w:val="00A46DB2"/>
    <w:rsid w:val="00A50356"/>
    <w:rsid w:val="00A503E1"/>
    <w:rsid w:val="00A508F5"/>
    <w:rsid w:val="00A50A0C"/>
    <w:rsid w:val="00A50A14"/>
    <w:rsid w:val="00A51055"/>
    <w:rsid w:val="00A51342"/>
    <w:rsid w:val="00A5171A"/>
    <w:rsid w:val="00A51842"/>
    <w:rsid w:val="00A522CB"/>
    <w:rsid w:val="00A52350"/>
    <w:rsid w:val="00A523EC"/>
    <w:rsid w:val="00A527EC"/>
    <w:rsid w:val="00A5318E"/>
    <w:rsid w:val="00A54567"/>
    <w:rsid w:val="00A55118"/>
    <w:rsid w:val="00A55572"/>
    <w:rsid w:val="00A55B63"/>
    <w:rsid w:val="00A57123"/>
    <w:rsid w:val="00A573AD"/>
    <w:rsid w:val="00A60B8E"/>
    <w:rsid w:val="00A6159F"/>
    <w:rsid w:val="00A61CCB"/>
    <w:rsid w:val="00A62293"/>
    <w:rsid w:val="00A63691"/>
    <w:rsid w:val="00A63CF3"/>
    <w:rsid w:val="00A63FE1"/>
    <w:rsid w:val="00A64DEE"/>
    <w:rsid w:val="00A650D5"/>
    <w:rsid w:val="00A651B7"/>
    <w:rsid w:val="00A65A9A"/>
    <w:rsid w:val="00A6675C"/>
    <w:rsid w:val="00A67004"/>
    <w:rsid w:val="00A676CD"/>
    <w:rsid w:val="00A7002C"/>
    <w:rsid w:val="00A70D6C"/>
    <w:rsid w:val="00A71CC3"/>
    <w:rsid w:val="00A71FF1"/>
    <w:rsid w:val="00A72A41"/>
    <w:rsid w:val="00A72E38"/>
    <w:rsid w:val="00A73642"/>
    <w:rsid w:val="00A73DD1"/>
    <w:rsid w:val="00A73FD8"/>
    <w:rsid w:val="00A7422D"/>
    <w:rsid w:val="00A7427B"/>
    <w:rsid w:val="00A744DD"/>
    <w:rsid w:val="00A748C6"/>
    <w:rsid w:val="00A7531E"/>
    <w:rsid w:val="00A75517"/>
    <w:rsid w:val="00A7571A"/>
    <w:rsid w:val="00A77051"/>
    <w:rsid w:val="00A773F4"/>
    <w:rsid w:val="00A77E1E"/>
    <w:rsid w:val="00A80464"/>
    <w:rsid w:val="00A80827"/>
    <w:rsid w:val="00A80A6F"/>
    <w:rsid w:val="00A82217"/>
    <w:rsid w:val="00A82774"/>
    <w:rsid w:val="00A82BC6"/>
    <w:rsid w:val="00A82C85"/>
    <w:rsid w:val="00A82CA3"/>
    <w:rsid w:val="00A834E6"/>
    <w:rsid w:val="00A83577"/>
    <w:rsid w:val="00A83E22"/>
    <w:rsid w:val="00A844A3"/>
    <w:rsid w:val="00A850A5"/>
    <w:rsid w:val="00A85F4F"/>
    <w:rsid w:val="00A876A1"/>
    <w:rsid w:val="00A87AF8"/>
    <w:rsid w:val="00A9016B"/>
    <w:rsid w:val="00A9036D"/>
    <w:rsid w:val="00A90539"/>
    <w:rsid w:val="00A90745"/>
    <w:rsid w:val="00A9107E"/>
    <w:rsid w:val="00A91C45"/>
    <w:rsid w:val="00A92039"/>
    <w:rsid w:val="00A939F7"/>
    <w:rsid w:val="00A9485E"/>
    <w:rsid w:val="00A954B3"/>
    <w:rsid w:val="00A96B20"/>
    <w:rsid w:val="00A9885B"/>
    <w:rsid w:val="00AA01D7"/>
    <w:rsid w:val="00AA0690"/>
    <w:rsid w:val="00AA0C4C"/>
    <w:rsid w:val="00AA10F1"/>
    <w:rsid w:val="00AA13FC"/>
    <w:rsid w:val="00AA1668"/>
    <w:rsid w:val="00AA1C65"/>
    <w:rsid w:val="00AA1E26"/>
    <w:rsid w:val="00AA20DD"/>
    <w:rsid w:val="00AA32A3"/>
    <w:rsid w:val="00AA35EE"/>
    <w:rsid w:val="00AA38D5"/>
    <w:rsid w:val="00AA3B85"/>
    <w:rsid w:val="00AA5386"/>
    <w:rsid w:val="00AA5773"/>
    <w:rsid w:val="00AA650C"/>
    <w:rsid w:val="00AA69A3"/>
    <w:rsid w:val="00AA7CB9"/>
    <w:rsid w:val="00AA7E00"/>
    <w:rsid w:val="00AB037F"/>
    <w:rsid w:val="00AB081A"/>
    <w:rsid w:val="00AB0E95"/>
    <w:rsid w:val="00AB3204"/>
    <w:rsid w:val="00AB4877"/>
    <w:rsid w:val="00AB5811"/>
    <w:rsid w:val="00AB58AE"/>
    <w:rsid w:val="00AC0291"/>
    <w:rsid w:val="00AC0F8A"/>
    <w:rsid w:val="00AC15A3"/>
    <w:rsid w:val="00AC1E25"/>
    <w:rsid w:val="00AC2966"/>
    <w:rsid w:val="00AC352E"/>
    <w:rsid w:val="00AC37EE"/>
    <w:rsid w:val="00AC4A5A"/>
    <w:rsid w:val="00AC4B01"/>
    <w:rsid w:val="00AC7B55"/>
    <w:rsid w:val="00AC7EFD"/>
    <w:rsid w:val="00AD08F7"/>
    <w:rsid w:val="00AD0D01"/>
    <w:rsid w:val="00AD1BBF"/>
    <w:rsid w:val="00AD2164"/>
    <w:rsid w:val="00AD2370"/>
    <w:rsid w:val="00AD37A3"/>
    <w:rsid w:val="00AD3957"/>
    <w:rsid w:val="00AD39D4"/>
    <w:rsid w:val="00AD433B"/>
    <w:rsid w:val="00AD4BF6"/>
    <w:rsid w:val="00AD6DE8"/>
    <w:rsid w:val="00AD6F0A"/>
    <w:rsid w:val="00AD7498"/>
    <w:rsid w:val="00AD74E1"/>
    <w:rsid w:val="00AD7EB8"/>
    <w:rsid w:val="00AE01C6"/>
    <w:rsid w:val="00AE0465"/>
    <w:rsid w:val="00AE0628"/>
    <w:rsid w:val="00AE0EE8"/>
    <w:rsid w:val="00AE184E"/>
    <w:rsid w:val="00AE1A7A"/>
    <w:rsid w:val="00AE1D4E"/>
    <w:rsid w:val="00AE1E19"/>
    <w:rsid w:val="00AE2F78"/>
    <w:rsid w:val="00AE30D2"/>
    <w:rsid w:val="00AE4382"/>
    <w:rsid w:val="00AE4592"/>
    <w:rsid w:val="00AE48BB"/>
    <w:rsid w:val="00AE4A0A"/>
    <w:rsid w:val="00AE4F18"/>
    <w:rsid w:val="00AE51D9"/>
    <w:rsid w:val="00AE5CC8"/>
    <w:rsid w:val="00AE625D"/>
    <w:rsid w:val="00AE62A3"/>
    <w:rsid w:val="00AE63BC"/>
    <w:rsid w:val="00AE65B3"/>
    <w:rsid w:val="00AE70A5"/>
    <w:rsid w:val="00AE710D"/>
    <w:rsid w:val="00AE74DB"/>
    <w:rsid w:val="00AE7704"/>
    <w:rsid w:val="00AE7901"/>
    <w:rsid w:val="00AE7D94"/>
    <w:rsid w:val="00AF0375"/>
    <w:rsid w:val="00AF26C2"/>
    <w:rsid w:val="00AF2995"/>
    <w:rsid w:val="00AF3857"/>
    <w:rsid w:val="00AF4584"/>
    <w:rsid w:val="00AF47BE"/>
    <w:rsid w:val="00AF4C85"/>
    <w:rsid w:val="00AF5331"/>
    <w:rsid w:val="00AF5A08"/>
    <w:rsid w:val="00AF78C7"/>
    <w:rsid w:val="00AF7AA7"/>
    <w:rsid w:val="00B009B2"/>
    <w:rsid w:val="00B01C63"/>
    <w:rsid w:val="00B02A62"/>
    <w:rsid w:val="00B0308D"/>
    <w:rsid w:val="00B03A4A"/>
    <w:rsid w:val="00B03C5C"/>
    <w:rsid w:val="00B03EA3"/>
    <w:rsid w:val="00B03F98"/>
    <w:rsid w:val="00B043CF"/>
    <w:rsid w:val="00B054A4"/>
    <w:rsid w:val="00B06369"/>
    <w:rsid w:val="00B0682A"/>
    <w:rsid w:val="00B06891"/>
    <w:rsid w:val="00B07B7F"/>
    <w:rsid w:val="00B10899"/>
    <w:rsid w:val="00B11CF8"/>
    <w:rsid w:val="00B12D37"/>
    <w:rsid w:val="00B12DF8"/>
    <w:rsid w:val="00B14CB0"/>
    <w:rsid w:val="00B14DD5"/>
    <w:rsid w:val="00B14E4F"/>
    <w:rsid w:val="00B16B8F"/>
    <w:rsid w:val="00B16D2A"/>
    <w:rsid w:val="00B17CEA"/>
    <w:rsid w:val="00B200AE"/>
    <w:rsid w:val="00B200FE"/>
    <w:rsid w:val="00B2040A"/>
    <w:rsid w:val="00B21AB9"/>
    <w:rsid w:val="00B227A1"/>
    <w:rsid w:val="00B229C2"/>
    <w:rsid w:val="00B22FCF"/>
    <w:rsid w:val="00B23A7A"/>
    <w:rsid w:val="00B24539"/>
    <w:rsid w:val="00B24C36"/>
    <w:rsid w:val="00B24D2B"/>
    <w:rsid w:val="00B24E6B"/>
    <w:rsid w:val="00B26232"/>
    <w:rsid w:val="00B266AD"/>
    <w:rsid w:val="00B26FF0"/>
    <w:rsid w:val="00B278BB"/>
    <w:rsid w:val="00B27B79"/>
    <w:rsid w:val="00B30169"/>
    <w:rsid w:val="00B303A0"/>
    <w:rsid w:val="00B30938"/>
    <w:rsid w:val="00B31059"/>
    <w:rsid w:val="00B3109B"/>
    <w:rsid w:val="00B31B4A"/>
    <w:rsid w:val="00B31C93"/>
    <w:rsid w:val="00B329F5"/>
    <w:rsid w:val="00B32F32"/>
    <w:rsid w:val="00B348C9"/>
    <w:rsid w:val="00B34C94"/>
    <w:rsid w:val="00B35C24"/>
    <w:rsid w:val="00B35DE6"/>
    <w:rsid w:val="00B3629E"/>
    <w:rsid w:val="00B362AB"/>
    <w:rsid w:val="00B36A42"/>
    <w:rsid w:val="00B37256"/>
    <w:rsid w:val="00B37299"/>
    <w:rsid w:val="00B40A28"/>
    <w:rsid w:val="00B41A2C"/>
    <w:rsid w:val="00B41EF4"/>
    <w:rsid w:val="00B427B2"/>
    <w:rsid w:val="00B42A51"/>
    <w:rsid w:val="00B42F58"/>
    <w:rsid w:val="00B44017"/>
    <w:rsid w:val="00B4473F"/>
    <w:rsid w:val="00B44F8D"/>
    <w:rsid w:val="00B45493"/>
    <w:rsid w:val="00B469AD"/>
    <w:rsid w:val="00B47751"/>
    <w:rsid w:val="00B47820"/>
    <w:rsid w:val="00B51598"/>
    <w:rsid w:val="00B5270D"/>
    <w:rsid w:val="00B537B6"/>
    <w:rsid w:val="00B54121"/>
    <w:rsid w:val="00B54634"/>
    <w:rsid w:val="00B55F78"/>
    <w:rsid w:val="00B56693"/>
    <w:rsid w:val="00B57FE0"/>
    <w:rsid w:val="00B603CB"/>
    <w:rsid w:val="00B613E5"/>
    <w:rsid w:val="00B62301"/>
    <w:rsid w:val="00B62330"/>
    <w:rsid w:val="00B62E01"/>
    <w:rsid w:val="00B62F89"/>
    <w:rsid w:val="00B6311B"/>
    <w:rsid w:val="00B63A4D"/>
    <w:rsid w:val="00B65471"/>
    <w:rsid w:val="00B65797"/>
    <w:rsid w:val="00B65BB2"/>
    <w:rsid w:val="00B666F0"/>
    <w:rsid w:val="00B7005A"/>
    <w:rsid w:val="00B70A61"/>
    <w:rsid w:val="00B713B4"/>
    <w:rsid w:val="00B718B9"/>
    <w:rsid w:val="00B719DE"/>
    <w:rsid w:val="00B72C79"/>
    <w:rsid w:val="00B73566"/>
    <w:rsid w:val="00B73DAC"/>
    <w:rsid w:val="00B74131"/>
    <w:rsid w:val="00B74E63"/>
    <w:rsid w:val="00B74F52"/>
    <w:rsid w:val="00B7572D"/>
    <w:rsid w:val="00B7627E"/>
    <w:rsid w:val="00B76D92"/>
    <w:rsid w:val="00B7776B"/>
    <w:rsid w:val="00B77ECA"/>
    <w:rsid w:val="00B80C49"/>
    <w:rsid w:val="00B82EEB"/>
    <w:rsid w:val="00B832A9"/>
    <w:rsid w:val="00B84EF8"/>
    <w:rsid w:val="00B85FEB"/>
    <w:rsid w:val="00B86BD3"/>
    <w:rsid w:val="00B86BF7"/>
    <w:rsid w:val="00B87A2A"/>
    <w:rsid w:val="00B90E27"/>
    <w:rsid w:val="00B9101A"/>
    <w:rsid w:val="00B92319"/>
    <w:rsid w:val="00B92695"/>
    <w:rsid w:val="00B926C3"/>
    <w:rsid w:val="00B92BC4"/>
    <w:rsid w:val="00B93FE8"/>
    <w:rsid w:val="00B943A9"/>
    <w:rsid w:val="00B945A4"/>
    <w:rsid w:val="00B948E5"/>
    <w:rsid w:val="00B95836"/>
    <w:rsid w:val="00B978A9"/>
    <w:rsid w:val="00B97B70"/>
    <w:rsid w:val="00BA0024"/>
    <w:rsid w:val="00BA037A"/>
    <w:rsid w:val="00BA1309"/>
    <w:rsid w:val="00BA2120"/>
    <w:rsid w:val="00BA2F6C"/>
    <w:rsid w:val="00BA353C"/>
    <w:rsid w:val="00BA3677"/>
    <w:rsid w:val="00BA393A"/>
    <w:rsid w:val="00BA42F8"/>
    <w:rsid w:val="00BA5387"/>
    <w:rsid w:val="00BA5C42"/>
    <w:rsid w:val="00BA72C4"/>
    <w:rsid w:val="00BB0CC5"/>
    <w:rsid w:val="00BB16E4"/>
    <w:rsid w:val="00BB1B84"/>
    <w:rsid w:val="00BB1C6F"/>
    <w:rsid w:val="00BB1C78"/>
    <w:rsid w:val="00BB2155"/>
    <w:rsid w:val="00BB253F"/>
    <w:rsid w:val="00BB2741"/>
    <w:rsid w:val="00BB29CF"/>
    <w:rsid w:val="00BB3947"/>
    <w:rsid w:val="00BB3E1C"/>
    <w:rsid w:val="00BB4F73"/>
    <w:rsid w:val="00BB56D4"/>
    <w:rsid w:val="00BB61FE"/>
    <w:rsid w:val="00BB6CBC"/>
    <w:rsid w:val="00BB6FCF"/>
    <w:rsid w:val="00BB72F1"/>
    <w:rsid w:val="00BB735D"/>
    <w:rsid w:val="00BB764D"/>
    <w:rsid w:val="00BB76E8"/>
    <w:rsid w:val="00BB7840"/>
    <w:rsid w:val="00BBE5C1"/>
    <w:rsid w:val="00BC2FDC"/>
    <w:rsid w:val="00BC41D0"/>
    <w:rsid w:val="00BC4956"/>
    <w:rsid w:val="00BC4DB7"/>
    <w:rsid w:val="00BC5EFC"/>
    <w:rsid w:val="00BC601B"/>
    <w:rsid w:val="00BC6C85"/>
    <w:rsid w:val="00BC7550"/>
    <w:rsid w:val="00BC7F09"/>
    <w:rsid w:val="00BC7F6A"/>
    <w:rsid w:val="00BC7F8E"/>
    <w:rsid w:val="00BD06EA"/>
    <w:rsid w:val="00BD1E15"/>
    <w:rsid w:val="00BD3D73"/>
    <w:rsid w:val="00BD40A6"/>
    <w:rsid w:val="00BD44D5"/>
    <w:rsid w:val="00BD4AAF"/>
    <w:rsid w:val="00BD5149"/>
    <w:rsid w:val="00BD7646"/>
    <w:rsid w:val="00BD7BF7"/>
    <w:rsid w:val="00BD7FCC"/>
    <w:rsid w:val="00BE0520"/>
    <w:rsid w:val="00BE1166"/>
    <w:rsid w:val="00BE1ED9"/>
    <w:rsid w:val="00BE2147"/>
    <w:rsid w:val="00BE3BFC"/>
    <w:rsid w:val="00BE4148"/>
    <w:rsid w:val="00BE5281"/>
    <w:rsid w:val="00BE55BD"/>
    <w:rsid w:val="00BE5F25"/>
    <w:rsid w:val="00BE6098"/>
    <w:rsid w:val="00BE63B0"/>
    <w:rsid w:val="00BE68D5"/>
    <w:rsid w:val="00BE7299"/>
    <w:rsid w:val="00BF115A"/>
    <w:rsid w:val="00BF190A"/>
    <w:rsid w:val="00BF1DAC"/>
    <w:rsid w:val="00BF2980"/>
    <w:rsid w:val="00BF2F5D"/>
    <w:rsid w:val="00BF4413"/>
    <w:rsid w:val="00BF5DEC"/>
    <w:rsid w:val="00BF71B9"/>
    <w:rsid w:val="00C00D19"/>
    <w:rsid w:val="00C013DF"/>
    <w:rsid w:val="00C01910"/>
    <w:rsid w:val="00C02145"/>
    <w:rsid w:val="00C02276"/>
    <w:rsid w:val="00C0280B"/>
    <w:rsid w:val="00C028A3"/>
    <w:rsid w:val="00C03424"/>
    <w:rsid w:val="00C0524F"/>
    <w:rsid w:val="00C05FDA"/>
    <w:rsid w:val="00C06613"/>
    <w:rsid w:val="00C0669B"/>
    <w:rsid w:val="00C06C6F"/>
    <w:rsid w:val="00C07C86"/>
    <w:rsid w:val="00C1013D"/>
    <w:rsid w:val="00C112BC"/>
    <w:rsid w:val="00C1139A"/>
    <w:rsid w:val="00C12980"/>
    <w:rsid w:val="00C1316B"/>
    <w:rsid w:val="00C13910"/>
    <w:rsid w:val="00C14051"/>
    <w:rsid w:val="00C1452C"/>
    <w:rsid w:val="00C147D2"/>
    <w:rsid w:val="00C1590D"/>
    <w:rsid w:val="00C15AAA"/>
    <w:rsid w:val="00C16FFB"/>
    <w:rsid w:val="00C2020E"/>
    <w:rsid w:val="00C21498"/>
    <w:rsid w:val="00C22EA8"/>
    <w:rsid w:val="00C238D5"/>
    <w:rsid w:val="00C24281"/>
    <w:rsid w:val="00C243CA"/>
    <w:rsid w:val="00C253B6"/>
    <w:rsid w:val="00C256ED"/>
    <w:rsid w:val="00C264B8"/>
    <w:rsid w:val="00C264E0"/>
    <w:rsid w:val="00C26628"/>
    <w:rsid w:val="00C276A1"/>
    <w:rsid w:val="00C279D3"/>
    <w:rsid w:val="00C302E1"/>
    <w:rsid w:val="00C306FA"/>
    <w:rsid w:val="00C30A90"/>
    <w:rsid w:val="00C30D62"/>
    <w:rsid w:val="00C30D77"/>
    <w:rsid w:val="00C31CA8"/>
    <w:rsid w:val="00C323C9"/>
    <w:rsid w:val="00C32631"/>
    <w:rsid w:val="00C32F55"/>
    <w:rsid w:val="00C32FE0"/>
    <w:rsid w:val="00C334F4"/>
    <w:rsid w:val="00C334FC"/>
    <w:rsid w:val="00C337EF"/>
    <w:rsid w:val="00C34965"/>
    <w:rsid w:val="00C35271"/>
    <w:rsid w:val="00C3564D"/>
    <w:rsid w:val="00C35E3E"/>
    <w:rsid w:val="00C3647A"/>
    <w:rsid w:val="00C365A7"/>
    <w:rsid w:val="00C36AB4"/>
    <w:rsid w:val="00C37ADF"/>
    <w:rsid w:val="00C37B15"/>
    <w:rsid w:val="00C37C13"/>
    <w:rsid w:val="00C40616"/>
    <w:rsid w:val="00C40A42"/>
    <w:rsid w:val="00C40EB6"/>
    <w:rsid w:val="00C41179"/>
    <w:rsid w:val="00C41D00"/>
    <w:rsid w:val="00C41F8B"/>
    <w:rsid w:val="00C4223A"/>
    <w:rsid w:val="00C4232D"/>
    <w:rsid w:val="00C430DC"/>
    <w:rsid w:val="00C4346C"/>
    <w:rsid w:val="00C464CC"/>
    <w:rsid w:val="00C47378"/>
    <w:rsid w:val="00C47894"/>
    <w:rsid w:val="00C5012C"/>
    <w:rsid w:val="00C50667"/>
    <w:rsid w:val="00C50CC5"/>
    <w:rsid w:val="00C50F67"/>
    <w:rsid w:val="00C51062"/>
    <w:rsid w:val="00C51C37"/>
    <w:rsid w:val="00C526ED"/>
    <w:rsid w:val="00C53354"/>
    <w:rsid w:val="00C53BB8"/>
    <w:rsid w:val="00C54C52"/>
    <w:rsid w:val="00C54DBD"/>
    <w:rsid w:val="00C571CD"/>
    <w:rsid w:val="00C57260"/>
    <w:rsid w:val="00C57A5F"/>
    <w:rsid w:val="00C57C10"/>
    <w:rsid w:val="00C57EDE"/>
    <w:rsid w:val="00C6015E"/>
    <w:rsid w:val="00C6043A"/>
    <w:rsid w:val="00C60A7A"/>
    <w:rsid w:val="00C64049"/>
    <w:rsid w:val="00C65E21"/>
    <w:rsid w:val="00C665C1"/>
    <w:rsid w:val="00C66D22"/>
    <w:rsid w:val="00C66E77"/>
    <w:rsid w:val="00C66FE8"/>
    <w:rsid w:val="00C70A24"/>
    <w:rsid w:val="00C70C93"/>
    <w:rsid w:val="00C70E71"/>
    <w:rsid w:val="00C716B4"/>
    <w:rsid w:val="00C721CE"/>
    <w:rsid w:val="00C7307D"/>
    <w:rsid w:val="00C7359C"/>
    <w:rsid w:val="00C747D3"/>
    <w:rsid w:val="00C7555C"/>
    <w:rsid w:val="00C76929"/>
    <w:rsid w:val="00C769F6"/>
    <w:rsid w:val="00C76DD7"/>
    <w:rsid w:val="00C8078B"/>
    <w:rsid w:val="00C80F30"/>
    <w:rsid w:val="00C812FD"/>
    <w:rsid w:val="00C81F3E"/>
    <w:rsid w:val="00C82418"/>
    <w:rsid w:val="00C82C2D"/>
    <w:rsid w:val="00C82E9B"/>
    <w:rsid w:val="00C84C04"/>
    <w:rsid w:val="00C85189"/>
    <w:rsid w:val="00C86D29"/>
    <w:rsid w:val="00C8742C"/>
    <w:rsid w:val="00C8767D"/>
    <w:rsid w:val="00C87CE6"/>
    <w:rsid w:val="00C87E5F"/>
    <w:rsid w:val="00C90045"/>
    <w:rsid w:val="00C92E41"/>
    <w:rsid w:val="00C93606"/>
    <w:rsid w:val="00C941C5"/>
    <w:rsid w:val="00C94310"/>
    <w:rsid w:val="00C943E1"/>
    <w:rsid w:val="00C9527E"/>
    <w:rsid w:val="00C95347"/>
    <w:rsid w:val="00C966C5"/>
    <w:rsid w:val="00C9696A"/>
    <w:rsid w:val="00C96B17"/>
    <w:rsid w:val="00CA01AB"/>
    <w:rsid w:val="00CA0B21"/>
    <w:rsid w:val="00CA0C5E"/>
    <w:rsid w:val="00CA0D60"/>
    <w:rsid w:val="00CA11F1"/>
    <w:rsid w:val="00CA139C"/>
    <w:rsid w:val="00CA17A7"/>
    <w:rsid w:val="00CA17D6"/>
    <w:rsid w:val="00CA1FBD"/>
    <w:rsid w:val="00CA240D"/>
    <w:rsid w:val="00CA2556"/>
    <w:rsid w:val="00CA2866"/>
    <w:rsid w:val="00CA28E3"/>
    <w:rsid w:val="00CA2B69"/>
    <w:rsid w:val="00CA2F2D"/>
    <w:rsid w:val="00CA3B0C"/>
    <w:rsid w:val="00CA3EC6"/>
    <w:rsid w:val="00CA3F1B"/>
    <w:rsid w:val="00CA41C9"/>
    <w:rsid w:val="00CA48F2"/>
    <w:rsid w:val="00CA5433"/>
    <w:rsid w:val="00CA5B03"/>
    <w:rsid w:val="00CA5C4E"/>
    <w:rsid w:val="00CA5F05"/>
    <w:rsid w:val="00CA61E2"/>
    <w:rsid w:val="00CA6F36"/>
    <w:rsid w:val="00CA7A09"/>
    <w:rsid w:val="00CA7A49"/>
    <w:rsid w:val="00CA7C00"/>
    <w:rsid w:val="00CA7CB4"/>
    <w:rsid w:val="00CB023D"/>
    <w:rsid w:val="00CB14E1"/>
    <w:rsid w:val="00CB1B14"/>
    <w:rsid w:val="00CB1B40"/>
    <w:rsid w:val="00CB1E9A"/>
    <w:rsid w:val="00CB1F24"/>
    <w:rsid w:val="00CB2668"/>
    <w:rsid w:val="00CB41E1"/>
    <w:rsid w:val="00CB4D89"/>
    <w:rsid w:val="00CB5956"/>
    <w:rsid w:val="00CC101A"/>
    <w:rsid w:val="00CC151A"/>
    <w:rsid w:val="00CC27C3"/>
    <w:rsid w:val="00CC2AC6"/>
    <w:rsid w:val="00CC3282"/>
    <w:rsid w:val="00CC3639"/>
    <w:rsid w:val="00CC59C0"/>
    <w:rsid w:val="00CC5A88"/>
    <w:rsid w:val="00CC671D"/>
    <w:rsid w:val="00CC6ED1"/>
    <w:rsid w:val="00CD21C2"/>
    <w:rsid w:val="00CD2298"/>
    <w:rsid w:val="00CD3047"/>
    <w:rsid w:val="00CD4D5F"/>
    <w:rsid w:val="00CD4E84"/>
    <w:rsid w:val="00CD61FE"/>
    <w:rsid w:val="00CD70DB"/>
    <w:rsid w:val="00CD7A12"/>
    <w:rsid w:val="00CE2233"/>
    <w:rsid w:val="00CE272E"/>
    <w:rsid w:val="00CE296C"/>
    <w:rsid w:val="00CE2990"/>
    <w:rsid w:val="00CE4E09"/>
    <w:rsid w:val="00CE53EA"/>
    <w:rsid w:val="00CE5645"/>
    <w:rsid w:val="00CE5B3C"/>
    <w:rsid w:val="00CE673C"/>
    <w:rsid w:val="00CE6C99"/>
    <w:rsid w:val="00CE7309"/>
    <w:rsid w:val="00CE7C53"/>
    <w:rsid w:val="00CEF089"/>
    <w:rsid w:val="00CF0106"/>
    <w:rsid w:val="00CF0EE1"/>
    <w:rsid w:val="00CF1203"/>
    <w:rsid w:val="00CF1CC7"/>
    <w:rsid w:val="00CF213B"/>
    <w:rsid w:val="00CF2F16"/>
    <w:rsid w:val="00CF5A1B"/>
    <w:rsid w:val="00CF6C9B"/>
    <w:rsid w:val="00D00100"/>
    <w:rsid w:val="00D003D0"/>
    <w:rsid w:val="00D00D6C"/>
    <w:rsid w:val="00D01326"/>
    <w:rsid w:val="00D022D2"/>
    <w:rsid w:val="00D02985"/>
    <w:rsid w:val="00D032AD"/>
    <w:rsid w:val="00D0469A"/>
    <w:rsid w:val="00D04BD3"/>
    <w:rsid w:val="00D05ADD"/>
    <w:rsid w:val="00D06131"/>
    <w:rsid w:val="00D07748"/>
    <w:rsid w:val="00D07E69"/>
    <w:rsid w:val="00D1108F"/>
    <w:rsid w:val="00D1123C"/>
    <w:rsid w:val="00D11685"/>
    <w:rsid w:val="00D11A6B"/>
    <w:rsid w:val="00D11D4C"/>
    <w:rsid w:val="00D12017"/>
    <w:rsid w:val="00D12D3B"/>
    <w:rsid w:val="00D13024"/>
    <w:rsid w:val="00D142E5"/>
    <w:rsid w:val="00D152A4"/>
    <w:rsid w:val="00D157D2"/>
    <w:rsid w:val="00D15C6B"/>
    <w:rsid w:val="00D15CFF"/>
    <w:rsid w:val="00D15E5B"/>
    <w:rsid w:val="00D16AB7"/>
    <w:rsid w:val="00D16C8C"/>
    <w:rsid w:val="00D1746D"/>
    <w:rsid w:val="00D20278"/>
    <w:rsid w:val="00D2058E"/>
    <w:rsid w:val="00D21797"/>
    <w:rsid w:val="00D21D58"/>
    <w:rsid w:val="00D21D76"/>
    <w:rsid w:val="00D25B17"/>
    <w:rsid w:val="00D272CA"/>
    <w:rsid w:val="00D277A7"/>
    <w:rsid w:val="00D27B8E"/>
    <w:rsid w:val="00D30D14"/>
    <w:rsid w:val="00D31E0C"/>
    <w:rsid w:val="00D31E5D"/>
    <w:rsid w:val="00D32AC0"/>
    <w:rsid w:val="00D32FE9"/>
    <w:rsid w:val="00D330B6"/>
    <w:rsid w:val="00D34DAE"/>
    <w:rsid w:val="00D3572E"/>
    <w:rsid w:val="00D3586C"/>
    <w:rsid w:val="00D35C82"/>
    <w:rsid w:val="00D36882"/>
    <w:rsid w:val="00D378C2"/>
    <w:rsid w:val="00D37E8B"/>
    <w:rsid w:val="00D400C2"/>
    <w:rsid w:val="00D40CC9"/>
    <w:rsid w:val="00D40DB2"/>
    <w:rsid w:val="00D412DF"/>
    <w:rsid w:val="00D421C4"/>
    <w:rsid w:val="00D42C4A"/>
    <w:rsid w:val="00D438DA"/>
    <w:rsid w:val="00D444E9"/>
    <w:rsid w:val="00D44524"/>
    <w:rsid w:val="00D44957"/>
    <w:rsid w:val="00D45052"/>
    <w:rsid w:val="00D46880"/>
    <w:rsid w:val="00D47264"/>
    <w:rsid w:val="00D47AB8"/>
    <w:rsid w:val="00D50E08"/>
    <w:rsid w:val="00D51198"/>
    <w:rsid w:val="00D51DFD"/>
    <w:rsid w:val="00D52138"/>
    <w:rsid w:val="00D52B7A"/>
    <w:rsid w:val="00D53996"/>
    <w:rsid w:val="00D54BBB"/>
    <w:rsid w:val="00D55293"/>
    <w:rsid w:val="00D55851"/>
    <w:rsid w:val="00D55B8E"/>
    <w:rsid w:val="00D571F5"/>
    <w:rsid w:val="00D57475"/>
    <w:rsid w:val="00D578B6"/>
    <w:rsid w:val="00D61190"/>
    <w:rsid w:val="00D6164C"/>
    <w:rsid w:val="00D61A10"/>
    <w:rsid w:val="00D623A3"/>
    <w:rsid w:val="00D62915"/>
    <w:rsid w:val="00D636A1"/>
    <w:rsid w:val="00D63FF8"/>
    <w:rsid w:val="00D64287"/>
    <w:rsid w:val="00D646CF"/>
    <w:rsid w:val="00D64816"/>
    <w:rsid w:val="00D66A87"/>
    <w:rsid w:val="00D670DB"/>
    <w:rsid w:val="00D678FE"/>
    <w:rsid w:val="00D711B9"/>
    <w:rsid w:val="00D71299"/>
    <w:rsid w:val="00D723D9"/>
    <w:rsid w:val="00D72C28"/>
    <w:rsid w:val="00D734E2"/>
    <w:rsid w:val="00D742B6"/>
    <w:rsid w:val="00D74937"/>
    <w:rsid w:val="00D74BEB"/>
    <w:rsid w:val="00D754D2"/>
    <w:rsid w:val="00D76F8F"/>
    <w:rsid w:val="00D76FA0"/>
    <w:rsid w:val="00D771F4"/>
    <w:rsid w:val="00D77B87"/>
    <w:rsid w:val="00D81354"/>
    <w:rsid w:val="00D817DE"/>
    <w:rsid w:val="00D818AB"/>
    <w:rsid w:val="00D81C58"/>
    <w:rsid w:val="00D82E27"/>
    <w:rsid w:val="00D833D2"/>
    <w:rsid w:val="00D84E96"/>
    <w:rsid w:val="00D84F07"/>
    <w:rsid w:val="00D859ED"/>
    <w:rsid w:val="00D85B0E"/>
    <w:rsid w:val="00D86B45"/>
    <w:rsid w:val="00D86DC2"/>
    <w:rsid w:val="00D87569"/>
    <w:rsid w:val="00D87D7B"/>
    <w:rsid w:val="00D908C1"/>
    <w:rsid w:val="00D90BA7"/>
    <w:rsid w:val="00D90CB6"/>
    <w:rsid w:val="00D91AD1"/>
    <w:rsid w:val="00D91D64"/>
    <w:rsid w:val="00D92830"/>
    <w:rsid w:val="00D933B7"/>
    <w:rsid w:val="00D93B7D"/>
    <w:rsid w:val="00D94530"/>
    <w:rsid w:val="00D94F31"/>
    <w:rsid w:val="00D96774"/>
    <w:rsid w:val="00D967B1"/>
    <w:rsid w:val="00D96CAA"/>
    <w:rsid w:val="00D9729B"/>
    <w:rsid w:val="00DA1163"/>
    <w:rsid w:val="00DA14C8"/>
    <w:rsid w:val="00DA17C2"/>
    <w:rsid w:val="00DA210B"/>
    <w:rsid w:val="00DA3166"/>
    <w:rsid w:val="00DA33CC"/>
    <w:rsid w:val="00DA3D27"/>
    <w:rsid w:val="00DA58FF"/>
    <w:rsid w:val="00DB0C6D"/>
    <w:rsid w:val="00DB1802"/>
    <w:rsid w:val="00DB1994"/>
    <w:rsid w:val="00DB1D1F"/>
    <w:rsid w:val="00DB37A2"/>
    <w:rsid w:val="00DB3CDD"/>
    <w:rsid w:val="00DB433F"/>
    <w:rsid w:val="00DB52B4"/>
    <w:rsid w:val="00DB538E"/>
    <w:rsid w:val="00DB5DEB"/>
    <w:rsid w:val="00DB6AF5"/>
    <w:rsid w:val="00DB71A2"/>
    <w:rsid w:val="00DB74C1"/>
    <w:rsid w:val="00DC006D"/>
    <w:rsid w:val="00DC0F00"/>
    <w:rsid w:val="00DC1574"/>
    <w:rsid w:val="00DC1A73"/>
    <w:rsid w:val="00DC401F"/>
    <w:rsid w:val="00DC43CD"/>
    <w:rsid w:val="00DC5A86"/>
    <w:rsid w:val="00DC62F2"/>
    <w:rsid w:val="00DC6BB7"/>
    <w:rsid w:val="00DD3302"/>
    <w:rsid w:val="00DD358F"/>
    <w:rsid w:val="00DD427F"/>
    <w:rsid w:val="00DD4D06"/>
    <w:rsid w:val="00DD514C"/>
    <w:rsid w:val="00DD6423"/>
    <w:rsid w:val="00DD6AC9"/>
    <w:rsid w:val="00DD6B26"/>
    <w:rsid w:val="00DD6C67"/>
    <w:rsid w:val="00DD75BA"/>
    <w:rsid w:val="00DD7613"/>
    <w:rsid w:val="00DE016F"/>
    <w:rsid w:val="00DE08FE"/>
    <w:rsid w:val="00DE11ED"/>
    <w:rsid w:val="00DE1354"/>
    <w:rsid w:val="00DE1BD8"/>
    <w:rsid w:val="00DE2702"/>
    <w:rsid w:val="00DE2B99"/>
    <w:rsid w:val="00DE386F"/>
    <w:rsid w:val="00DE3A05"/>
    <w:rsid w:val="00DE3B28"/>
    <w:rsid w:val="00DE3FA5"/>
    <w:rsid w:val="00DE446E"/>
    <w:rsid w:val="00DE4533"/>
    <w:rsid w:val="00DE453F"/>
    <w:rsid w:val="00DE54AD"/>
    <w:rsid w:val="00DE6421"/>
    <w:rsid w:val="00DE78B9"/>
    <w:rsid w:val="00DF02F3"/>
    <w:rsid w:val="00DF0374"/>
    <w:rsid w:val="00DF0BA3"/>
    <w:rsid w:val="00DF11E2"/>
    <w:rsid w:val="00DF1769"/>
    <w:rsid w:val="00DF3B22"/>
    <w:rsid w:val="00DF3C5C"/>
    <w:rsid w:val="00DF473E"/>
    <w:rsid w:val="00DF4ADF"/>
    <w:rsid w:val="00DF5012"/>
    <w:rsid w:val="00DF5C4B"/>
    <w:rsid w:val="00DF79F1"/>
    <w:rsid w:val="00DF7A7A"/>
    <w:rsid w:val="00E00CAA"/>
    <w:rsid w:val="00E016D7"/>
    <w:rsid w:val="00E019D2"/>
    <w:rsid w:val="00E01A68"/>
    <w:rsid w:val="00E01D65"/>
    <w:rsid w:val="00E0217F"/>
    <w:rsid w:val="00E02E7F"/>
    <w:rsid w:val="00E037E1"/>
    <w:rsid w:val="00E048C9"/>
    <w:rsid w:val="00E06C75"/>
    <w:rsid w:val="00E06DE2"/>
    <w:rsid w:val="00E0731B"/>
    <w:rsid w:val="00E077BE"/>
    <w:rsid w:val="00E07C2F"/>
    <w:rsid w:val="00E1019F"/>
    <w:rsid w:val="00E1052D"/>
    <w:rsid w:val="00E11BD4"/>
    <w:rsid w:val="00E122DE"/>
    <w:rsid w:val="00E1276F"/>
    <w:rsid w:val="00E12F34"/>
    <w:rsid w:val="00E134E2"/>
    <w:rsid w:val="00E1383D"/>
    <w:rsid w:val="00E138E3"/>
    <w:rsid w:val="00E1416A"/>
    <w:rsid w:val="00E1419F"/>
    <w:rsid w:val="00E15450"/>
    <w:rsid w:val="00E15EAD"/>
    <w:rsid w:val="00E160E2"/>
    <w:rsid w:val="00E1672B"/>
    <w:rsid w:val="00E1683D"/>
    <w:rsid w:val="00E1712D"/>
    <w:rsid w:val="00E1752B"/>
    <w:rsid w:val="00E17DAB"/>
    <w:rsid w:val="00E17F4B"/>
    <w:rsid w:val="00E20CA3"/>
    <w:rsid w:val="00E2124A"/>
    <w:rsid w:val="00E218C8"/>
    <w:rsid w:val="00E21A24"/>
    <w:rsid w:val="00E22167"/>
    <w:rsid w:val="00E2365D"/>
    <w:rsid w:val="00E23891"/>
    <w:rsid w:val="00E23BE5"/>
    <w:rsid w:val="00E245C3"/>
    <w:rsid w:val="00E2543D"/>
    <w:rsid w:val="00E26BD7"/>
    <w:rsid w:val="00E26DCD"/>
    <w:rsid w:val="00E271CF"/>
    <w:rsid w:val="00E27573"/>
    <w:rsid w:val="00E27AAC"/>
    <w:rsid w:val="00E31EAB"/>
    <w:rsid w:val="00E32A7F"/>
    <w:rsid w:val="00E336F5"/>
    <w:rsid w:val="00E337E9"/>
    <w:rsid w:val="00E33FA3"/>
    <w:rsid w:val="00E34307"/>
    <w:rsid w:val="00E34BCB"/>
    <w:rsid w:val="00E34EE8"/>
    <w:rsid w:val="00E3522E"/>
    <w:rsid w:val="00E35FCE"/>
    <w:rsid w:val="00E35FE7"/>
    <w:rsid w:val="00E36737"/>
    <w:rsid w:val="00E36EDB"/>
    <w:rsid w:val="00E37A4D"/>
    <w:rsid w:val="00E37E4F"/>
    <w:rsid w:val="00E40E47"/>
    <w:rsid w:val="00E42085"/>
    <w:rsid w:val="00E4251F"/>
    <w:rsid w:val="00E42706"/>
    <w:rsid w:val="00E43384"/>
    <w:rsid w:val="00E43570"/>
    <w:rsid w:val="00E43879"/>
    <w:rsid w:val="00E43BFC"/>
    <w:rsid w:val="00E45275"/>
    <w:rsid w:val="00E45FDE"/>
    <w:rsid w:val="00E467CC"/>
    <w:rsid w:val="00E46EDE"/>
    <w:rsid w:val="00E50489"/>
    <w:rsid w:val="00E51213"/>
    <w:rsid w:val="00E516CE"/>
    <w:rsid w:val="00E51BC4"/>
    <w:rsid w:val="00E529A0"/>
    <w:rsid w:val="00E52CD7"/>
    <w:rsid w:val="00E5339D"/>
    <w:rsid w:val="00E53896"/>
    <w:rsid w:val="00E53910"/>
    <w:rsid w:val="00E5410C"/>
    <w:rsid w:val="00E5436F"/>
    <w:rsid w:val="00E551E8"/>
    <w:rsid w:val="00E55946"/>
    <w:rsid w:val="00E564A8"/>
    <w:rsid w:val="00E56874"/>
    <w:rsid w:val="00E56D9D"/>
    <w:rsid w:val="00E57D40"/>
    <w:rsid w:val="00E57E0D"/>
    <w:rsid w:val="00E602C1"/>
    <w:rsid w:val="00E6119C"/>
    <w:rsid w:val="00E6123F"/>
    <w:rsid w:val="00E613C4"/>
    <w:rsid w:val="00E619C5"/>
    <w:rsid w:val="00E61DFD"/>
    <w:rsid w:val="00E62B33"/>
    <w:rsid w:val="00E63401"/>
    <w:rsid w:val="00E64850"/>
    <w:rsid w:val="00E64EF6"/>
    <w:rsid w:val="00E65D5D"/>
    <w:rsid w:val="00E65E28"/>
    <w:rsid w:val="00E66D06"/>
    <w:rsid w:val="00E66EA8"/>
    <w:rsid w:val="00E67064"/>
    <w:rsid w:val="00E67600"/>
    <w:rsid w:val="00E67F2B"/>
    <w:rsid w:val="00E7030B"/>
    <w:rsid w:val="00E710A8"/>
    <w:rsid w:val="00E71670"/>
    <w:rsid w:val="00E71A60"/>
    <w:rsid w:val="00E7345B"/>
    <w:rsid w:val="00E73790"/>
    <w:rsid w:val="00E737B5"/>
    <w:rsid w:val="00E741E0"/>
    <w:rsid w:val="00E74D41"/>
    <w:rsid w:val="00E75072"/>
    <w:rsid w:val="00E75562"/>
    <w:rsid w:val="00E77E6A"/>
    <w:rsid w:val="00E800C5"/>
    <w:rsid w:val="00E80159"/>
    <w:rsid w:val="00E80395"/>
    <w:rsid w:val="00E80C08"/>
    <w:rsid w:val="00E82EE3"/>
    <w:rsid w:val="00E8319D"/>
    <w:rsid w:val="00E8334F"/>
    <w:rsid w:val="00E83635"/>
    <w:rsid w:val="00E838F4"/>
    <w:rsid w:val="00E83C6D"/>
    <w:rsid w:val="00E84185"/>
    <w:rsid w:val="00E85064"/>
    <w:rsid w:val="00E8526C"/>
    <w:rsid w:val="00E86AD6"/>
    <w:rsid w:val="00E87DEC"/>
    <w:rsid w:val="00E908A9"/>
    <w:rsid w:val="00E9094A"/>
    <w:rsid w:val="00E920F5"/>
    <w:rsid w:val="00E92EF1"/>
    <w:rsid w:val="00E9347A"/>
    <w:rsid w:val="00E94349"/>
    <w:rsid w:val="00E951F1"/>
    <w:rsid w:val="00E9566B"/>
    <w:rsid w:val="00E96310"/>
    <w:rsid w:val="00E963ED"/>
    <w:rsid w:val="00E969DF"/>
    <w:rsid w:val="00E972A4"/>
    <w:rsid w:val="00EA02EA"/>
    <w:rsid w:val="00EA095F"/>
    <w:rsid w:val="00EA0F51"/>
    <w:rsid w:val="00EA14C9"/>
    <w:rsid w:val="00EA1762"/>
    <w:rsid w:val="00EA1D91"/>
    <w:rsid w:val="00EA2006"/>
    <w:rsid w:val="00EA24B8"/>
    <w:rsid w:val="00EA2BA6"/>
    <w:rsid w:val="00EA40FC"/>
    <w:rsid w:val="00EA5AD3"/>
    <w:rsid w:val="00EA6009"/>
    <w:rsid w:val="00EA640A"/>
    <w:rsid w:val="00EA640D"/>
    <w:rsid w:val="00EA6D12"/>
    <w:rsid w:val="00EB0F8B"/>
    <w:rsid w:val="00EB294A"/>
    <w:rsid w:val="00EB337A"/>
    <w:rsid w:val="00EB35B0"/>
    <w:rsid w:val="00EB4BB9"/>
    <w:rsid w:val="00EB5082"/>
    <w:rsid w:val="00EB59CD"/>
    <w:rsid w:val="00EB5B58"/>
    <w:rsid w:val="00EB5C99"/>
    <w:rsid w:val="00EB6FA0"/>
    <w:rsid w:val="00EB70EA"/>
    <w:rsid w:val="00EB7520"/>
    <w:rsid w:val="00EB798B"/>
    <w:rsid w:val="00EC0788"/>
    <w:rsid w:val="00EC0AA5"/>
    <w:rsid w:val="00EC0F05"/>
    <w:rsid w:val="00EC1D28"/>
    <w:rsid w:val="00EC1F6A"/>
    <w:rsid w:val="00EC22E1"/>
    <w:rsid w:val="00EC27B1"/>
    <w:rsid w:val="00EC3DE2"/>
    <w:rsid w:val="00EC49A0"/>
    <w:rsid w:val="00EC5911"/>
    <w:rsid w:val="00EC5A04"/>
    <w:rsid w:val="00EC7343"/>
    <w:rsid w:val="00EC7B27"/>
    <w:rsid w:val="00ED0413"/>
    <w:rsid w:val="00ED0B80"/>
    <w:rsid w:val="00ED2933"/>
    <w:rsid w:val="00ED491A"/>
    <w:rsid w:val="00ED4A51"/>
    <w:rsid w:val="00ED4F37"/>
    <w:rsid w:val="00ED5A7C"/>
    <w:rsid w:val="00ED5ABA"/>
    <w:rsid w:val="00ED5D06"/>
    <w:rsid w:val="00ED733D"/>
    <w:rsid w:val="00ED77DA"/>
    <w:rsid w:val="00ED7D01"/>
    <w:rsid w:val="00EE0D63"/>
    <w:rsid w:val="00EE0DA2"/>
    <w:rsid w:val="00EE0F88"/>
    <w:rsid w:val="00EE17C2"/>
    <w:rsid w:val="00EE2624"/>
    <w:rsid w:val="00EE2FB8"/>
    <w:rsid w:val="00EE3133"/>
    <w:rsid w:val="00EE319D"/>
    <w:rsid w:val="00EE3B36"/>
    <w:rsid w:val="00EE532E"/>
    <w:rsid w:val="00EE55A4"/>
    <w:rsid w:val="00EE59FD"/>
    <w:rsid w:val="00EE5CC6"/>
    <w:rsid w:val="00EE5ECD"/>
    <w:rsid w:val="00EE68A0"/>
    <w:rsid w:val="00EE6EEC"/>
    <w:rsid w:val="00EE6F03"/>
    <w:rsid w:val="00EE758B"/>
    <w:rsid w:val="00EE76A4"/>
    <w:rsid w:val="00EF169A"/>
    <w:rsid w:val="00EF1C17"/>
    <w:rsid w:val="00EF1C1A"/>
    <w:rsid w:val="00EF203F"/>
    <w:rsid w:val="00EF2215"/>
    <w:rsid w:val="00EF2385"/>
    <w:rsid w:val="00EF26E7"/>
    <w:rsid w:val="00EF3D7F"/>
    <w:rsid w:val="00EF459D"/>
    <w:rsid w:val="00EF4BEF"/>
    <w:rsid w:val="00EF5BB8"/>
    <w:rsid w:val="00EF6D00"/>
    <w:rsid w:val="00EF7752"/>
    <w:rsid w:val="00EF7882"/>
    <w:rsid w:val="00EF7C10"/>
    <w:rsid w:val="00F00BEB"/>
    <w:rsid w:val="00F010A6"/>
    <w:rsid w:val="00F013B1"/>
    <w:rsid w:val="00F015B2"/>
    <w:rsid w:val="00F03C00"/>
    <w:rsid w:val="00F03FFB"/>
    <w:rsid w:val="00F04297"/>
    <w:rsid w:val="00F04DA2"/>
    <w:rsid w:val="00F059E5"/>
    <w:rsid w:val="00F05D81"/>
    <w:rsid w:val="00F05DF9"/>
    <w:rsid w:val="00F0742F"/>
    <w:rsid w:val="00F1174A"/>
    <w:rsid w:val="00F11871"/>
    <w:rsid w:val="00F127BB"/>
    <w:rsid w:val="00F12868"/>
    <w:rsid w:val="00F12998"/>
    <w:rsid w:val="00F13671"/>
    <w:rsid w:val="00F13977"/>
    <w:rsid w:val="00F13E97"/>
    <w:rsid w:val="00F14942"/>
    <w:rsid w:val="00F14CB6"/>
    <w:rsid w:val="00F14D41"/>
    <w:rsid w:val="00F15593"/>
    <w:rsid w:val="00F15984"/>
    <w:rsid w:val="00F15C51"/>
    <w:rsid w:val="00F15EF9"/>
    <w:rsid w:val="00F16851"/>
    <w:rsid w:val="00F16CDB"/>
    <w:rsid w:val="00F17132"/>
    <w:rsid w:val="00F17F25"/>
    <w:rsid w:val="00F20A71"/>
    <w:rsid w:val="00F214BA"/>
    <w:rsid w:val="00F2186F"/>
    <w:rsid w:val="00F2264A"/>
    <w:rsid w:val="00F22C46"/>
    <w:rsid w:val="00F22E3B"/>
    <w:rsid w:val="00F23374"/>
    <w:rsid w:val="00F242A3"/>
    <w:rsid w:val="00F244FA"/>
    <w:rsid w:val="00F25FFA"/>
    <w:rsid w:val="00F262F5"/>
    <w:rsid w:val="00F30105"/>
    <w:rsid w:val="00F318FC"/>
    <w:rsid w:val="00F321BA"/>
    <w:rsid w:val="00F3239A"/>
    <w:rsid w:val="00F32CF2"/>
    <w:rsid w:val="00F33CDB"/>
    <w:rsid w:val="00F341C4"/>
    <w:rsid w:val="00F3432F"/>
    <w:rsid w:val="00F3492E"/>
    <w:rsid w:val="00F34A48"/>
    <w:rsid w:val="00F34C70"/>
    <w:rsid w:val="00F3513A"/>
    <w:rsid w:val="00F35337"/>
    <w:rsid w:val="00F3643B"/>
    <w:rsid w:val="00F36476"/>
    <w:rsid w:val="00F36C02"/>
    <w:rsid w:val="00F37225"/>
    <w:rsid w:val="00F37366"/>
    <w:rsid w:val="00F432F3"/>
    <w:rsid w:val="00F447EE"/>
    <w:rsid w:val="00F45602"/>
    <w:rsid w:val="00F45DB3"/>
    <w:rsid w:val="00F45F7F"/>
    <w:rsid w:val="00F46792"/>
    <w:rsid w:val="00F46B55"/>
    <w:rsid w:val="00F47FFD"/>
    <w:rsid w:val="00F50DA3"/>
    <w:rsid w:val="00F51B46"/>
    <w:rsid w:val="00F51E0C"/>
    <w:rsid w:val="00F52558"/>
    <w:rsid w:val="00F5402D"/>
    <w:rsid w:val="00F55A86"/>
    <w:rsid w:val="00F55CEA"/>
    <w:rsid w:val="00F579F5"/>
    <w:rsid w:val="00F57C6A"/>
    <w:rsid w:val="00F60E9E"/>
    <w:rsid w:val="00F60EE8"/>
    <w:rsid w:val="00F63F50"/>
    <w:rsid w:val="00F642B5"/>
    <w:rsid w:val="00F642D7"/>
    <w:rsid w:val="00F64328"/>
    <w:rsid w:val="00F645C8"/>
    <w:rsid w:val="00F647CF"/>
    <w:rsid w:val="00F65AE7"/>
    <w:rsid w:val="00F7016A"/>
    <w:rsid w:val="00F720A6"/>
    <w:rsid w:val="00F72965"/>
    <w:rsid w:val="00F72B48"/>
    <w:rsid w:val="00F7326B"/>
    <w:rsid w:val="00F744F6"/>
    <w:rsid w:val="00F75FCB"/>
    <w:rsid w:val="00F7730A"/>
    <w:rsid w:val="00F816DE"/>
    <w:rsid w:val="00F81CC1"/>
    <w:rsid w:val="00F8259E"/>
    <w:rsid w:val="00F8285A"/>
    <w:rsid w:val="00F82C4B"/>
    <w:rsid w:val="00F83157"/>
    <w:rsid w:val="00F8420E"/>
    <w:rsid w:val="00F84B4D"/>
    <w:rsid w:val="00F84BED"/>
    <w:rsid w:val="00F84E46"/>
    <w:rsid w:val="00F85162"/>
    <w:rsid w:val="00F8547D"/>
    <w:rsid w:val="00F86194"/>
    <w:rsid w:val="00F87250"/>
    <w:rsid w:val="00F90592"/>
    <w:rsid w:val="00F90DC1"/>
    <w:rsid w:val="00F91BC7"/>
    <w:rsid w:val="00F91CB4"/>
    <w:rsid w:val="00F9269F"/>
    <w:rsid w:val="00F92EEE"/>
    <w:rsid w:val="00F93081"/>
    <w:rsid w:val="00F941E5"/>
    <w:rsid w:val="00F943A1"/>
    <w:rsid w:val="00F948DA"/>
    <w:rsid w:val="00F95E09"/>
    <w:rsid w:val="00F963EA"/>
    <w:rsid w:val="00F96481"/>
    <w:rsid w:val="00F9652F"/>
    <w:rsid w:val="00F97015"/>
    <w:rsid w:val="00F971F5"/>
    <w:rsid w:val="00F97C55"/>
    <w:rsid w:val="00F97EFE"/>
    <w:rsid w:val="00FA12D6"/>
    <w:rsid w:val="00FA1FC0"/>
    <w:rsid w:val="00FA23FE"/>
    <w:rsid w:val="00FA2439"/>
    <w:rsid w:val="00FA26E6"/>
    <w:rsid w:val="00FA2D1E"/>
    <w:rsid w:val="00FA2D96"/>
    <w:rsid w:val="00FA3D96"/>
    <w:rsid w:val="00FA3E8A"/>
    <w:rsid w:val="00FA42E7"/>
    <w:rsid w:val="00FA5AEA"/>
    <w:rsid w:val="00FA5D65"/>
    <w:rsid w:val="00FA6C59"/>
    <w:rsid w:val="00FA708B"/>
    <w:rsid w:val="00FA7491"/>
    <w:rsid w:val="00FB0A32"/>
    <w:rsid w:val="00FB0CCD"/>
    <w:rsid w:val="00FB1B90"/>
    <w:rsid w:val="00FB1BDD"/>
    <w:rsid w:val="00FB2A48"/>
    <w:rsid w:val="00FB509B"/>
    <w:rsid w:val="00FB55DF"/>
    <w:rsid w:val="00FB6173"/>
    <w:rsid w:val="00FB65BB"/>
    <w:rsid w:val="00FB6DA9"/>
    <w:rsid w:val="00FB7DFB"/>
    <w:rsid w:val="00FC01C2"/>
    <w:rsid w:val="00FC0D4B"/>
    <w:rsid w:val="00FC1F11"/>
    <w:rsid w:val="00FC1FD0"/>
    <w:rsid w:val="00FC2383"/>
    <w:rsid w:val="00FC2639"/>
    <w:rsid w:val="00FC291A"/>
    <w:rsid w:val="00FC3357"/>
    <w:rsid w:val="00FC3AE9"/>
    <w:rsid w:val="00FC48BE"/>
    <w:rsid w:val="00FC4D4A"/>
    <w:rsid w:val="00FC62D3"/>
    <w:rsid w:val="00FC6689"/>
    <w:rsid w:val="00FC6EB0"/>
    <w:rsid w:val="00FC721E"/>
    <w:rsid w:val="00FD0FCE"/>
    <w:rsid w:val="00FD120E"/>
    <w:rsid w:val="00FD1E9D"/>
    <w:rsid w:val="00FD207C"/>
    <w:rsid w:val="00FD2B26"/>
    <w:rsid w:val="00FD2C9F"/>
    <w:rsid w:val="00FD2CCD"/>
    <w:rsid w:val="00FD3778"/>
    <w:rsid w:val="00FD415D"/>
    <w:rsid w:val="00FD5577"/>
    <w:rsid w:val="00FD5BAD"/>
    <w:rsid w:val="00FD6247"/>
    <w:rsid w:val="00FD63B7"/>
    <w:rsid w:val="00FD65E6"/>
    <w:rsid w:val="00FD69CD"/>
    <w:rsid w:val="00FD6C00"/>
    <w:rsid w:val="00FD6EC1"/>
    <w:rsid w:val="00FD737B"/>
    <w:rsid w:val="00FD7CAF"/>
    <w:rsid w:val="00FD7EAA"/>
    <w:rsid w:val="00FE0A07"/>
    <w:rsid w:val="00FE121F"/>
    <w:rsid w:val="00FE1B3F"/>
    <w:rsid w:val="00FE1BBC"/>
    <w:rsid w:val="00FE1F5E"/>
    <w:rsid w:val="00FE251C"/>
    <w:rsid w:val="00FE25CD"/>
    <w:rsid w:val="00FE36CC"/>
    <w:rsid w:val="00FE3B93"/>
    <w:rsid w:val="00FE6893"/>
    <w:rsid w:val="00FE6DEE"/>
    <w:rsid w:val="00FE6E06"/>
    <w:rsid w:val="00FE7348"/>
    <w:rsid w:val="00FE7C7B"/>
    <w:rsid w:val="00FE7FBE"/>
    <w:rsid w:val="00FF31E0"/>
    <w:rsid w:val="00FF32BF"/>
    <w:rsid w:val="00FF4C68"/>
    <w:rsid w:val="00FF4EE7"/>
    <w:rsid w:val="00FF55AD"/>
    <w:rsid w:val="00FF6508"/>
    <w:rsid w:val="011F41C9"/>
    <w:rsid w:val="014BD790"/>
    <w:rsid w:val="0156A656"/>
    <w:rsid w:val="015A4065"/>
    <w:rsid w:val="016E8912"/>
    <w:rsid w:val="01731C83"/>
    <w:rsid w:val="01ADC01A"/>
    <w:rsid w:val="01B51970"/>
    <w:rsid w:val="01B95A65"/>
    <w:rsid w:val="01C12914"/>
    <w:rsid w:val="01D3AD2A"/>
    <w:rsid w:val="01ECEEC3"/>
    <w:rsid w:val="01FA5248"/>
    <w:rsid w:val="01FEF8CC"/>
    <w:rsid w:val="02085101"/>
    <w:rsid w:val="02093E3F"/>
    <w:rsid w:val="0230EB5C"/>
    <w:rsid w:val="0255A38E"/>
    <w:rsid w:val="0265A799"/>
    <w:rsid w:val="028C10E7"/>
    <w:rsid w:val="02AE63C0"/>
    <w:rsid w:val="02C006F8"/>
    <w:rsid w:val="02CC52E2"/>
    <w:rsid w:val="02D2D8C6"/>
    <w:rsid w:val="02D6B346"/>
    <w:rsid w:val="02F598EC"/>
    <w:rsid w:val="03229F26"/>
    <w:rsid w:val="03262A0F"/>
    <w:rsid w:val="0341FCE6"/>
    <w:rsid w:val="034FAF1A"/>
    <w:rsid w:val="035F3DB7"/>
    <w:rsid w:val="03622C13"/>
    <w:rsid w:val="0378567E"/>
    <w:rsid w:val="0378B3F2"/>
    <w:rsid w:val="038318AD"/>
    <w:rsid w:val="03853BC1"/>
    <w:rsid w:val="03B0F5F2"/>
    <w:rsid w:val="03C975AB"/>
    <w:rsid w:val="03E91851"/>
    <w:rsid w:val="03F0477A"/>
    <w:rsid w:val="040A3E83"/>
    <w:rsid w:val="0438A40A"/>
    <w:rsid w:val="043F767E"/>
    <w:rsid w:val="04AA18DA"/>
    <w:rsid w:val="04B844DF"/>
    <w:rsid w:val="04BF56DA"/>
    <w:rsid w:val="04DF92E4"/>
    <w:rsid w:val="04EC3A6D"/>
    <w:rsid w:val="04F1B4F9"/>
    <w:rsid w:val="0508F399"/>
    <w:rsid w:val="051731DC"/>
    <w:rsid w:val="05421191"/>
    <w:rsid w:val="05456685"/>
    <w:rsid w:val="054A21E6"/>
    <w:rsid w:val="059D13D4"/>
    <w:rsid w:val="05A7130C"/>
    <w:rsid w:val="05ACAC54"/>
    <w:rsid w:val="05C8C5A1"/>
    <w:rsid w:val="05C9801A"/>
    <w:rsid w:val="05EF0F3D"/>
    <w:rsid w:val="0602540D"/>
    <w:rsid w:val="0608A2D3"/>
    <w:rsid w:val="062FC0AC"/>
    <w:rsid w:val="06564E54"/>
    <w:rsid w:val="0657ABAD"/>
    <w:rsid w:val="067BC287"/>
    <w:rsid w:val="06C7B6C7"/>
    <w:rsid w:val="06C80FF4"/>
    <w:rsid w:val="06C9869D"/>
    <w:rsid w:val="06F2A42F"/>
    <w:rsid w:val="06FFAB43"/>
    <w:rsid w:val="070B62C7"/>
    <w:rsid w:val="070C1E4E"/>
    <w:rsid w:val="0723F994"/>
    <w:rsid w:val="0739D194"/>
    <w:rsid w:val="073BFC33"/>
    <w:rsid w:val="074B686B"/>
    <w:rsid w:val="076A6019"/>
    <w:rsid w:val="07A0340D"/>
    <w:rsid w:val="07B34640"/>
    <w:rsid w:val="07BB1C28"/>
    <w:rsid w:val="07D48C00"/>
    <w:rsid w:val="07F40244"/>
    <w:rsid w:val="0815B368"/>
    <w:rsid w:val="081C18DA"/>
    <w:rsid w:val="082E7051"/>
    <w:rsid w:val="0836C38C"/>
    <w:rsid w:val="0850B9B0"/>
    <w:rsid w:val="086993CC"/>
    <w:rsid w:val="087B6D47"/>
    <w:rsid w:val="088232B6"/>
    <w:rsid w:val="089B4306"/>
    <w:rsid w:val="08A1B3EE"/>
    <w:rsid w:val="08A7890D"/>
    <w:rsid w:val="08BD5C51"/>
    <w:rsid w:val="08E9A97B"/>
    <w:rsid w:val="08F115AE"/>
    <w:rsid w:val="08FCAF5D"/>
    <w:rsid w:val="0907EF42"/>
    <w:rsid w:val="0912F20D"/>
    <w:rsid w:val="0917C858"/>
    <w:rsid w:val="093FCF7E"/>
    <w:rsid w:val="094DA46C"/>
    <w:rsid w:val="096B85D8"/>
    <w:rsid w:val="099604D0"/>
    <w:rsid w:val="09ADF9F7"/>
    <w:rsid w:val="09C90BBB"/>
    <w:rsid w:val="09FDCE91"/>
    <w:rsid w:val="09FF0210"/>
    <w:rsid w:val="0A055013"/>
    <w:rsid w:val="0A085DE8"/>
    <w:rsid w:val="0A15C7F1"/>
    <w:rsid w:val="0A190A79"/>
    <w:rsid w:val="0A1973B2"/>
    <w:rsid w:val="0A2045CF"/>
    <w:rsid w:val="0A2B45B2"/>
    <w:rsid w:val="0A33D175"/>
    <w:rsid w:val="0A3E123E"/>
    <w:rsid w:val="0A56E2CE"/>
    <w:rsid w:val="0A572AA9"/>
    <w:rsid w:val="0A77086E"/>
    <w:rsid w:val="0A78A609"/>
    <w:rsid w:val="0AC5DAE1"/>
    <w:rsid w:val="0AC80B7D"/>
    <w:rsid w:val="0AD4A240"/>
    <w:rsid w:val="0AFC42ED"/>
    <w:rsid w:val="0AFD5527"/>
    <w:rsid w:val="0B38E7AF"/>
    <w:rsid w:val="0B581703"/>
    <w:rsid w:val="0B6C28DC"/>
    <w:rsid w:val="0B80A60B"/>
    <w:rsid w:val="0BB01280"/>
    <w:rsid w:val="0BB1440E"/>
    <w:rsid w:val="0BB2414E"/>
    <w:rsid w:val="0BD48E01"/>
    <w:rsid w:val="0BEE2D32"/>
    <w:rsid w:val="0BFD2FBC"/>
    <w:rsid w:val="0C060B0D"/>
    <w:rsid w:val="0C06E795"/>
    <w:rsid w:val="0C2111CE"/>
    <w:rsid w:val="0C248B46"/>
    <w:rsid w:val="0C4F0E36"/>
    <w:rsid w:val="0C51F333"/>
    <w:rsid w:val="0C8422C1"/>
    <w:rsid w:val="0CA2D758"/>
    <w:rsid w:val="0CADF5DE"/>
    <w:rsid w:val="0CB6E34C"/>
    <w:rsid w:val="0CD90BD0"/>
    <w:rsid w:val="0CE6C916"/>
    <w:rsid w:val="0CF8BEA2"/>
    <w:rsid w:val="0D03683A"/>
    <w:rsid w:val="0D2C2E47"/>
    <w:rsid w:val="0D3843F5"/>
    <w:rsid w:val="0D468A6F"/>
    <w:rsid w:val="0D476C40"/>
    <w:rsid w:val="0D5C6929"/>
    <w:rsid w:val="0D78D785"/>
    <w:rsid w:val="0D8530A1"/>
    <w:rsid w:val="0D92D420"/>
    <w:rsid w:val="0D9AA2E7"/>
    <w:rsid w:val="0D9AC445"/>
    <w:rsid w:val="0DA2AE0B"/>
    <w:rsid w:val="0DAB3287"/>
    <w:rsid w:val="0DDDA97C"/>
    <w:rsid w:val="0E00735E"/>
    <w:rsid w:val="0E4ADE2E"/>
    <w:rsid w:val="0E5199B2"/>
    <w:rsid w:val="0E62052F"/>
    <w:rsid w:val="0E7208C3"/>
    <w:rsid w:val="0E761B78"/>
    <w:rsid w:val="0E9A27AA"/>
    <w:rsid w:val="0EA2D35A"/>
    <w:rsid w:val="0EC90FC5"/>
    <w:rsid w:val="0ED058ED"/>
    <w:rsid w:val="0ED629C0"/>
    <w:rsid w:val="0EF1BF7B"/>
    <w:rsid w:val="0EFEE573"/>
    <w:rsid w:val="0F1428DC"/>
    <w:rsid w:val="0F44ED05"/>
    <w:rsid w:val="0F5DA8EE"/>
    <w:rsid w:val="0F64011B"/>
    <w:rsid w:val="0F769339"/>
    <w:rsid w:val="0F7C71C1"/>
    <w:rsid w:val="0F8C94D5"/>
    <w:rsid w:val="0FBD1292"/>
    <w:rsid w:val="0FBED659"/>
    <w:rsid w:val="0FDCC5B9"/>
    <w:rsid w:val="1026709F"/>
    <w:rsid w:val="1044512D"/>
    <w:rsid w:val="104A0A72"/>
    <w:rsid w:val="105F2504"/>
    <w:rsid w:val="10852B90"/>
    <w:rsid w:val="108F98D9"/>
    <w:rsid w:val="10A592B6"/>
    <w:rsid w:val="10AACFDE"/>
    <w:rsid w:val="10C441C0"/>
    <w:rsid w:val="10C75342"/>
    <w:rsid w:val="10E5728D"/>
    <w:rsid w:val="10FFC6E2"/>
    <w:rsid w:val="110D6525"/>
    <w:rsid w:val="1120C8E6"/>
    <w:rsid w:val="1140A7C4"/>
    <w:rsid w:val="115408A1"/>
    <w:rsid w:val="1170D025"/>
    <w:rsid w:val="118CE425"/>
    <w:rsid w:val="1194AADD"/>
    <w:rsid w:val="11B3756F"/>
    <w:rsid w:val="11BEE7B0"/>
    <w:rsid w:val="11D4FBB9"/>
    <w:rsid w:val="11FB29EB"/>
    <w:rsid w:val="1203EA9F"/>
    <w:rsid w:val="1207689C"/>
    <w:rsid w:val="12181F85"/>
    <w:rsid w:val="12240368"/>
    <w:rsid w:val="1234DAA1"/>
    <w:rsid w:val="12406D4F"/>
    <w:rsid w:val="1270AE32"/>
    <w:rsid w:val="12A351F8"/>
    <w:rsid w:val="12B1F906"/>
    <w:rsid w:val="12B79941"/>
    <w:rsid w:val="12C2A078"/>
    <w:rsid w:val="12C62D2E"/>
    <w:rsid w:val="12DA6B7D"/>
    <w:rsid w:val="12F4AB44"/>
    <w:rsid w:val="12FC4C7A"/>
    <w:rsid w:val="1304DA72"/>
    <w:rsid w:val="13070DC4"/>
    <w:rsid w:val="1323FB2C"/>
    <w:rsid w:val="13505F6C"/>
    <w:rsid w:val="135C08FA"/>
    <w:rsid w:val="135DA683"/>
    <w:rsid w:val="1378CCBD"/>
    <w:rsid w:val="13855BB9"/>
    <w:rsid w:val="1386AB99"/>
    <w:rsid w:val="1396BAD8"/>
    <w:rsid w:val="139D6C1A"/>
    <w:rsid w:val="13ACCDA4"/>
    <w:rsid w:val="13BD9015"/>
    <w:rsid w:val="13BEB908"/>
    <w:rsid w:val="13CE282F"/>
    <w:rsid w:val="13FFECE6"/>
    <w:rsid w:val="14110855"/>
    <w:rsid w:val="141537E3"/>
    <w:rsid w:val="1417AF82"/>
    <w:rsid w:val="1424FE23"/>
    <w:rsid w:val="142639B5"/>
    <w:rsid w:val="1442729C"/>
    <w:rsid w:val="145D947F"/>
    <w:rsid w:val="146202E3"/>
    <w:rsid w:val="1468C179"/>
    <w:rsid w:val="1481103A"/>
    <w:rsid w:val="14A9C78F"/>
    <w:rsid w:val="14D1FF16"/>
    <w:rsid w:val="14E17480"/>
    <w:rsid w:val="154256F4"/>
    <w:rsid w:val="157C95BF"/>
    <w:rsid w:val="1586F06D"/>
    <w:rsid w:val="15870834"/>
    <w:rsid w:val="158F577B"/>
    <w:rsid w:val="1593C1C7"/>
    <w:rsid w:val="15A833A5"/>
    <w:rsid w:val="15BF6B17"/>
    <w:rsid w:val="15BFE81D"/>
    <w:rsid w:val="15FC428F"/>
    <w:rsid w:val="15FF5C45"/>
    <w:rsid w:val="16018689"/>
    <w:rsid w:val="1602AF98"/>
    <w:rsid w:val="160F1BB0"/>
    <w:rsid w:val="1619E0D1"/>
    <w:rsid w:val="1628C763"/>
    <w:rsid w:val="164BD253"/>
    <w:rsid w:val="16573782"/>
    <w:rsid w:val="16803697"/>
    <w:rsid w:val="1683B4CC"/>
    <w:rsid w:val="1689814D"/>
    <w:rsid w:val="168B9200"/>
    <w:rsid w:val="168D1DF7"/>
    <w:rsid w:val="1692DA39"/>
    <w:rsid w:val="1692FAE3"/>
    <w:rsid w:val="169CC834"/>
    <w:rsid w:val="16C67F22"/>
    <w:rsid w:val="16E1DDB5"/>
    <w:rsid w:val="16FDFB23"/>
    <w:rsid w:val="17116642"/>
    <w:rsid w:val="173C8E8D"/>
    <w:rsid w:val="1743B3D7"/>
    <w:rsid w:val="17583584"/>
    <w:rsid w:val="178E4C08"/>
    <w:rsid w:val="17983ED1"/>
    <w:rsid w:val="17A0E061"/>
    <w:rsid w:val="17B60BCD"/>
    <w:rsid w:val="17D97090"/>
    <w:rsid w:val="17E4FEEF"/>
    <w:rsid w:val="17ECDE9C"/>
    <w:rsid w:val="180B7F16"/>
    <w:rsid w:val="180DABC4"/>
    <w:rsid w:val="182CD46E"/>
    <w:rsid w:val="18335A52"/>
    <w:rsid w:val="18358214"/>
    <w:rsid w:val="1836A4FA"/>
    <w:rsid w:val="183C759C"/>
    <w:rsid w:val="183CE055"/>
    <w:rsid w:val="183E46FC"/>
    <w:rsid w:val="185F3CC4"/>
    <w:rsid w:val="18977D82"/>
    <w:rsid w:val="189CA1D8"/>
    <w:rsid w:val="18A3F706"/>
    <w:rsid w:val="18CF3024"/>
    <w:rsid w:val="18D9E809"/>
    <w:rsid w:val="18F34401"/>
    <w:rsid w:val="1905CC99"/>
    <w:rsid w:val="190A9AA8"/>
    <w:rsid w:val="1921738C"/>
    <w:rsid w:val="195C1894"/>
    <w:rsid w:val="196853D9"/>
    <w:rsid w:val="199139D5"/>
    <w:rsid w:val="19A26A69"/>
    <w:rsid w:val="19A86243"/>
    <w:rsid w:val="19C32B22"/>
    <w:rsid w:val="19C9C94E"/>
    <w:rsid w:val="19F33722"/>
    <w:rsid w:val="19FEFF16"/>
    <w:rsid w:val="1A17F1AC"/>
    <w:rsid w:val="1A35A949"/>
    <w:rsid w:val="1A4853A3"/>
    <w:rsid w:val="1A5298D4"/>
    <w:rsid w:val="1A60FEFD"/>
    <w:rsid w:val="1A68BFD1"/>
    <w:rsid w:val="1A871C31"/>
    <w:rsid w:val="1A8ABADC"/>
    <w:rsid w:val="1A8C6BFD"/>
    <w:rsid w:val="1A91F93C"/>
    <w:rsid w:val="1A946A31"/>
    <w:rsid w:val="1A96250D"/>
    <w:rsid w:val="1A96623C"/>
    <w:rsid w:val="1A9E7F8C"/>
    <w:rsid w:val="1AA13606"/>
    <w:rsid w:val="1ABD4394"/>
    <w:rsid w:val="1AF9E0C6"/>
    <w:rsid w:val="1AFF7DE2"/>
    <w:rsid w:val="1B264838"/>
    <w:rsid w:val="1B3490B4"/>
    <w:rsid w:val="1B46EAB5"/>
    <w:rsid w:val="1B589077"/>
    <w:rsid w:val="1B58C4C0"/>
    <w:rsid w:val="1B910379"/>
    <w:rsid w:val="1B919FA2"/>
    <w:rsid w:val="1B9E845B"/>
    <w:rsid w:val="1BE6D0A0"/>
    <w:rsid w:val="1C0A658E"/>
    <w:rsid w:val="1C26DEA2"/>
    <w:rsid w:val="1C3B891D"/>
    <w:rsid w:val="1C46DD7C"/>
    <w:rsid w:val="1C48E98A"/>
    <w:rsid w:val="1C49E729"/>
    <w:rsid w:val="1C4C8136"/>
    <w:rsid w:val="1C59B8B2"/>
    <w:rsid w:val="1C5C5E76"/>
    <w:rsid w:val="1C7CABC1"/>
    <w:rsid w:val="1C8DB5DB"/>
    <w:rsid w:val="1CA7F41D"/>
    <w:rsid w:val="1CD52470"/>
    <w:rsid w:val="1CEC4252"/>
    <w:rsid w:val="1CECAAF1"/>
    <w:rsid w:val="1CF576AF"/>
    <w:rsid w:val="1D0B1FC8"/>
    <w:rsid w:val="1D20DE90"/>
    <w:rsid w:val="1D220DD7"/>
    <w:rsid w:val="1D2646A7"/>
    <w:rsid w:val="1D51381B"/>
    <w:rsid w:val="1D601C72"/>
    <w:rsid w:val="1D80C0B0"/>
    <w:rsid w:val="1D8234C7"/>
    <w:rsid w:val="1D84DE03"/>
    <w:rsid w:val="1DB8C433"/>
    <w:rsid w:val="1DC1F8F9"/>
    <w:rsid w:val="1DD04EC4"/>
    <w:rsid w:val="1DF170B5"/>
    <w:rsid w:val="1DF1C40A"/>
    <w:rsid w:val="1E0DBE7E"/>
    <w:rsid w:val="1E204DC3"/>
    <w:rsid w:val="1E30E0F9"/>
    <w:rsid w:val="1E3C611C"/>
    <w:rsid w:val="1E3F33F4"/>
    <w:rsid w:val="1E5E5204"/>
    <w:rsid w:val="1E8DB59D"/>
    <w:rsid w:val="1E9BBF4A"/>
    <w:rsid w:val="1EB4C8FD"/>
    <w:rsid w:val="1EBBD9B5"/>
    <w:rsid w:val="1EC67DDD"/>
    <w:rsid w:val="1ECC509B"/>
    <w:rsid w:val="1EF04E7F"/>
    <w:rsid w:val="1F0425A2"/>
    <w:rsid w:val="1F04DCAD"/>
    <w:rsid w:val="1F0747B6"/>
    <w:rsid w:val="1F119152"/>
    <w:rsid w:val="1F1AFDFA"/>
    <w:rsid w:val="1F300CB3"/>
    <w:rsid w:val="1F651777"/>
    <w:rsid w:val="1F6D58AD"/>
    <w:rsid w:val="1F6F0134"/>
    <w:rsid w:val="1F9C9BED"/>
    <w:rsid w:val="1FAE7F77"/>
    <w:rsid w:val="1FB232B6"/>
    <w:rsid w:val="1FB76E5B"/>
    <w:rsid w:val="1FB7C45E"/>
    <w:rsid w:val="1FE714E5"/>
    <w:rsid w:val="201603C0"/>
    <w:rsid w:val="2017AA38"/>
    <w:rsid w:val="201A585A"/>
    <w:rsid w:val="201AD07E"/>
    <w:rsid w:val="203B4509"/>
    <w:rsid w:val="20A57BB1"/>
    <w:rsid w:val="20A79997"/>
    <w:rsid w:val="20D42545"/>
    <w:rsid w:val="20D59115"/>
    <w:rsid w:val="20E3C52F"/>
    <w:rsid w:val="20E645CA"/>
    <w:rsid w:val="20EAD842"/>
    <w:rsid w:val="20EB8315"/>
    <w:rsid w:val="20EEF789"/>
    <w:rsid w:val="20F37EA0"/>
    <w:rsid w:val="210353F5"/>
    <w:rsid w:val="2141F6A2"/>
    <w:rsid w:val="2144CFA3"/>
    <w:rsid w:val="21818C5E"/>
    <w:rsid w:val="218B06D1"/>
    <w:rsid w:val="219D90BC"/>
    <w:rsid w:val="21AEA455"/>
    <w:rsid w:val="21AFCD02"/>
    <w:rsid w:val="21B0E6C5"/>
    <w:rsid w:val="21B2EF70"/>
    <w:rsid w:val="21B6F8B4"/>
    <w:rsid w:val="21C27AE2"/>
    <w:rsid w:val="21FD6895"/>
    <w:rsid w:val="22035CE2"/>
    <w:rsid w:val="2207D374"/>
    <w:rsid w:val="223CA482"/>
    <w:rsid w:val="228546E2"/>
    <w:rsid w:val="22B32505"/>
    <w:rsid w:val="22BFEBE2"/>
    <w:rsid w:val="22D7052D"/>
    <w:rsid w:val="22E5ECDC"/>
    <w:rsid w:val="2312073F"/>
    <w:rsid w:val="23156C5B"/>
    <w:rsid w:val="2327A92C"/>
    <w:rsid w:val="232CDF33"/>
    <w:rsid w:val="23447B5F"/>
    <w:rsid w:val="2346FAD5"/>
    <w:rsid w:val="2349DEA6"/>
    <w:rsid w:val="235E6775"/>
    <w:rsid w:val="2369D55D"/>
    <w:rsid w:val="236E67E9"/>
    <w:rsid w:val="23D26D20"/>
    <w:rsid w:val="240FF8CE"/>
    <w:rsid w:val="242D70CB"/>
    <w:rsid w:val="243092D0"/>
    <w:rsid w:val="243AEA73"/>
    <w:rsid w:val="243E25D8"/>
    <w:rsid w:val="2467DC33"/>
    <w:rsid w:val="247AF85C"/>
    <w:rsid w:val="247AFB6C"/>
    <w:rsid w:val="2493EA5D"/>
    <w:rsid w:val="24ACFF4B"/>
    <w:rsid w:val="24BDABA9"/>
    <w:rsid w:val="24BE28BB"/>
    <w:rsid w:val="24BF0BBA"/>
    <w:rsid w:val="24FB7D65"/>
    <w:rsid w:val="251017ED"/>
    <w:rsid w:val="25184A84"/>
    <w:rsid w:val="252591EB"/>
    <w:rsid w:val="255818DE"/>
    <w:rsid w:val="2598DE8C"/>
    <w:rsid w:val="259D2BFE"/>
    <w:rsid w:val="25AFF452"/>
    <w:rsid w:val="25CA846D"/>
    <w:rsid w:val="25CEF4BE"/>
    <w:rsid w:val="25D5CB9B"/>
    <w:rsid w:val="25EC5776"/>
    <w:rsid w:val="25F7BE2B"/>
    <w:rsid w:val="262BC143"/>
    <w:rsid w:val="264CEA81"/>
    <w:rsid w:val="264E41E8"/>
    <w:rsid w:val="26863CCB"/>
    <w:rsid w:val="269AD92E"/>
    <w:rsid w:val="26CE95DE"/>
    <w:rsid w:val="26EA9885"/>
    <w:rsid w:val="270B5E3C"/>
    <w:rsid w:val="271BC502"/>
    <w:rsid w:val="274D533D"/>
    <w:rsid w:val="2767A103"/>
    <w:rsid w:val="27786F3B"/>
    <w:rsid w:val="278C9850"/>
    <w:rsid w:val="27A2224A"/>
    <w:rsid w:val="27A4E687"/>
    <w:rsid w:val="27CF10C0"/>
    <w:rsid w:val="27D04A3D"/>
    <w:rsid w:val="27DBA501"/>
    <w:rsid w:val="283C573B"/>
    <w:rsid w:val="285B73E5"/>
    <w:rsid w:val="2865C22C"/>
    <w:rsid w:val="287FB5F0"/>
    <w:rsid w:val="288EEF57"/>
    <w:rsid w:val="28AB7F6D"/>
    <w:rsid w:val="28E9F44F"/>
    <w:rsid w:val="28FB714E"/>
    <w:rsid w:val="290886DC"/>
    <w:rsid w:val="290A1C6F"/>
    <w:rsid w:val="29111635"/>
    <w:rsid w:val="29225031"/>
    <w:rsid w:val="2925843F"/>
    <w:rsid w:val="293303B3"/>
    <w:rsid w:val="2936D3A3"/>
    <w:rsid w:val="2938998E"/>
    <w:rsid w:val="294726D3"/>
    <w:rsid w:val="294FE5D2"/>
    <w:rsid w:val="296FC8DA"/>
    <w:rsid w:val="29826FB5"/>
    <w:rsid w:val="299112F9"/>
    <w:rsid w:val="29B9044D"/>
    <w:rsid w:val="29BD51A4"/>
    <w:rsid w:val="29C03CEA"/>
    <w:rsid w:val="29D6545A"/>
    <w:rsid w:val="29E7113C"/>
    <w:rsid w:val="29EA27BA"/>
    <w:rsid w:val="29FCC9AF"/>
    <w:rsid w:val="29FD4984"/>
    <w:rsid w:val="2A22DC0C"/>
    <w:rsid w:val="2A281749"/>
    <w:rsid w:val="2A43754D"/>
    <w:rsid w:val="2A490255"/>
    <w:rsid w:val="2A549949"/>
    <w:rsid w:val="2A553895"/>
    <w:rsid w:val="2A9A2010"/>
    <w:rsid w:val="2AA5ABA3"/>
    <w:rsid w:val="2ABBF79E"/>
    <w:rsid w:val="2AC072EA"/>
    <w:rsid w:val="2AE58E6E"/>
    <w:rsid w:val="2AFBA6FE"/>
    <w:rsid w:val="2B01B5C0"/>
    <w:rsid w:val="2B0EDB6B"/>
    <w:rsid w:val="2B5693C0"/>
    <w:rsid w:val="2B7C2C9F"/>
    <w:rsid w:val="2B83FD3F"/>
    <w:rsid w:val="2B87246D"/>
    <w:rsid w:val="2B931004"/>
    <w:rsid w:val="2B9A9C8B"/>
    <w:rsid w:val="2B9B35D1"/>
    <w:rsid w:val="2BA355E3"/>
    <w:rsid w:val="2BC1CCBE"/>
    <w:rsid w:val="2BC6E394"/>
    <w:rsid w:val="2BCEEA7D"/>
    <w:rsid w:val="2C06DED7"/>
    <w:rsid w:val="2C39B37A"/>
    <w:rsid w:val="2C3A2153"/>
    <w:rsid w:val="2C41C9B3"/>
    <w:rsid w:val="2C556080"/>
    <w:rsid w:val="2C58F0CE"/>
    <w:rsid w:val="2C6CC275"/>
    <w:rsid w:val="2C9BC6E7"/>
    <w:rsid w:val="2CEB36F8"/>
    <w:rsid w:val="2CF53713"/>
    <w:rsid w:val="2D07787C"/>
    <w:rsid w:val="2D45C974"/>
    <w:rsid w:val="2D47DFA6"/>
    <w:rsid w:val="2D6E91F7"/>
    <w:rsid w:val="2D70EFD7"/>
    <w:rsid w:val="2D79D044"/>
    <w:rsid w:val="2D7D0017"/>
    <w:rsid w:val="2D8F2A61"/>
    <w:rsid w:val="2DA9DD0D"/>
    <w:rsid w:val="2DAACE43"/>
    <w:rsid w:val="2DAAEDBF"/>
    <w:rsid w:val="2DC79027"/>
    <w:rsid w:val="2DD58A10"/>
    <w:rsid w:val="2DF4A8BC"/>
    <w:rsid w:val="2E250A1A"/>
    <w:rsid w:val="2E35EE36"/>
    <w:rsid w:val="2E60760F"/>
    <w:rsid w:val="2E63FCEA"/>
    <w:rsid w:val="2EA1AFC3"/>
    <w:rsid w:val="2EB2D2D7"/>
    <w:rsid w:val="2EDCF2A0"/>
    <w:rsid w:val="2EE7BB41"/>
    <w:rsid w:val="2F15503B"/>
    <w:rsid w:val="2F22CC6C"/>
    <w:rsid w:val="2F233D90"/>
    <w:rsid w:val="2F27F99B"/>
    <w:rsid w:val="2F2860F8"/>
    <w:rsid w:val="2F2D2796"/>
    <w:rsid w:val="2F2FAC3F"/>
    <w:rsid w:val="2F329F8D"/>
    <w:rsid w:val="2F33F0DC"/>
    <w:rsid w:val="2F43359F"/>
    <w:rsid w:val="2F6496F8"/>
    <w:rsid w:val="2F8CADDD"/>
    <w:rsid w:val="2F9AE315"/>
    <w:rsid w:val="2FA4B414"/>
    <w:rsid w:val="2FA6B44A"/>
    <w:rsid w:val="2FAFF760"/>
    <w:rsid w:val="2FB81BA8"/>
    <w:rsid w:val="2FB98693"/>
    <w:rsid w:val="2FC535EA"/>
    <w:rsid w:val="2FC5ED63"/>
    <w:rsid w:val="2FD501A1"/>
    <w:rsid w:val="2FEB4960"/>
    <w:rsid w:val="2FEE1773"/>
    <w:rsid w:val="303689C9"/>
    <w:rsid w:val="3059B3EF"/>
    <w:rsid w:val="305D0765"/>
    <w:rsid w:val="306C43FB"/>
    <w:rsid w:val="307568E3"/>
    <w:rsid w:val="307FD85D"/>
    <w:rsid w:val="308BFCF5"/>
    <w:rsid w:val="30947AC8"/>
    <w:rsid w:val="30AA5D20"/>
    <w:rsid w:val="30AD0BAD"/>
    <w:rsid w:val="30BE006F"/>
    <w:rsid w:val="30C6D51F"/>
    <w:rsid w:val="30DD59B6"/>
    <w:rsid w:val="312767C4"/>
    <w:rsid w:val="312F7148"/>
    <w:rsid w:val="31417300"/>
    <w:rsid w:val="315799F0"/>
    <w:rsid w:val="315C31E0"/>
    <w:rsid w:val="315DB49B"/>
    <w:rsid w:val="3165FB69"/>
    <w:rsid w:val="31781D95"/>
    <w:rsid w:val="317CABFC"/>
    <w:rsid w:val="31A5612C"/>
    <w:rsid w:val="31AD9A63"/>
    <w:rsid w:val="31B32428"/>
    <w:rsid w:val="31BAF01F"/>
    <w:rsid w:val="31E28C89"/>
    <w:rsid w:val="323C3057"/>
    <w:rsid w:val="324F5D96"/>
    <w:rsid w:val="326001BA"/>
    <w:rsid w:val="327E423F"/>
    <w:rsid w:val="3286D338"/>
    <w:rsid w:val="328B751D"/>
    <w:rsid w:val="328CAE0C"/>
    <w:rsid w:val="3293D6EB"/>
    <w:rsid w:val="329A3EFF"/>
    <w:rsid w:val="329C4A24"/>
    <w:rsid w:val="32A0C781"/>
    <w:rsid w:val="32A12A85"/>
    <w:rsid w:val="32B1F41C"/>
    <w:rsid w:val="32B2D836"/>
    <w:rsid w:val="32E7338C"/>
    <w:rsid w:val="32EE7544"/>
    <w:rsid w:val="3381C7C5"/>
    <w:rsid w:val="33BCC5FD"/>
    <w:rsid w:val="33C980CA"/>
    <w:rsid w:val="33CC1ABE"/>
    <w:rsid w:val="33DB9597"/>
    <w:rsid w:val="33E3CBCE"/>
    <w:rsid w:val="33F07AAB"/>
    <w:rsid w:val="33F6EF68"/>
    <w:rsid w:val="3411310B"/>
    <w:rsid w:val="3427E199"/>
    <w:rsid w:val="34376EB5"/>
    <w:rsid w:val="3451A9CB"/>
    <w:rsid w:val="346537C8"/>
    <w:rsid w:val="3467C55F"/>
    <w:rsid w:val="3477A76A"/>
    <w:rsid w:val="3484CA55"/>
    <w:rsid w:val="34929AE6"/>
    <w:rsid w:val="34A02224"/>
    <w:rsid w:val="34B4195B"/>
    <w:rsid w:val="34C7AD06"/>
    <w:rsid w:val="34E57259"/>
    <w:rsid w:val="34F2A369"/>
    <w:rsid w:val="34FC9D33"/>
    <w:rsid w:val="351DD928"/>
    <w:rsid w:val="35221947"/>
    <w:rsid w:val="3525F3BC"/>
    <w:rsid w:val="3526F61D"/>
    <w:rsid w:val="35558464"/>
    <w:rsid w:val="3599AECA"/>
    <w:rsid w:val="35C519B0"/>
    <w:rsid w:val="35D1256E"/>
    <w:rsid w:val="35DB46C0"/>
    <w:rsid w:val="35FF6E6D"/>
    <w:rsid w:val="360D8864"/>
    <w:rsid w:val="3646EA28"/>
    <w:rsid w:val="3658CC1F"/>
    <w:rsid w:val="365912CD"/>
    <w:rsid w:val="3667F3E8"/>
    <w:rsid w:val="366BC70C"/>
    <w:rsid w:val="3681DD6B"/>
    <w:rsid w:val="368A299F"/>
    <w:rsid w:val="3697E3AD"/>
    <w:rsid w:val="36989BD1"/>
    <w:rsid w:val="36A4D855"/>
    <w:rsid w:val="36C08B66"/>
    <w:rsid w:val="3725C316"/>
    <w:rsid w:val="37319811"/>
    <w:rsid w:val="373D77D6"/>
    <w:rsid w:val="374228A0"/>
    <w:rsid w:val="375C4D58"/>
    <w:rsid w:val="37A1C8A2"/>
    <w:rsid w:val="37A6F38A"/>
    <w:rsid w:val="37A77507"/>
    <w:rsid w:val="37BFA47D"/>
    <w:rsid w:val="37C13D10"/>
    <w:rsid w:val="37C1E35C"/>
    <w:rsid w:val="37D46035"/>
    <w:rsid w:val="37E53851"/>
    <w:rsid w:val="37FAD8DF"/>
    <w:rsid w:val="380F8344"/>
    <w:rsid w:val="38192885"/>
    <w:rsid w:val="381B6146"/>
    <w:rsid w:val="382FA8ED"/>
    <w:rsid w:val="3831914E"/>
    <w:rsid w:val="3846C03A"/>
    <w:rsid w:val="384B214F"/>
    <w:rsid w:val="3860E723"/>
    <w:rsid w:val="38646AE5"/>
    <w:rsid w:val="3892A795"/>
    <w:rsid w:val="389CC1EF"/>
    <w:rsid w:val="38DA0F75"/>
    <w:rsid w:val="38EE095F"/>
    <w:rsid w:val="38EF0BE0"/>
    <w:rsid w:val="39150F54"/>
    <w:rsid w:val="39273686"/>
    <w:rsid w:val="392C00C9"/>
    <w:rsid w:val="39392DCE"/>
    <w:rsid w:val="39452926"/>
    <w:rsid w:val="394B6359"/>
    <w:rsid w:val="39516581"/>
    <w:rsid w:val="3962BD17"/>
    <w:rsid w:val="39901781"/>
    <w:rsid w:val="39939F19"/>
    <w:rsid w:val="39AD0F16"/>
    <w:rsid w:val="39C70ABD"/>
    <w:rsid w:val="39E81FA5"/>
    <w:rsid w:val="39F8162F"/>
    <w:rsid w:val="39F8E291"/>
    <w:rsid w:val="39FCDDD4"/>
    <w:rsid w:val="3A4D799C"/>
    <w:rsid w:val="3A5BA5AB"/>
    <w:rsid w:val="3A748D93"/>
    <w:rsid w:val="3A8948AA"/>
    <w:rsid w:val="3AAD1EAE"/>
    <w:rsid w:val="3AC0C3B4"/>
    <w:rsid w:val="3AD00742"/>
    <w:rsid w:val="3B0495A5"/>
    <w:rsid w:val="3B05E8C0"/>
    <w:rsid w:val="3B0CFFAE"/>
    <w:rsid w:val="3B19446C"/>
    <w:rsid w:val="3B451E33"/>
    <w:rsid w:val="3B5158E5"/>
    <w:rsid w:val="3B552A1A"/>
    <w:rsid w:val="3B7AD520"/>
    <w:rsid w:val="3B9FA3EA"/>
    <w:rsid w:val="3BA5A6FE"/>
    <w:rsid w:val="3BBB9EFB"/>
    <w:rsid w:val="3BC4C974"/>
    <w:rsid w:val="3BCD488A"/>
    <w:rsid w:val="3BDA463F"/>
    <w:rsid w:val="3BFEDB7B"/>
    <w:rsid w:val="3C085957"/>
    <w:rsid w:val="3C3AC012"/>
    <w:rsid w:val="3C45633A"/>
    <w:rsid w:val="3C4AB375"/>
    <w:rsid w:val="3C635090"/>
    <w:rsid w:val="3C75D7AB"/>
    <w:rsid w:val="3C8A703C"/>
    <w:rsid w:val="3CB3BE41"/>
    <w:rsid w:val="3D13CF50"/>
    <w:rsid w:val="3D1DEF9A"/>
    <w:rsid w:val="3D2106D4"/>
    <w:rsid w:val="3D42AAF2"/>
    <w:rsid w:val="3D552D9D"/>
    <w:rsid w:val="3D5603F6"/>
    <w:rsid w:val="3D6960F4"/>
    <w:rsid w:val="3D746A99"/>
    <w:rsid w:val="3DA3C5FB"/>
    <w:rsid w:val="3DDB3B21"/>
    <w:rsid w:val="3DF02A6D"/>
    <w:rsid w:val="3DFF71EC"/>
    <w:rsid w:val="3E0DB36C"/>
    <w:rsid w:val="3E1F85CF"/>
    <w:rsid w:val="3E1FEB7F"/>
    <w:rsid w:val="3E21A306"/>
    <w:rsid w:val="3E2B5AEB"/>
    <w:rsid w:val="3E2C00FB"/>
    <w:rsid w:val="3E4CE7F8"/>
    <w:rsid w:val="3E55F5B9"/>
    <w:rsid w:val="3E9F09FD"/>
    <w:rsid w:val="3EB905B5"/>
    <w:rsid w:val="3EC59EF1"/>
    <w:rsid w:val="3ECA15CF"/>
    <w:rsid w:val="3EDAEA02"/>
    <w:rsid w:val="3F0F64AA"/>
    <w:rsid w:val="3F2403EB"/>
    <w:rsid w:val="3F3F7BFB"/>
    <w:rsid w:val="3F44191E"/>
    <w:rsid w:val="3F878C40"/>
    <w:rsid w:val="3F9752B3"/>
    <w:rsid w:val="3FB2D713"/>
    <w:rsid w:val="3FC7E606"/>
    <w:rsid w:val="3FFD9A5C"/>
    <w:rsid w:val="4011ACEF"/>
    <w:rsid w:val="4022F83C"/>
    <w:rsid w:val="402BF53C"/>
    <w:rsid w:val="403B6E3F"/>
    <w:rsid w:val="4057C1F2"/>
    <w:rsid w:val="4059FCFE"/>
    <w:rsid w:val="405DA22F"/>
    <w:rsid w:val="407880E4"/>
    <w:rsid w:val="4083F802"/>
    <w:rsid w:val="408473A0"/>
    <w:rsid w:val="40890A3D"/>
    <w:rsid w:val="40FD07A3"/>
    <w:rsid w:val="4119E08B"/>
    <w:rsid w:val="411C9AEE"/>
    <w:rsid w:val="412CF148"/>
    <w:rsid w:val="414189B8"/>
    <w:rsid w:val="41522FB4"/>
    <w:rsid w:val="41531414"/>
    <w:rsid w:val="41689EFC"/>
    <w:rsid w:val="417B4FB3"/>
    <w:rsid w:val="41835BF1"/>
    <w:rsid w:val="41998DDF"/>
    <w:rsid w:val="419A66AD"/>
    <w:rsid w:val="419A84C3"/>
    <w:rsid w:val="419B0C46"/>
    <w:rsid w:val="41E96753"/>
    <w:rsid w:val="42047163"/>
    <w:rsid w:val="42149041"/>
    <w:rsid w:val="421AB1BA"/>
    <w:rsid w:val="422A5BF6"/>
    <w:rsid w:val="423A5424"/>
    <w:rsid w:val="424242B7"/>
    <w:rsid w:val="424628DE"/>
    <w:rsid w:val="4254BF81"/>
    <w:rsid w:val="42579372"/>
    <w:rsid w:val="42B1BD41"/>
    <w:rsid w:val="42BA7241"/>
    <w:rsid w:val="42D7186A"/>
    <w:rsid w:val="42E3AF73"/>
    <w:rsid w:val="42E427E7"/>
    <w:rsid w:val="42E91624"/>
    <w:rsid w:val="42F46EFA"/>
    <w:rsid w:val="42F88D15"/>
    <w:rsid w:val="430B5AB8"/>
    <w:rsid w:val="430DDF79"/>
    <w:rsid w:val="43128E4A"/>
    <w:rsid w:val="4333C4B3"/>
    <w:rsid w:val="437CD81B"/>
    <w:rsid w:val="437DC512"/>
    <w:rsid w:val="438BCC10"/>
    <w:rsid w:val="439F9647"/>
    <w:rsid w:val="43CCEE10"/>
    <w:rsid w:val="43D63719"/>
    <w:rsid w:val="4403C37B"/>
    <w:rsid w:val="44145CCB"/>
    <w:rsid w:val="4418261C"/>
    <w:rsid w:val="44243C34"/>
    <w:rsid w:val="4456DC0C"/>
    <w:rsid w:val="4470928B"/>
    <w:rsid w:val="448AC9DC"/>
    <w:rsid w:val="44BE6B7F"/>
    <w:rsid w:val="44EA0A3D"/>
    <w:rsid w:val="44ED6F44"/>
    <w:rsid w:val="44F5CCEB"/>
    <w:rsid w:val="44F8F3DE"/>
    <w:rsid w:val="44FD3DEE"/>
    <w:rsid w:val="44FF5A03"/>
    <w:rsid w:val="45043DD6"/>
    <w:rsid w:val="451164D5"/>
    <w:rsid w:val="451B4B64"/>
    <w:rsid w:val="4531B06F"/>
    <w:rsid w:val="454C6ABF"/>
    <w:rsid w:val="454D7951"/>
    <w:rsid w:val="455AD461"/>
    <w:rsid w:val="456403AC"/>
    <w:rsid w:val="4566C633"/>
    <w:rsid w:val="4574F54B"/>
    <w:rsid w:val="4580246C"/>
    <w:rsid w:val="4585AE99"/>
    <w:rsid w:val="45988A7A"/>
    <w:rsid w:val="459D98F5"/>
    <w:rsid w:val="45B555A0"/>
    <w:rsid w:val="45DD54B7"/>
    <w:rsid w:val="45E3F353"/>
    <w:rsid w:val="45F32BF0"/>
    <w:rsid w:val="45F92DAA"/>
    <w:rsid w:val="4612B8A8"/>
    <w:rsid w:val="462A65D7"/>
    <w:rsid w:val="462BDC9D"/>
    <w:rsid w:val="462FB6B3"/>
    <w:rsid w:val="46355DBA"/>
    <w:rsid w:val="46445430"/>
    <w:rsid w:val="4647E548"/>
    <w:rsid w:val="466DE01D"/>
    <w:rsid w:val="467E1FE9"/>
    <w:rsid w:val="469917FC"/>
    <w:rsid w:val="46A51F0F"/>
    <w:rsid w:val="46C342B8"/>
    <w:rsid w:val="46CB8C70"/>
    <w:rsid w:val="46D07EF9"/>
    <w:rsid w:val="46D911EB"/>
    <w:rsid w:val="46E3A209"/>
    <w:rsid w:val="46EC673F"/>
    <w:rsid w:val="470A10DD"/>
    <w:rsid w:val="471AF4A8"/>
    <w:rsid w:val="471CEA5D"/>
    <w:rsid w:val="4731D983"/>
    <w:rsid w:val="47340420"/>
    <w:rsid w:val="473ADD12"/>
    <w:rsid w:val="4762BA1E"/>
    <w:rsid w:val="4768AF5E"/>
    <w:rsid w:val="478092A0"/>
    <w:rsid w:val="4784068E"/>
    <w:rsid w:val="4795CE5C"/>
    <w:rsid w:val="479BAE23"/>
    <w:rsid w:val="47A71995"/>
    <w:rsid w:val="47AE0CC5"/>
    <w:rsid w:val="47D42BB9"/>
    <w:rsid w:val="47E78C09"/>
    <w:rsid w:val="482F5112"/>
    <w:rsid w:val="48902795"/>
    <w:rsid w:val="48925F00"/>
    <w:rsid w:val="4893737E"/>
    <w:rsid w:val="48BCD355"/>
    <w:rsid w:val="48CE6D5E"/>
    <w:rsid w:val="48CF8EDE"/>
    <w:rsid w:val="48DEC1E0"/>
    <w:rsid w:val="490FD42A"/>
    <w:rsid w:val="4913BCE0"/>
    <w:rsid w:val="491B3C72"/>
    <w:rsid w:val="492C620E"/>
    <w:rsid w:val="493BFD00"/>
    <w:rsid w:val="493EBAA9"/>
    <w:rsid w:val="49411B94"/>
    <w:rsid w:val="4943E53B"/>
    <w:rsid w:val="4960CD26"/>
    <w:rsid w:val="49A8CD1D"/>
    <w:rsid w:val="49B83D1D"/>
    <w:rsid w:val="49C11D99"/>
    <w:rsid w:val="49C28788"/>
    <w:rsid w:val="49C790F8"/>
    <w:rsid w:val="49C8172E"/>
    <w:rsid w:val="49D632D3"/>
    <w:rsid w:val="4A02E900"/>
    <w:rsid w:val="4A0C9BE0"/>
    <w:rsid w:val="4A213D63"/>
    <w:rsid w:val="4A288E0A"/>
    <w:rsid w:val="4A4EA9E3"/>
    <w:rsid w:val="4A593B8D"/>
    <w:rsid w:val="4A814DDC"/>
    <w:rsid w:val="4AB672B8"/>
    <w:rsid w:val="4ADBBF68"/>
    <w:rsid w:val="4AE01E92"/>
    <w:rsid w:val="4AE2205A"/>
    <w:rsid w:val="4AFB5F46"/>
    <w:rsid w:val="4AFDDA36"/>
    <w:rsid w:val="4B01FAFA"/>
    <w:rsid w:val="4B075091"/>
    <w:rsid w:val="4B306DC3"/>
    <w:rsid w:val="4B5322A1"/>
    <w:rsid w:val="4BDAB147"/>
    <w:rsid w:val="4BE75615"/>
    <w:rsid w:val="4BEB12E6"/>
    <w:rsid w:val="4BFC557B"/>
    <w:rsid w:val="4C02420A"/>
    <w:rsid w:val="4C05AD4B"/>
    <w:rsid w:val="4C1A08A6"/>
    <w:rsid w:val="4C2BFA3C"/>
    <w:rsid w:val="4C3266BA"/>
    <w:rsid w:val="4C46E594"/>
    <w:rsid w:val="4C49754A"/>
    <w:rsid w:val="4C526BEC"/>
    <w:rsid w:val="4C53469A"/>
    <w:rsid w:val="4C54B216"/>
    <w:rsid w:val="4C7E24EB"/>
    <w:rsid w:val="4C882717"/>
    <w:rsid w:val="4C99BB2A"/>
    <w:rsid w:val="4CA25FD9"/>
    <w:rsid w:val="4CA541BE"/>
    <w:rsid w:val="4CAD1FB9"/>
    <w:rsid w:val="4CB9F7B3"/>
    <w:rsid w:val="4CC5F834"/>
    <w:rsid w:val="4CD3D8D7"/>
    <w:rsid w:val="4CE1FFCA"/>
    <w:rsid w:val="4D05FC6E"/>
    <w:rsid w:val="4D124B6A"/>
    <w:rsid w:val="4D1976CA"/>
    <w:rsid w:val="4D3D8FFD"/>
    <w:rsid w:val="4D483AB4"/>
    <w:rsid w:val="4D4AB28A"/>
    <w:rsid w:val="4D517506"/>
    <w:rsid w:val="4D629C99"/>
    <w:rsid w:val="4D695A34"/>
    <w:rsid w:val="4DACBD8C"/>
    <w:rsid w:val="4DAF84C9"/>
    <w:rsid w:val="4DCBBCA5"/>
    <w:rsid w:val="4DFE8CBF"/>
    <w:rsid w:val="4E136041"/>
    <w:rsid w:val="4E301ABD"/>
    <w:rsid w:val="4E441D03"/>
    <w:rsid w:val="4E4CA57F"/>
    <w:rsid w:val="4E4E5E0C"/>
    <w:rsid w:val="4E538F81"/>
    <w:rsid w:val="4E63D747"/>
    <w:rsid w:val="4E6EE824"/>
    <w:rsid w:val="4E8E621A"/>
    <w:rsid w:val="4E944682"/>
    <w:rsid w:val="4E9D7A70"/>
    <w:rsid w:val="4E9F27F3"/>
    <w:rsid w:val="4EC19253"/>
    <w:rsid w:val="4EC3CCA1"/>
    <w:rsid w:val="4EE15215"/>
    <w:rsid w:val="4F30BD90"/>
    <w:rsid w:val="4F470563"/>
    <w:rsid w:val="4F58545D"/>
    <w:rsid w:val="4F5868E6"/>
    <w:rsid w:val="4F6202EB"/>
    <w:rsid w:val="4F693714"/>
    <w:rsid w:val="4F699A24"/>
    <w:rsid w:val="4F784DF6"/>
    <w:rsid w:val="4F83C751"/>
    <w:rsid w:val="4F85F5DE"/>
    <w:rsid w:val="4F89976A"/>
    <w:rsid w:val="4FA06EFF"/>
    <w:rsid w:val="4FB9539D"/>
    <w:rsid w:val="4FD2FFB9"/>
    <w:rsid w:val="4FDDF212"/>
    <w:rsid w:val="4FE356E1"/>
    <w:rsid w:val="4FF16B2B"/>
    <w:rsid w:val="4FF930A0"/>
    <w:rsid w:val="4FFDB2AC"/>
    <w:rsid w:val="50029C0A"/>
    <w:rsid w:val="501213EB"/>
    <w:rsid w:val="50157522"/>
    <w:rsid w:val="501B3FAF"/>
    <w:rsid w:val="5027F728"/>
    <w:rsid w:val="502D177C"/>
    <w:rsid w:val="503802E7"/>
    <w:rsid w:val="503BF7B2"/>
    <w:rsid w:val="50421093"/>
    <w:rsid w:val="5047DEE5"/>
    <w:rsid w:val="507E1B79"/>
    <w:rsid w:val="50916C98"/>
    <w:rsid w:val="50A71F00"/>
    <w:rsid w:val="50B2AB66"/>
    <w:rsid w:val="50B9F523"/>
    <w:rsid w:val="50C49F9B"/>
    <w:rsid w:val="50DC672B"/>
    <w:rsid w:val="50E7DBA2"/>
    <w:rsid w:val="50EEC596"/>
    <w:rsid w:val="51154D47"/>
    <w:rsid w:val="514095A3"/>
    <w:rsid w:val="51526A90"/>
    <w:rsid w:val="5159A4AE"/>
    <w:rsid w:val="516996FE"/>
    <w:rsid w:val="51744B86"/>
    <w:rsid w:val="51A01A18"/>
    <w:rsid w:val="51CEDE02"/>
    <w:rsid w:val="51D25039"/>
    <w:rsid w:val="51F55A67"/>
    <w:rsid w:val="51FD53FA"/>
    <w:rsid w:val="51FF08E7"/>
    <w:rsid w:val="520408B5"/>
    <w:rsid w:val="5265364D"/>
    <w:rsid w:val="52739A24"/>
    <w:rsid w:val="529CD710"/>
    <w:rsid w:val="52A0E3D6"/>
    <w:rsid w:val="52B39966"/>
    <w:rsid w:val="52DA97CF"/>
    <w:rsid w:val="531432F4"/>
    <w:rsid w:val="532E50FF"/>
    <w:rsid w:val="53464B13"/>
    <w:rsid w:val="53689966"/>
    <w:rsid w:val="53804491"/>
    <w:rsid w:val="5398EA6C"/>
    <w:rsid w:val="53A6678A"/>
    <w:rsid w:val="53C47696"/>
    <w:rsid w:val="53DCAAE9"/>
    <w:rsid w:val="541707FB"/>
    <w:rsid w:val="54560D4C"/>
    <w:rsid w:val="5456F64C"/>
    <w:rsid w:val="54571942"/>
    <w:rsid w:val="5463C689"/>
    <w:rsid w:val="54689D2A"/>
    <w:rsid w:val="547857F4"/>
    <w:rsid w:val="54802773"/>
    <w:rsid w:val="54865014"/>
    <w:rsid w:val="5491C343"/>
    <w:rsid w:val="54B45AA6"/>
    <w:rsid w:val="54BAD8B9"/>
    <w:rsid w:val="54BDF940"/>
    <w:rsid w:val="54CA2904"/>
    <w:rsid w:val="54D7408E"/>
    <w:rsid w:val="54E69EE3"/>
    <w:rsid w:val="54F446D3"/>
    <w:rsid w:val="55045D57"/>
    <w:rsid w:val="5526CC9E"/>
    <w:rsid w:val="55305597"/>
    <w:rsid w:val="553CD2C9"/>
    <w:rsid w:val="5562B2AC"/>
    <w:rsid w:val="5562DFDF"/>
    <w:rsid w:val="557A7068"/>
    <w:rsid w:val="55A81259"/>
    <w:rsid w:val="55B9C8AA"/>
    <w:rsid w:val="55C44FB5"/>
    <w:rsid w:val="55C62110"/>
    <w:rsid w:val="55C85871"/>
    <w:rsid w:val="55DFAD35"/>
    <w:rsid w:val="55E5AA80"/>
    <w:rsid w:val="55FAC425"/>
    <w:rsid w:val="55FFA6C3"/>
    <w:rsid w:val="5627710F"/>
    <w:rsid w:val="562EE449"/>
    <w:rsid w:val="5659F9D4"/>
    <w:rsid w:val="5672593A"/>
    <w:rsid w:val="5687AD90"/>
    <w:rsid w:val="5696CC45"/>
    <w:rsid w:val="569B4914"/>
    <w:rsid w:val="56C83844"/>
    <w:rsid w:val="56CB4686"/>
    <w:rsid w:val="570ACA5D"/>
    <w:rsid w:val="57104DBC"/>
    <w:rsid w:val="5711E3F1"/>
    <w:rsid w:val="5716C8DD"/>
    <w:rsid w:val="5758A63B"/>
    <w:rsid w:val="575942E8"/>
    <w:rsid w:val="5759475F"/>
    <w:rsid w:val="57611EBE"/>
    <w:rsid w:val="576D588D"/>
    <w:rsid w:val="577DD035"/>
    <w:rsid w:val="57AF3FAF"/>
    <w:rsid w:val="57B3E2BC"/>
    <w:rsid w:val="57BCB233"/>
    <w:rsid w:val="57CBD2BB"/>
    <w:rsid w:val="57E94E86"/>
    <w:rsid w:val="5801E5A0"/>
    <w:rsid w:val="58035FE5"/>
    <w:rsid w:val="581E5DD2"/>
    <w:rsid w:val="581EDDE0"/>
    <w:rsid w:val="586C8110"/>
    <w:rsid w:val="58741387"/>
    <w:rsid w:val="58C1098C"/>
    <w:rsid w:val="58C41A28"/>
    <w:rsid w:val="58D30381"/>
    <w:rsid w:val="58D7A997"/>
    <w:rsid w:val="58E550F8"/>
    <w:rsid w:val="5904B85B"/>
    <w:rsid w:val="5921F7A9"/>
    <w:rsid w:val="593A1F07"/>
    <w:rsid w:val="593FF4FA"/>
    <w:rsid w:val="59457FF1"/>
    <w:rsid w:val="594C053C"/>
    <w:rsid w:val="596D09B6"/>
    <w:rsid w:val="59925C79"/>
    <w:rsid w:val="5993E4AA"/>
    <w:rsid w:val="599BA6CF"/>
    <w:rsid w:val="59A141D6"/>
    <w:rsid w:val="59C2A675"/>
    <w:rsid w:val="59C69E26"/>
    <w:rsid w:val="59CE5328"/>
    <w:rsid w:val="59EEC94C"/>
    <w:rsid w:val="59F38522"/>
    <w:rsid w:val="5A1043EC"/>
    <w:rsid w:val="5A3B17CA"/>
    <w:rsid w:val="5A5A1A13"/>
    <w:rsid w:val="5A5BE2EA"/>
    <w:rsid w:val="5A5E3981"/>
    <w:rsid w:val="5A5FB51A"/>
    <w:rsid w:val="5A65C4D7"/>
    <w:rsid w:val="5A672CB7"/>
    <w:rsid w:val="5A7B3199"/>
    <w:rsid w:val="5A823026"/>
    <w:rsid w:val="5A850DA5"/>
    <w:rsid w:val="5AB64BCD"/>
    <w:rsid w:val="5AB9B2BC"/>
    <w:rsid w:val="5ACB9002"/>
    <w:rsid w:val="5AE33DA8"/>
    <w:rsid w:val="5AEB6967"/>
    <w:rsid w:val="5AF8A279"/>
    <w:rsid w:val="5B11F3F3"/>
    <w:rsid w:val="5B21BB41"/>
    <w:rsid w:val="5B4A5C92"/>
    <w:rsid w:val="5B5AB4C9"/>
    <w:rsid w:val="5B679E7E"/>
    <w:rsid w:val="5B785DD3"/>
    <w:rsid w:val="5B7B18BA"/>
    <w:rsid w:val="5B96A441"/>
    <w:rsid w:val="5B98AFB5"/>
    <w:rsid w:val="5BA7339C"/>
    <w:rsid w:val="5BB8BDFE"/>
    <w:rsid w:val="5BC6DE11"/>
    <w:rsid w:val="5BCC3CBF"/>
    <w:rsid w:val="5BEF2E7C"/>
    <w:rsid w:val="5C40C8BA"/>
    <w:rsid w:val="5C645B85"/>
    <w:rsid w:val="5C84FD70"/>
    <w:rsid w:val="5C88E086"/>
    <w:rsid w:val="5CA46482"/>
    <w:rsid w:val="5CBFEFAA"/>
    <w:rsid w:val="5D00C09C"/>
    <w:rsid w:val="5D6425DB"/>
    <w:rsid w:val="5DC40442"/>
    <w:rsid w:val="5DC40764"/>
    <w:rsid w:val="5DD35B28"/>
    <w:rsid w:val="5DD68E70"/>
    <w:rsid w:val="5DDDE4C5"/>
    <w:rsid w:val="5DE656BC"/>
    <w:rsid w:val="5DEB443C"/>
    <w:rsid w:val="5DFCFAD7"/>
    <w:rsid w:val="5E21481D"/>
    <w:rsid w:val="5E241F8A"/>
    <w:rsid w:val="5E526178"/>
    <w:rsid w:val="5E5F928E"/>
    <w:rsid w:val="5E894220"/>
    <w:rsid w:val="5EB18411"/>
    <w:rsid w:val="5EBB8909"/>
    <w:rsid w:val="5ECB6194"/>
    <w:rsid w:val="5ED9AC4A"/>
    <w:rsid w:val="5EDF9F19"/>
    <w:rsid w:val="5F029EE8"/>
    <w:rsid w:val="5F17E9C8"/>
    <w:rsid w:val="5F3ECBBF"/>
    <w:rsid w:val="5F428F4B"/>
    <w:rsid w:val="5F6BA7B2"/>
    <w:rsid w:val="5FA5283F"/>
    <w:rsid w:val="5FAD21B3"/>
    <w:rsid w:val="5FB10645"/>
    <w:rsid w:val="5FB96333"/>
    <w:rsid w:val="5FC2FBE1"/>
    <w:rsid w:val="5FDCBE92"/>
    <w:rsid w:val="5FDF874E"/>
    <w:rsid w:val="5FE69698"/>
    <w:rsid w:val="600867E5"/>
    <w:rsid w:val="600915EB"/>
    <w:rsid w:val="602C32CA"/>
    <w:rsid w:val="60528BDA"/>
    <w:rsid w:val="60563836"/>
    <w:rsid w:val="605CBF15"/>
    <w:rsid w:val="607BB9F9"/>
    <w:rsid w:val="6085FC5D"/>
    <w:rsid w:val="608A4F53"/>
    <w:rsid w:val="609682F0"/>
    <w:rsid w:val="60995DB8"/>
    <w:rsid w:val="60A9F4A7"/>
    <w:rsid w:val="60AA9446"/>
    <w:rsid w:val="60B8B257"/>
    <w:rsid w:val="60BDE23C"/>
    <w:rsid w:val="60DD2F26"/>
    <w:rsid w:val="60ED319E"/>
    <w:rsid w:val="60FF8553"/>
    <w:rsid w:val="6102658A"/>
    <w:rsid w:val="616BFE58"/>
    <w:rsid w:val="617A36CD"/>
    <w:rsid w:val="61A99431"/>
    <w:rsid w:val="61AE1E86"/>
    <w:rsid w:val="61AED6A8"/>
    <w:rsid w:val="61B7D184"/>
    <w:rsid w:val="61C60A0C"/>
    <w:rsid w:val="61C85BF5"/>
    <w:rsid w:val="61CA5AC2"/>
    <w:rsid w:val="61D76FF6"/>
    <w:rsid w:val="61EAAD45"/>
    <w:rsid w:val="61EBF45C"/>
    <w:rsid w:val="622E48C6"/>
    <w:rsid w:val="6250AA23"/>
    <w:rsid w:val="625603C0"/>
    <w:rsid w:val="6265DA3E"/>
    <w:rsid w:val="627722C4"/>
    <w:rsid w:val="62977959"/>
    <w:rsid w:val="62A137CA"/>
    <w:rsid w:val="62B7BCB1"/>
    <w:rsid w:val="62C64A39"/>
    <w:rsid w:val="62CA07D4"/>
    <w:rsid w:val="62CE9F86"/>
    <w:rsid w:val="62D768B1"/>
    <w:rsid w:val="62DA23B3"/>
    <w:rsid w:val="62E988C8"/>
    <w:rsid w:val="63177F70"/>
    <w:rsid w:val="633D5BB8"/>
    <w:rsid w:val="634246E0"/>
    <w:rsid w:val="63593682"/>
    <w:rsid w:val="63607933"/>
    <w:rsid w:val="63636E2C"/>
    <w:rsid w:val="636DFB29"/>
    <w:rsid w:val="63C28C49"/>
    <w:rsid w:val="63D73CF9"/>
    <w:rsid w:val="63F6B1EE"/>
    <w:rsid w:val="6403D4D9"/>
    <w:rsid w:val="64166DAE"/>
    <w:rsid w:val="642EF7E8"/>
    <w:rsid w:val="64340751"/>
    <w:rsid w:val="643E436A"/>
    <w:rsid w:val="645FFBE7"/>
    <w:rsid w:val="646334B9"/>
    <w:rsid w:val="6478C7F7"/>
    <w:rsid w:val="649B88B0"/>
    <w:rsid w:val="64A41C3F"/>
    <w:rsid w:val="64BEF046"/>
    <w:rsid w:val="64D9FB5E"/>
    <w:rsid w:val="64E3BF09"/>
    <w:rsid w:val="64F60435"/>
    <w:rsid w:val="64F9A998"/>
    <w:rsid w:val="6520C595"/>
    <w:rsid w:val="6529A473"/>
    <w:rsid w:val="6534A53E"/>
    <w:rsid w:val="653FAE16"/>
    <w:rsid w:val="6543B3FA"/>
    <w:rsid w:val="65589414"/>
    <w:rsid w:val="657179C3"/>
    <w:rsid w:val="6590F787"/>
    <w:rsid w:val="6594C312"/>
    <w:rsid w:val="65B447A5"/>
    <w:rsid w:val="65D3C8F6"/>
    <w:rsid w:val="65E2C266"/>
    <w:rsid w:val="6610BF1B"/>
    <w:rsid w:val="6617F59C"/>
    <w:rsid w:val="6618CDCD"/>
    <w:rsid w:val="661D5271"/>
    <w:rsid w:val="662352ED"/>
    <w:rsid w:val="664A8554"/>
    <w:rsid w:val="664E602B"/>
    <w:rsid w:val="6650DD23"/>
    <w:rsid w:val="6663B39B"/>
    <w:rsid w:val="666FD36C"/>
    <w:rsid w:val="66704413"/>
    <w:rsid w:val="6670D6A5"/>
    <w:rsid w:val="66750B9A"/>
    <w:rsid w:val="66F5D3D9"/>
    <w:rsid w:val="66F670D2"/>
    <w:rsid w:val="66FB6742"/>
    <w:rsid w:val="6703FDDA"/>
    <w:rsid w:val="67136148"/>
    <w:rsid w:val="674D3CB7"/>
    <w:rsid w:val="67551BF8"/>
    <w:rsid w:val="676D2281"/>
    <w:rsid w:val="67D4A9A8"/>
    <w:rsid w:val="67ED5076"/>
    <w:rsid w:val="681A04A5"/>
    <w:rsid w:val="681EFCD3"/>
    <w:rsid w:val="68692A53"/>
    <w:rsid w:val="68BB0E63"/>
    <w:rsid w:val="68CFDB6F"/>
    <w:rsid w:val="692DD73C"/>
    <w:rsid w:val="695CAF53"/>
    <w:rsid w:val="695F328A"/>
    <w:rsid w:val="696592B6"/>
    <w:rsid w:val="697F7BB1"/>
    <w:rsid w:val="69DA8700"/>
    <w:rsid w:val="69E51610"/>
    <w:rsid w:val="6A03C0A2"/>
    <w:rsid w:val="6A171263"/>
    <w:rsid w:val="6A3F9179"/>
    <w:rsid w:val="6A6D54E1"/>
    <w:rsid w:val="6A7D1696"/>
    <w:rsid w:val="6A8116AB"/>
    <w:rsid w:val="6A93F697"/>
    <w:rsid w:val="6AB1ADA1"/>
    <w:rsid w:val="6ACC3C12"/>
    <w:rsid w:val="6AD1ABC7"/>
    <w:rsid w:val="6AD3E6EE"/>
    <w:rsid w:val="6AE5D517"/>
    <w:rsid w:val="6AED19E3"/>
    <w:rsid w:val="6B1507E6"/>
    <w:rsid w:val="6B15E266"/>
    <w:rsid w:val="6B292924"/>
    <w:rsid w:val="6B3E39CB"/>
    <w:rsid w:val="6B62EAD0"/>
    <w:rsid w:val="6B8A6054"/>
    <w:rsid w:val="6B99E8EA"/>
    <w:rsid w:val="6BD25001"/>
    <w:rsid w:val="6BF87837"/>
    <w:rsid w:val="6BFD9486"/>
    <w:rsid w:val="6C08740F"/>
    <w:rsid w:val="6C488F16"/>
    <w:rsid w:val="6C6C2B7A"/>
    <w:rsid w:val="6C74517A"/>
    <w:rsid w:val="6C96316E"/>
    <w:rsid w:val="6C984B29"/>
    <w:rsid w:val="6CB34C7D"/>
    <w:rsid w:val="6CCB8C88"/>
    <w:rsid w:val="6CCDA748"/>
    <w:rsid w:val="6CDAA016"/>
    <w:rsid w:val="6CE790B6"/>
    <w:rsid w:val="6D09AB60"/>
    <w:rsid w:val="6D184E79"/>
    <w:rsid w:val="6D2A1455"/>
    <w:rsid w:val="6D2A4CFC"/>
    <w:rsid w:val="6D2C373B"/>
    <w:rsid w:val="6D2E3217"/>
    <w:rsid w:val="6D417C20"/>
    <w:rsid w:val="6D5CF601"/>
    <w:rsid w:val="6D62FB27"/>
    <w:rsid w:val="6D8250D5"/>
    <w:rsid w:val="6D889505"/>
    <w:rsid w:val="6D8E03BD"/>
    <w:rsid w:val="6D8F419F"/>
    <w:rsid w:val="6D9A6820"/>
    <w:rsid w:val="6D9D69ED"/>
    <w:rsid w:val="6DAA6DE8"/>
    <w:rsid w:val="6DAD0866"/>
    <w:rsid w:val="6DAD2F74"/>
    <w:rsid w:val="6DB3ED14"/>
    <w:rsid w:val="6DCBF4AD"/>
    <w:rsid w:val="6DD5F136"/>
    <w:rsid w:val="6DDACB88"/>
    <w:rsid w:val="6DE3ECF2"/>
    <w:rsid w:val="6DF21F00"/>
    <w:rsid w:val="6E08BF0A"/>
    <w:rsid w:val="6E32D846"/>
    <w:rsid w:val="6E3E47A9"/>
    <w:rsid w:val="6E7F173C"/>
    <w:rsid w:val="6EA84E94"/>
    <w:rsid w:val="6EC232D7"/>
    <w:rsid w:val="6EEA35F8"/>
    <w:rsid w:val="6F1B9334"/>
    <w:rsid w:val="6F342E91"/>
    <w:rsid w:val="6F413071"/>
    <w:rsid w:val="6F43634F"/>
    <w:rsid w:val="6F4EC86B"/>
    <w:rsid w:val="6F5DD8D6"/>
    <w:rsid w:val="6F70AC4F"/>
    <w:rsid w:val="6F8883DD"/>
    <w:rsid w:val="6FE03E2D"/>
    <w:rsid w:val="6FEDFB47"/>
    <w:rsid w:val="6FF5ED9A"/>
    <w:rsid w:val="7010AB53"/>
    <w:rsid w:val="702646E0"/>
    <w:rsid w:val="705B47FA"/>
    <w:rsid w:val="706C3703"/>
    <w:rsid w:val="7082B05E"/>
    <w:rsid w:val="7092D36F"/>
    <w:rsid w:val="70A04A20"/>
    <w:rsid w:val="70A9512C"/>
    <w:rsid w:val="70AFEC7E"/>
    <w:rsid w:val="70CACE1A"/>
    <w:rsid w:val="70D0EB34"/>
    <w:rsid w:val="7105709A"/>
    <w:rsid w:val="7111A201"/>
    <w:rsid w:val="71203A93"/>
    <w:rsid w:val="712203FD"/>
    <w:rsid w:val="713467C6"/>
    <w:rsid w:val="7141224D"/>
    <w:rsid w:val="71547D07"/>
    <w:rsid w:val="715CB7FE"/>
    <w:rsid w:val="7161957F"/>
    <w:rsid w:val="71B7E1F2"/>
    <w:rsid w:val="71BB9032"/>
    <w:rsid w:val="71E6CB48"/>
    <w:rsid w:val="71EE6D87"/>
    <w:rsid w:val="71F0DB2B"/>
    <w:rsid w:val="7207C2BD"/>
    <w:rsid w:val="720D5760"/>
    <w:rsid w:val="7257D814"/>
    <w:rsid w:val="725BD4F5"/>
    <w:rsid w:val="728694C9"/>
    <w:rsid w:val="7289E108"/>
    <w:rsid w:val="728AAFF4"/>
    <w:rsid w:val="728EF2B4"/>
    <w:rsid w:val="729576DC"/>
    <w:rsid w:val="7295B123"/>
    <w:rsid w:val="72CB73FC"/>
    <w:rsid w:val="72DEE00A"/>
    <w:rsid w:val="72E1BB66"/>
    <w:rsid w:val="72E60BEB"/>
    <w:rsid w:val="72FA9FBE"/>
    <w:rsid w:val="731FFE4B"/>
    <w:rsid w:val="73508568"/>
    <w:rsid w:val="736F0069"/>
    <w:rsid w:val="7386DBA9"/>
    <w:rsid w:val="73938034"/>
    <w:rsid w:val="73A8A9AF"/>
    <w:rsid w:val="73B9A90E"/>
    <w:rsid w:val="73BF5AC6"/>
    <w:rsid w:val="73D510B4"/>
    <w:rsid w:val="73E98643"/>
    <w:rsid w:val="73F1F64C"/>
    <w:rsid w:val="73FFEF97"/>
    <w:rsid w:val="74018A48"/>
    <w:rsid w:val="741872A1"/>
    <w:rsid w:val="7421CCD7"/>
    <w:rsid w:val="7453F4A8"/>
    <w:rsid w:val="746FAB79"/>
    <w:rsid w:val="747EA3B4"/>
    <w:rsid w:val="748297B6"/>
    <w:rsid w:val="74A0496A"/>
    <w:rsid w:val="74DC292A"/>
    <w:rsid w:val="74FA4F7B"/>
    <w:rsid w:val="7518B2F7"/>
    <w:rsid w:val="753124A0"/>
    <w:rsid w:val="75334303"/>
    <w:rsid w:val="753C414E"/>
    <w:rsid w:val="75443A35"/>
    <w:rsid w:val="7556C0E2"/>
    <w:rsid w:val="757F5965"/>
    <w:rsid w:val="7585D475"/>
    <w:rsid w:val="7598CC08"/>
    <w:rsid w:val="75A250CF"/>
    <w:rsid w:val="75BA6F92"/>
    <w:rsid w:val="75BC0D20"/>
    <w:rsid w:val="75D3792F"/>
    <w:rsid w:val="75DEFED5"/>
    <w:rsid w:val="75E78E1C"/>
    <w:rsid w:val="75E8EDC6"/>
    <w:rsid w:val="75F16160"/>
    <w:rsid w:val="7616D761"/>
    <w:rsid w:val="761899A6"/>
    <w:rsid w:val="7635D41B"/>
    <w:rsid w:val="76411312"/>
    <w:rsid w:val="76413A32"/>
    <w:rsid w:val="76415106"/>
    <w:rsid w:val="7656B6CE"/>
    <w:rsid w:val="76700302"/>
    <w:rsid w:val="767D63E1"/>
    <w:rsid w:val="7681D386"/>
    <w:rsid w:val="7684F0C6"/>
    <w:rsid w:val="768DA57B"/>
    <w:rsid w:val="769C8FDD"/>
    <w:rsid w:val="76B1B34E"/>
    <w:rsid w:val="76FB2D29"/>
    <w:rsid w:val="771B3007"/>
    <w:rsid w:val="771B7DF4"/>
    <w:rsid w:val="77213D7B"/>
    <w:rsid w:val="773A0331"/>
    <w:rsid w:val="7749885B"/>
    <w:rsid w:val="774ED9DB"/>
    <w:rsid w:val="77562FD1"/>
    <w:rsid w:val="776CB2AD"/>
    <w:rsid w:val="779928AF"/>
    <w:rsid w:val="77AD5F34"/>
    <w:rsid w:val="77AE89E8"/>
    <w:rsid w:val="77B4403A"/>
    <w:rsid w:val="77D4D642"/>
    <w:rsid w:val="780A8C03"/>
    <w:rsid w:val="781ABAA2"/>
    <w:rsid w:val="7852F704"/>
    <w:rsid w:val="78599420"/>
    <w:rsid w:val="785A7759"/>
    <w:rsid w:val="787E9122"/>
    <w:rsid w:val="78A980BD"/>
    <w:rsid w:val="78BFDBB8"/>
    <w:rsid w:val="78C189F2"/>
    <w:rsid w:val="78CB1810"/>
    <w:rsid w:val="78E7D319"/>
    <w:rsid w:val="78F29AEA"/>
    <w:rsid w:val="791682E4"/>
    <w:rsid w:val="792A659C"/>
    <w:rsid w:val="793A79F6"/>
    <w:rsid w:val="793B585F"/>
    <w:rsid w:val="79403573"/>
    <w:rsid w:val="794B07DB"/>
    <w:rsid w:val="7951A3D4"/>
    <w:rsid w:val="795D3625"/>
    <w:rsid w:val="795DDABA"/>
    <w:rsid w:val="79624D14"/>
    <w:rsid w:val="7990077F"/>
    <w:rsid w:val="799D8B67"/>
    <w:rsid w:val="79AF3043"/>
    <w:rsid w:val="79BE6860"/>
    <w:rsid w:val="79C6ED5E"/>
    <w:rsid w:val="79D43203"/>
    <w:rsid w:val="79D89153"/>
    <w:rsid w:val="79D9CB4A"/>
    <w:rsid w:val="79E98184"/>
    <w:rsid w:val="7A093670"/>
    <w:rsid w:val="7A1CD55C"/>
    <w:rsid w:val="7A22352E"/>
    <w:rsid w:val="7A241409"/>
    <w:rsid w:val="7A44C609"/>
    <w:rsid w:val="7A4DF726"/>
    <w:rsid w:val="7A8382F1"/>
    <w:rsid w:val="7A8F4CEF"/>
    <w:rsid w:val="7A8F8416"/>
    <w:rsid w:val="7A926249"/>
    <w:rsid w:val="7A95FDEA"/>
    <w:rsid w:val="7AD06261"/>
    <w:rsid w:val="7AE4F518"/>
    <w:rsid w:val="7AF3F800"/>
    <w:rsid w:val="7AFB681A"/>
    <w:rsid w:val="7B2BDF5F"/>
    <w:rsid w:val="7B2D3520"/>
    <w:rsid w:val="7B5FAB3B"/>
    <w:rsid w:val="7B6D7C4F"/>
    <w:rsid w:val="7B8982E9"/>
    <w:rsid w:val="7BAE8699"/>
    <w:rsid w:val="7BBD661B"/>
    <w:rsid w:val="7BCADDAE"/>
    <w:rsid w:val="7BD0D478"/>
    <w:rsid w:val="7BD534B3"/>
    <w:rsid w:val="7BEF8336"/>
    <w:rsid w:val="7BF99056"/>
    <w:rsid w:val="7C380402"/>
    <w:rsid w:val="7C49515E"/>
    <w:rsid w:val="7C4ABC86"/>
    <w:rsid w:val="7C70DA82"/>
    <w:rsid w:val="7C7EBF60"/>
    <w:rsid w:val="7C844F06"/>
    <w:rsid w:val="7C95A612"/>
    <w:rsid w:val="7CABDB04"/>
    <w:rsid w:val="7CB8F740"/>
    <w:rsid w:val="7CCAA6BB"/>
    <w:rsid w:val="7D069F13"/>
    <w:rsid w:val="7D0A48CF"/>
    <w:rsid w:val="7D0BD161"/>
    <w:rsid w:val="7D0F7F2F"/>
    <w:rsid w:val="7D333605"/>
    <w:rsid w:val="7D3A36C3"/>
    <w:rsid w:val="7D3D48FC"/>
    <w:rsid w:val="7D3E4616"/>
    <w:rsid w:val="7D46C384"/>
    <w:rsid w:val="7DAD937E"/>
    <w:rsid w:val="7DB0F577"/>
    <w:rsid w:val="7DBC52F5"/>
    <w:rsid w:val="7DD031C9"/>
    <w:rsid w:val="7DD32FC0"/>
    <w:rsid w:val="7DE87FF9"/>
    <w:rsid w:val="7DF68FBF"/>
    <w:rsid w:val="7E247899"/>
    <w:rsid w:val="7E335377"/>
    <w:rsid w:val="7E4B68A1"/>
    <w:rsid w:val="7E61C8B3"/>
    <w:rsid w:val="7E6F32B1"/>
    <w:rsid w:val="7E77B1DC"/>
    <w:rsid w:val="7EA68E96"/>
    <w:rsid w:val="7EAA8DE2"/>
    <w:rsid w:val="7EAE35E8"/>
    <w:rsid w:val="7EBF40F8"/>
    <w:rsid w:val="7ED47079"/>
    <w:rsid w:val="7EF7D101"/>
    <w:rsid w:val="7EFAE4C4"/>
    <w:rsid w:val="7EFEC1CC"/>
    <w:rsid w:val="7F0F0C87"/>
    <w:rsid w:val="7F2A2BB7"/>
    <w:rsid w:val="7F2FA35A"/>
    <w:rsid w:val="7F735E66"/>
    <w:rsid w:val="7F851AA3"/>
    <w:rsid w:val="7F96D53E"/>
    <w:rsid w:val="7F9C3FBF"/>
    <w:rsid w:val="7FB03BAD"/>
    <w:rsid w:val="7FB12130"/>
    <w:rsid w:val="7FB71FA5"/>
    <w:rsid w:val="7FB8663B"/>
    <w:rsid w:val="7FBE84EE"/>
    <w:rsid w:val="7FDDCEF9"/>
    <w:rsid w:val="7FE76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3D93893"/>
  <w15:docId w15:val="{C0370B70-77B7-8746-A871-F6E5A77A8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Arial"/>
        <w:sz w:val="22"/>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094"/>
    <w:rPr>
      <w:rFonts w:eastAsia="DengXi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2B7094"/>
    <w:rPr>
      <w:rFonts w:cs="Times New Roman"/>
      <w:sz w:val="20"/>
      <w:szCs w:val="20"/>
    </w:rPr>
  </w:style>
  <w:style w:type="character" w:customStyle="1" w:styleId="CommentTextChar">
    <w:name w:val="Comment Text Char"/>
    <w:basedOn w:val="DefaultParagraphFont"/>
    <w:link w:val="CommentText"/>
    <w:uiPriority w:val="99"/>
    <w:semiHidden/>
    <w:locked/>
    <w:rsid w:val="002B7094"/>
    <w:rPr>
      <w:rFonts w:eastAsia="DengXian"/>
      <w:sz w:val="20"/>
      <w:lang w:val="en-CA" w:eastAsia="zh-CN"/>
    </w:rPr>
  </w:style>
  <w:style w:type="character" w:styleId="CommentReference">
    <w:name w:val="annotation reference"/>
    <w:basedOn w:val="DefaultParagraphFont"/>
    <w:uiPriority w:val="99"/>
    <w:semiHidden/>
    <w:rsid w:val="002B7094"/>
    <w:rPr>
      <w:rFonts w:cs="Times New Roman"/>
      <w:sz w:val="16"/>
    </w:rPr>
  </w:style>
  <w:style w:type="paragraph" w:styleId="BalloonText">
    <w:name w:val="Balloon Text"/>
    <w:basedOn w:val="Normal"/>
    <w:link w:val="BalloonTextChar"/>
    <w:uiPriority w:val="99"/>
    <w:semiHidden/>
    <w:rsid w:val="002B7094"/>
    <w:rPr>
      <w:rFonts w:ascii="Segoe UI" w:hAnsi="Segoe UI" w:cs="Times New Roman"/>
      <w:sz w:val="18"/>
      <w:szCs w:val="18"/>
    </w:rPr>
  </w:style>
  <w:style w:type="character" w:customStyle="1" w:styleId="BalloonTextChar">
    <w:name w:val="Balloon Text Char"/>
    <w:basedOn w:val="DefaultParagraphFont"/>
    <w:link w:val="BalloonText"/>
    <w:uiPriority w:val="99"/>
    <w:semiHidden/>
    <w:locked/>
    <w:rsid w:val="002B7094"/>
    <w:rPr>
      <w:rFonts w:ascii="Segoe UI" w:eastAsia="DengXian" w:hAnsi="Segoe UI"/>
      <w:sz w:val="18"/>
      <w:lang w:val="en-CA" w:eastAsia="zh-CN"/>
    </w:rPr>
  </w:style>
  <w:style w:type="character" w:customStyle="1" w:styleId="Mention1">
    <w:name w:val="Mention1"/>
    <w:uiPriority w:val="99"/>
    <w:rsid w:val="0061591C"/>
    <w:rPr>
      <w:color w:val="2B579A"/>
      <w:shd w:val="clear" w:color="auto" w:fill="E6E6E6"/>
    </w:rPr>
  </w:style>
  <w:style w:type="character" w:customStyle="1" w:styleId="normaltextrun">
    <w:name w:val="normaltextrun"/>
    <w:uiPriority w:val="99"/>
    <w:rsid w:val="00083F2D"/>
  </w:style>
  <w:style w:type="character" w:customStyle="1" w:styleId="eop">
    <w:name w:val="eop"/>
    <w:uiPriority w:val="99"/>
    <w:rsid w:val="00136F63"/>
  </w:style>
  <w:style w:type="paragraph" w:customStyle="1" w:styleId="paragraph">
    <w:name w:val="paragraph"/>
    <w:basedOn w:val="Normal"/>
    <w:uiPriority w:val="99"/>
    <w:rsid w:val="00181900"/>
    <w:pPr>
      <w:spacing w:before="100" w:beforeAutospacing="1" w:after="100" w:afterAutospacing="1"/>
    </w:pPr>
    <w:rPr>
      <w:rFonts w:ascii="Times New Roman" w:eastAsia="Times New Roman" w:hAnsi="Times New Roman" w:cs="Times New Roman"/>
      <w:lang w:val="en-US" w:eastAsia="en-US"/>
    </w:rPr>
  </w:style>
  <w:style w:type="character" w:customStyle="1" w:styleId="trackchangetextdeletion">
    <w:name w:val="trackchangetextdeletion"/>
    <w:uiPriority w:val="99"/>
    <w:rsid w:val="002C52FC"/>
  </w:style>
  <w:style w:type="paragraph" w:styleId="Revision">
    <w:name w:val="Revision"/>
    <w:hidden/>
    <w:uiPriority w:val="99"/>
    <w:semiHidden/>
    <w:rsid w:val="00953FF6"/>
    <w:rPr>
      <w:rFonts w:eastAsia="DengXian"/>
      <w:sz w:val="24"/>
      <w:szCs w:val="24"/>
      <w:lang w:val="en-CA"/>
    </w:rPr>
  </w:style>
  <w:style w:type="paragraph" w:styleId="CommentSubject">
    <w:name w:val="annotation subject"/>
    <w:basedOn w:val="CommentText"/>
    <w:next w:val="CommentText"/>
    <w:link w:val="CommentSubjectChar"/>
    <w:uiPriority w:val="99"/>
    <w:semiHidden/>
    <w:rsid w:val="006A07F7"/>
    <w:rPr>
      <w:b/>
      <w:bCs/>
    </w:rPr>
  </w:style>
  <w:style w:type="character" w:customStyle="1" w:styleId="CommentSubjectChar">
    <w:name w:val="Comment Subject Char"/>
    <w:basedOn w:val="CommentTextChar"/>
    <w:link w:val="CommentSubject"/>
    <w:uiPriority w:val="99"/>
    <w:semiHidden/>
    <w:locked/>
    <w:rsid w:val="006A07F7"/>
    <w:rPr>
      <w:rFonts w:eastAsia="DengXian"/>
      <w:b/>
      <w:sz w:val="20"/>
      <w:lang w:val="en-CA" w:eastAsia="zh-CN"/>
    </w:rPr>
  </w:style>
  <w:style w:type="character" w:customStyle="1" w:styleId="trackchangetextinsertion">
    <w:name w:val="trackchangetextinsertion"/>
    <w:uiPriority w:val="99"/>
    <w:rsid w:val="00193377"/>
  </w:style>
  <w:style w:type="table" w:customStyle="1" w:styleId="PlainTable41">
    <w:name w:val="Plain Table 41"/>
    <w:uiPriority w:val="99"/>
    <w:rsid w:val="00685610"/>
    <w:rPr>
      <w:rFonts w:eastAsia="DengXian"/>
      <w:sz w:val="24"/>
      <w:szCs w:val="24"/>
      <w:lang w:val="en-CA" w:eastAsia="en-US" w:bidi="hi-IN"/>
    </w:rPr>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rsid w:val="00793558"/>
    <w:rPr>
      <w:rFonts w:cs="Times New Roman"/>
      <w:color w:val="0563C1"/>
      <w:u w:val="single"/>
    </w:rPr>
  </w:style>
  <w:style w:type="character" w:customStyle="1" w:styleId="UnresolvedMention1">
    <w:name w:val="Unresolved Mention1"/>
    <w:uiPriority w:val="99"/>
    <w:semiHidden/>
    <w:rsid w:val="00C07C86"/>
    <w:rPr>
      <w:color w:val="605E5C"/>
      <w:shd w:val="clear" w:color="auto" w:fill="E1DFDD"/>
    </w:rPr>
  </w:style>
  <w:style w:type="character" w:styleId="FollowedHyperlink">
    <w:name w:val="FollowedHyperlink"/>
    <w:basedOn w:val="DefaultParagraphFont"/>
    <w:uiPriority w:val="99"/>
    <w:semiHidden/>
    <w:rsid w:val="003820C2"/>
    <w:rPr>
      <w:rFonts w:cs="Times New Roman"/>
      <w:color w:val="800080"/>
      <w:u w:val="single"/>
    </w:rPr>
  </w:style>
  <w:style w:type="character" w:customStyle="1" w:styleId="UnresolvedMention2">
    <w:name w:val="Unresolved Mention2"/>
    <w:uiPriority w:val="99"/>
    <w:semiHidden/>
    <w:rsid w:val="003766C6"/>
    <w:rPr>
      <w:color w:val="605E5C"/>
      <w:shd w:val="clear" w:color="auto" w:fill="E1DFDD"/>
    </w:rPr>
  </w:style>
  <w:style w:type="table" w:customStyle="1" w:styleId="PlainTable42">
    <w:name w:val="Plain Table 42"/>
    <w:uiPriority w:val="99"/>
    <w:rsid w:val="00977D37"/>
    <w:rPr>
      <w:rFonts w:cs="Mangal"/>
      <w:sz w:val="24"/>
      <w:szCs w:val="24"/>
      <w:lang w:val="en-CA" w:eastAsia="en-US"/>
    </w:rPr>
    <w:tblPr>
      <w:tblStyleRowBandSize w:val="1"/>
      <w:tblStyleColBandSize w:val="1"/>
      <w:tblInd w:w="0" w:type="dxa"/>
      <w:tblCellMar>
        <w:top w:w="0" w:type="dxa"/>
        <w:left w:w="108" w:type="dxa"/>
        <w:bottom w:w="0" w:type="dxa"/>
        <w:right w:w="108" w:type="dxa"/>
      </w:tblCellMar>
    </w:tblPr>
    <w:tblStylePr w:type="firstRow">
      <w:rPr>
        <w:rFonts w:cs="Mangal"/>
        <w:b/>
        <w:bCs/>
      </w:rPr>
    </w:tblStylePr>
    <w:tblStylePr w:type="lastRow">
      <w:rPr>
        <w:rFonts w:cs="Mangal"/>
        <w:b/>
        <w:bCs/>
      </w:rPr>
    </w:tblStylePr>
    <w:tblStylePr w:type="firstCol">
      <w:rPr>
        <w:rFonts w:cs="Mangal"/>
        <w:b/>
        <w:bCs/>
      </w:rPr>
    </w:tblStylePr>
    <w:tblStylePr w:type="lastCol">
      <w:rPr>
        <w:rFonts w:cs="Mangal"/>
        <w:b/>
        <w:bCs/>
      </w:rPr>
    </w:tblStylePr>
    <w:tblStylePr w:type="band1Vert">
      <w:rPr>
        <w:rFonts w:cs="Mangal"/>
      </w:rPr>
      <w:tblPr/>
      <w:tcPr>
        <w:shd w:val="clear" w:color="auto" w:fill="F2F2F2"/>
      </w:tcPr>
    </w:tblStylePr>
    <w:tblStylePr w:type="band1Horz">
      <w:rPr>
        <w:rFonts w:cs="Mangal"/>
      </w:rPr>
      <w:tblPr/>
      <w:tcPr>
        <w:shd w:val="clear" w:color="auto" w:fill="F2F2F2"/>
      </w:tcPr>
    </w:tblStylePr>
  </w:style>
  <w:style w:type="paragraph" w:styleId="ListParagraph">
    <w:name w:val="List Paragraph"/>
    <w:basedOn w:val="Normal"/>
    <w:uiPriority w:val="99"/>
    <w:qFormat/>
    <w:rsid w:val="0090026E"/>
    <w:pPr>
      <w:ind w:left="720"/>
      <w:contextualSpacing/>
    </w:pPr>
  </w:style>
  <w:style w:type="character" w:customStyle="1" w:styleId="UnresolvedMention3">
    <w:name w:val="Unresolved Mention3"/>
    <w:uiPriority w:val="99"/>
    <w:semiHidden/>
    <w:rsid w:val="0061750A"/>
    <w:rPr>
      <w:color w:val="605E5C"/>
      <w:shd w:val="clear" w:color="auto" w:fill="E1DFDD"/>
    </w:rPr>
  </w:style>
  <w:style w:type="paragraph" w:styleId="Header">
    <w:name w:val="header"/>
    <w:basedOn w:val="Normal"/>
    <w:link w:val="HeaderChar"/>
    <w:uiPriority w:val="99"/>
    <w:unhideWhenUsed/>
    <w:rsid w:val="00C50667"/>
    <w:pPr>
      <w:tabs>
        <w:tab w:val="center" w:pos="4680"/>
        <w:tab w:val="right" w:pos="9360"/>
      </w:tabs>
    </w:pPr>
  </w:style>
  <w:style w:type="character" w:customStyle="1" w:styleId="HeaderChar">
    <w:name w:val="Header Char"/>
    <w:basedOn w:val="DefaultParagraphFont"/>
    <w:link w:val="Header"/>
    <w:uiPriority w:val="99"/>
    <w:rsid w:val="00C50667"/>
    <w:rPr>
      <w:rFonts w:eastAsia="DengXian"/>
      <w:sz w:val="24"/>
      <w:szCs w:val="24"/>
      <w:lang w:val="en-CA"/>
    </w:rPr>
  </w:style>
  <w:style w:type="paragraph" w:styleId="Footer">
    <w:name w:val="footer"/>
    <w:basedOn w:val="Normal"/>
    <w:link w:val="FooterChar"/>
    <w:uiPriority w:val="99"/>
    <w:unhideWhenUsed/>
    <w:rsid w:val="00C50667"/>
    <w:pPr>
      <w:tabs>
        <w:tab w:val="center" w:pos="4680"/>
        <w:tab w:val="right" w:pos="9360"/>
      </w:tabs>
    </w:pPr>
  </w:style>
  <w:style w:type="character" w:customStyle="1" w:styleId="FooterChar">
    <w:name w:val="Footer Char"/>
    <w:basedOn w:val="DefaultParagraphFont"/>
    <w:link w:val="Footer"/>
    <w:uiPriority w:val="99"/>
    <w:rsid w:val="00C50667"/>
    <w:rPr>
      <w:rFonts w:eastAsia="DengXi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353431">
      <w:marLeft w:val="0"/>
      <w:marRight w:val="0"/>
      <w:marTop w:val="0"/>
      <w:marBottom w:val="0"/>
      <w:divBdr>
        <w:top w:val="none" w:sz="0" w:space="0" w:color="auto"/>
        <w:left w:val="none" w:sz="0" w:space="0" w:color="auto"/>
        <w:bottom w:val="none" w:sz="0" w:space="0" w:color="auto"/>
        <w:right w:val="none" w:sz="0" w:space="0" w:color="auto"/>
      </w:divBdr>
    </w:div>
    <w:div w:id="1376353432">
      <w:marLeft w:val="0"/>
      <w:marRight w:val="0"/>
      <w:marTop w:val="0"/>
      <w:marBottom w:val="0"/>
      <w:divBdr>
        <w:top w:val="none" w:sz="0" w:space="0" w:color="auto"/>
        <w:left w:val="none" w:sz="0" w:space="0" w:color="auto"/>
        <w:bottom w:val="none" w:sz="0" w:space="0" w:color="auto"/>
        <w:right w:val="none" w:sz="0" w:space="0" w:color="auto"/>
      </w:divBdr>
      <w:divsChild>
        <w:div w:id="1376353435">
          <w:marLeft w:val="0"/>
          <w:marRight w:val="0"/>
          <w:marTop w:val="200"/>
          <w:marBottom w:val="200"/>
          <w:divBdr>
            <w:top w:val="none" w:sz="0" w:space="0" w:color="auto"/>
            <w:left w:val="none" w:sz="0" w:space="0" w:color="auto"/>
            <w:bottom w:val="none" w:sz="0" w:space="0" w:color="auto"/>
            <w:right w:val="none" w:sz="0" w:space="0" w:color="auto"/>
          </w:divBdr>
        </w:div>
      </w:divsChild>
    </w:div>
    <w:div w:id="1376353433">
      <w:marLeft w:val="0"/>
      <w:marRight w:val="0"/>
      <w:marTop w:val="0"/>
      <w:marBottom w:val="0"/>
      <w:divBdr>
        <w:top w:val="none" w:sz="0" w:space="0" w:color="auto"/>
        <w:left w:val="none" w:sz="0" w:space="0" w:color="auto"/>
        <w:bottom w:val="none" w:sz="0" w:space="0" w:color="auto"/>
        <w:right w:val="none" w:sz="0" w:space="0" w:color="auto"/>
      </w:divBdr>
      <w:divsChild>
        <w:div w:id="1376353434">
          <w:marLeft w:val="0"/>
          <w:marRight w:val="0"/>
          <w:marTop w:val="0"/>
          <w:marBottom w:val="0"/>
          <w:divBdr>
            <w:top w:val="none" w:sz="0" w:space="0" w:color="auto"/>
            <w:left w:val="none" w:sz="0" w:space="0" w:color="auto"/>
            <w:bottom w:val="none" w:sz="0" w:space="0" w:color="auto"/>
            <w:right w:val="none" w:sz="0" w:space="0" w:color="auto"/>
          </w:divBdr>
        </w:div>
      </w:divsChild>
    </w:div>
    <w:div w:id="1376353441">
      <w:marLeft w:val="0"/>
      <w:marRight w:val="0"/>
      <w:marTop w:val="0"/>
      <w:marBottom w:val="0"/>
      <w:divBdr>
        <w:top w:val="none" w:sz="0" w:space="0" w:color="auto"/>
        <w:left w:val="none" w:sz="0" w:space="0" w:color="auto"/>
        <w:bottom w:val="none" w:sz="0" w:space="0" w:color="auto"/>
        <w:right w:val="none" w:sz="0" w:space="0" w:color="auto"/>
      </w:divBdr>
      <w:divsChild>
        <w:div w:id="1376353451">
          <w:marLeft w:val="0"/>
          <w:marRight w:val="0"/>
          <w:marTop w:val="0"/>
          <w:marBottom w:val="0"/>
          <w:divBdr>
            <w:top w:val="none" w:sz="0" w:space="0" w:color="auto"/>
            <w:left w:val="none" w:sz="0" w:space="0" w:color="auto"/>
            <w:bottom w:val="none" w:sz="0" w:space="0" w:color="auto"/>
            <w:right w:val="none" w:sz="0" w:space="0" w:color="auto"/>
          </w:divBdr>
        </w:div>
        <w:div w:id="1376353507">
          <w:marLeft w:val="0"/>
          <w:marRight w:val="0"/>
          <w:marTop w:val="0"/>
          <w:marBottom w:val="0"/>
          <w:divBdr>
            <w:top w:val="none" w:sz="0" w:space="0" w:color="auto"/>
            <w:left w:val="none" w:sz="0" w:space="0" w:color="auto"/>
            <w:bottom w:val="none" w:sz="0" w:space="0" w:color="auto"/>
            <w:right w:val="none" w:sz="0" w:space="0" w:color="auto"/>
          </w:divBdr>
        </w:div>
      </w:divsChild>
    </w:div>
    <w:div w:id="1376353443">
      <w:marLeft w:val="0"/>
      <w:marRight w:val="0"/>
      <w:marTop w:val="0"/>
      <w:marBottom w:val="0"/>
      <w:divBdr>
        <w:top w:val="none" w:sz="0" w:space="0" w:color="auto"/>
        <w:left w:val="none" w:sz="0" w:space="0" w:color="auto"/>
        <w:bottom w:val="none" w:sz="0" w:space="0" w:color="auto"/>
        <w:right w:val="none" w:sz="0" w:space="0" w:color="auto"/>
      </w:divBdr>
      <w:divsChild>
        <w:div w:id="1376353499">
          <w:marLeft w:val="0"/>
          <w:marRight w:val="0"/>
          <w:marTop w:val="0"/>
          <w:marBottom w:val="0"/>
          <w:divBdr>
            <w:top w:val="none" w:sz="0" w:space="0" w:color="auto"/>
            <w:left w:val="none" w:sz="0" w:space="0" w:color="auto"/>
            <w:bottom w:val="none" w:sz="0" w:space="0" w:color="auto"/>
            <w:right w:val="none" w:sz="0" w:space="0" w:color="auto"/>
          </w:divBdr>
        </w:div>
        <w:div w:id="1376353521">
          <w:marLeft w:val="0"/>
          <w:marRight w:val="0"/>
          <w:marTop w:val="0"/>
          <w:marBottom w:val="0"/>
          <w:divBdr>
            <w:top w:val="none" w:sz="0" w:space="0" w:color="auto"/>
            <w:left w:val="none" w:sz="0" w:space="0" w:color="auto"/>
            <w:bottom w:val="none" w:sz="0" w:space="0" w:color="auto"/>
            <w:right w:val="none" w:sz="0" w:space="0" w:color="auto"/>
          </w:divBdr>
        </w:div>
      </w:divsChild>
    </w:div>
    <w:div w:id="1376353458">
      <w:marLeft w:val="0"/>
      <w:marRight w:val="0"/>
      <w:marTop w:val="0"/>
      <w:marBottom w:val="0"/>
      <w:divBdr>
        <w:top w:val="none" w:sz="0" w:space="0" w:color="auto"/>
        <w:left w:val="none" w:sz="0" w:space="0" w:color="auto"/>
        <w:bottom w:val="none" w:sz="0" w:space="0" w:color="auto"/>
        <w:right w:val="none" w:sz="0" w:space="0" w:color="auto"/>
      </w:divBdr>
      <w:divsChild>
        <w:div w:id="1376353444">
          <w:marLeft w:val="0"/>
          <w:marRight w:val="0"/>
          <w:marTop w:val="0"/>
          <w:marBottom w:val="0"/>
          <w:divBdr>
            <w:top w:val="none" w:sz="0" w:space="0" w:color="auto"/>
            <w:left w:val="none" w:sz="0" w:space="0" w:color="auto"/>
            <w:bottom w:val="none" w:sz="0" w:space="0" w:color="auto"/>
            <w:right w:val="none" w:sz="0" w:space="0" w:color="auto"/>
          </w:divBdr>
        </w:div>
        <w:div w:id="1376353459">
          <w:marLeft w:val="0"/>
          <w:marRight w:val="0"/>
          <w:marTop w:val="0"/>
          <w:marBottom w:val="0"/>
          <w:divBdr>
            <w:top w:val="none" w:sz="0" w:space="0" w:color="auto"/>
            <w:left w:val="none" w:sz="0" w:space="0" w:color="auto"/>
            <w:bottom w:val="none" w:sz="0" w:space="0" w:color="auto"/>
            <w:right w:val="none" w:sz="0" w:space="0" w:color="auto"/>
          </w:divBdr>
        </w:div>
        <w:div w:id="1376353464">
          <w:marLeft w:val="0"/>
          <w:marRight w:val="0"/>
          <w:marTop w:val="0"/>
          <w:marBottom w:val="0"/>
          <w:divBdr>
            <w:top w:val="none" w:sz="0" w:space="0" w:color="auto"/>
            <w:left w:val="none" w:sz="0" w:space="0" w:color="auto"/>
            <w:bottom w:val="none" w:sz="0" w:space="0" w:color="auto"/>
            <w:right w:val="none" w:sz="0" w:space="0" w:color="auto"/>
          </w:divBdr>
        </w:div>
        <w:div w:id="1376353511">
          <w:marLeft w:val="0"/>
          <w:marRight w:val="0"/>
          <w:marTop w:val="0"/>
          <w:marBottom w:val="0"/>
          <w:divBdr>
            <w:top w:val="none" w:sz="0" w:space="0" w:color="auto"/>
            <w:left w:val="none" w:sz="0" w:space="0" w:color="auto"/>
            <w:bottom w:val="none" w:sz="0" w:space="0" w:color="auto"/>
            <w:right w:val="none" w:sz="0" w:space="0" w:color="auto"/>
          </w:divBdr>
        </w:div>
        <w:div w:id="1376353516">
          <w:marLeft w:val="0"/>
          <w:marRight w:val="0"/>
          <w:marTop w:val="0"/>
          <w:marBottom w:val="0"/>
          <w:divBdr>
            <w:top w:val="none" w:sz="0" w:space="0" w:color="auto"/>
            <w:left w:val="none" w:sz="0" w:space="0" w:color="auto"/>
            <w:bottom w:val="none" w:sz="0" w:space="0" w:color="auto"/>
            <w:right w:val="none" w:sz="0" w:space="0" w:color="auto"/>
          </w:divBdr>
        </w:div>
        <w:div w:id="1376353552">
          <w:marLeft w:val="0"/>
          <w:marRight w:val="0"/>
          <w:marTop w:val="0"/>
          <w:marBottom w:val="0"/>
          <w:divBdr>
            <w:top w:val="none" w:sz="0" w:space="0" w:color="auto"/>
            <w:left w:val="none" w:sz="0" w:space="0" w:color="auto"/>
            <w:bottom w:val="none" w:sz="0" w:space="0" w:color="auto"/>
            <w:right w:val="none" w:sz="0" w:space="0" w:color="auto"/>
          </w:divBdr>
        </w:div>
      </w:divsChild>
    </w:div>
    <w:div w:id="1376353466">
      <w:marLeft w:val="0"/>
      <w:marRight w:val="0"/>
      <w:marTop w:val="0"/>
      <w:marBottom w:val="0"/>
      <w:divBdr>
        <w:top w:val="none" w:sz="0" w:space="0" w:color="auto"/>
        <w:left w:val="none" w:sz="0" w:space="0" w:color="auto"/>
        <w:bottom w:val="none" w:sz="0" w:space="0" w:color="auto"/>
        <w:right w:val="none" w:sz="0" w:space="0" w:color="auto"/>
      </w:divBdr>
      <w:divsChild>
        <w:div w:id="1376353453">
          <w:marLeft w:val="0"/>
          <w:marRight w:val="0"/>
          <w:marTop w:val="0"/>
          <w:marBottom w:val="0"/>
          <w:divBdr>
            <w:top w:val="none" w:sz="0" w:space="0" w:color="auto"/>
            <w:left w:val="none" w:sz="0" w:space="0" w:color="auto"/>
            <w:bottom w:val="none" w:sz="0" w:space="0" w:color="auto"/>
            <w:right w:val="none" w:sz="0" w:space="0" w:color="auto"/>
          </w:divBdr>
        </w:div>
        <w:div w:id="1376353454">
          <w:marLeft w:val="0"/>
          <w:marRight w:val="0"/>
          <w:marTop w:val="0"/>
          <w:marBottom w:val="0"/>
          <w:divBdr>
            <w:top w:val="none" w:sz="0" w:space="0" w:color="auto"/>
            <w:left w:val="none" w:sz="0" w:space="0" w:color="auto"/>
            <w:bottom w:val="none" w:sz="0" w:space="0" w:color="auto"/>
            <w:right w:val="none" w:sz="0" w:space="0" w:color="auto"/>
          </w:divBdr>
        </w:div>
        <w:div w:id="1376353498">
          <w:marLeft w:val="0"/>
          <w:marRight w:val="0"/>
          <w:marTop w:val="0"/>
          <w:marBottom w:val="0"/>
          <w:divBdr>
            <w:top w:val="none" w:sz="0" w:space="0" w:color="auto"/>
            <w:left w:val="none" w:sz="0" w:space="0" w:color="auto"/>
            <w:bottom w:val="none" w:sz="0" w:space="0" w:color="auto"/>
            <w:right w:val="none" w:sz="0" w:space="0" w:color="auto"/>
          </w:divBdr>
        </w:div>
      </w:divsChild>
    </w:div>
    <w:div w:id="1376353476">
      <w:marLeft w:val="0"/>
      <w:marRight w:val="0"/>
      <w:marTop w:val="0"/>
      <w:marBottom w:val="0"/>
      <w:divBdr>
        <w:top w:val="none" w:sz="0" w:space="0" w:color="auto"/>
        <w:left w:val="none" w:sz="0" w:space="0" w:color="auto"/>
        <w:bottom w:val="none" w:sz="0" w:space="0" w:color="auto"/>
        <w:right w:val="none" w:sz="0" w:space="0" w:color="auto"/>
      </w:divBdr>
      <w:divsChild>
        <w:div w:id="1376353491">
          <w:marLeft w:val="0"/>
          <w:marRight w:val="0"/>
          <w:marTop w:val="0"/>
          <w:marBottom w:val="0"/>
          <w:divBdr>
            <w:top w:val="none" w:sz="0" w:space="0" w:color="auto"/>
            <w:left w:val="none" w:sz="0" w:space="0" w:color="auto"/>
            <w:bottom w:val="none" w:sz="0" w:space="0" w:color="auto"/>
            <w:right w:val="none" w:sz="0" w:space="0" w:color="auto"/>
          </w:divBdr>
        </w:div>
        <w:div w:id="1376353500">
          <w:marLeft w:val="0"/>
          <w:marRight w:val="0"/>
          <w:marTop w:val="0"/>
          <w:marBottom w:val="0"/>
          <w:divBdr>
            <w:top w:val="none" w:sz="0" w:space="0" w:color="auto"/>
            <w:left w:val="none" w:sz="0" w:space="0" w:color="auto"/>
            <w:bottom w:val="none" w:sz="0" w:space="0" w:color="auto"/>
            <w:right w:val="none" w:sz="0" w:space="0" w:color="auto"/>
          </w:divBdr>
          <w:divsChild>
            <w:div w:id="1376353493">
              <w:marLeft w:val="0"/>
              <w:marRight w:val="0"/>
              <w:marTop w:val="30"/>
              <w:marBottom w:val="30"/>
              <w:divBdr>
                <w:top w:val="none" w:sz="0" w:space="0" w:color="auto"/>
                <w:left w:val="none" w:sz="0" w:space="0" w:color="auto"/>
                <w:bottom w:val="none" w:sz="0" w:space="0" w:color="auto"/>
                <w:right w:val="none" w:sz="0" w:space="0" w:color="auto"/>
              </w:divBdr>
              <w:divsChild>
                <w:div w:id="1376353439">
                  <w:marLeft w:val="0"/>
                  <w:marRight w:val="0"/>
                  <w:marTop w:val="0"/>
                  <w:marBottom w:val="0"/>
                  <w:divBdr>
                    <w:top w:val="none" w:sz="0" w:space="0" w:color="auto"/>
                    <w:left w:val="none" w:sz="0" w:space="0" w:color="auto"/>
                    <w:bottom w:val="none" w:sz="0" w:space="0" w:color="auto"/>
                    <w:right w:val="none" w:sz="0" w:space="0" w:color="auto"/>
                  </w:divBdr>
                  <w:divsChild>
                    <w:div w:id="1376353506">
                      <w:marLeft w:val="0"/>
                      <w:marRight w:val="0"/>
                      <w:marTop w:val="0"/>
                      <w:marBottom w:val="0"/>
                      <w:divBdr>
                        <w:top w:val="none" w:sz="0" w:space="0" w:color="auto"/>
                        <w:left w:val="none" w:sz="0" w:space="0" w:color="auto"/>
                        <w:bottom w:val="none" w:sz="0" w:space="0" w:color="auto"/>
                        <w:right w:val="none" w:sz="0" w:space="0" w:color="auto"/>
                      </w:divBdr>
                    </w:div>
                  </w:divsChild>
                </w:div>
                <w:div w:id="1376353440">
                  <w:marLeft w:val="0"/>
                  <w:marRight w:val="0"/>
                  <w:marTop w:val="0"/>
                  <w:marBottom w:val="0"/>
                  <w:divBdr>
                    <w:top w:val="none" w:sz="0" w:space="0" w:color="auto"/>
                    <w:left w:val="none" w:sz="0" w:space="0" w:color="auto"/>
                    <w:bottom w:val="none" w:sz="0" w:space="0" w:color="auto"/>
                    <w:right w:val="none" w:sz="0" w:space="0" w:color="auto"/>
                  </w:divBdr>
                  <w:divsChild>
                    <w:div w:id="1376353512">
                      <w:marLeft w:val="0"/>
                      <w:marRight w:val="0"/>
                      <w:marTop w:val="0"/>
                      <w:marBottom w:val="0"/>
                      <w:divBdr>
                        <w:top w:val="none" w:sz="0" w:space="0" w:color="auto"/>
                        <w:left w:val="none" w:sz="0" w:space="0" w:color="auto"/>
                        <w:bottom w:val="none" w:sz="0" w:space="0" w:color="auto"/>
                        <w:right w:val="none" w:sz="0" w:space="0" w:color="auto"/>
                      </w:divBdr>
                    </w:div>
                  </w:divsChild>
                </w:div>
                <w:div w:id="1376353442">
                  <w:marLeft w:val="0"/>
                  <w:marRight w:val="0"/>
                  <w:marTop w:val="0"/>
                  <w:marBottom w:val="0"/>
                  <w:divBdr>
                    <w:top w:val="none" w:sz="0" w:space="0" w:color="auto"/>
                    <w:left w:val="none" w:sz="0" w:space="0" w:color="auto"/>
                    <w:bottom w:val="none" w:sz="0" w:space="0" w:color="auto"/>
                    <w:right w:val="none" w:sz="0" w:space="0" w:color="auto"/>
                  </w:divBdr>
                  <w:divsChild>
                    <w:div w:id="1376353548">
                      <w:marLeft w:val="0"/>
                      <w:marRight w:val="0"/>
                      <w:marTop w:val="0"/>
                      <w:marBottom w:val="0"/>
                      <w:divBdr>
                        <w:top w:val="none" w:sz="0" w:space="0" w:color="auto"/>
                        <w:left w:val="none" w:sz="0" w:space="0" w:color="auto"/>
                        <w:bottom w:val="none" w:sz="0" w:space="0" w:color="auto"/>
                        <w:right w:val="none" w:sz="0" w:space="0" w:color="auto"/>
                      </w:divBdr>
                    </w:div>
                  </w:divsChild>
                </w:div>
                <w:div w:id="1376353446">
                  <w:marLeft w:val="0"/>
                  <w:marRight w:val="0"/>
                  <w:marTop w:val="0"/>
                  <w:marBottom w:val="0"/>
                  <w:divBdr>
                    <w:top w:val="none" w:sz="0" w:space="0" w:color="auto"/>
                    <w:left w:val="none" w:sz="0" w:space="0" w:color="auto"/>
                    <w:bottom w:val="none" w:sz="0" w:space="0" w:color="auto"/>
                    <w:right w:val="none" w:sz="0" w:space="0" w:color="auto"/>
                  </w:divBdr>
                  <w:divsChild>
                    <w:div w:id="1376353529">
                      <w:marLeft w:val="0"/>
                      <w:marRight w:val="0"/>
                      <w:marTop w:val="0"/>
                      <w:marBottom w:val="0"/>
                      <w:divBdr>
                        <w:top w:val="none" w:sz="0" w:space="0" w:color="auto"/>
                        <w:left w:val="none" w:sz="0" w:space="0" w:color="auto"/>
                        <w:bottom w:val="none" w:sz="0" w:space="0" w:color="auto"/>
                        <w:right w:val="none" w:sz="0" w:space="0" w:color="auto"/>
                      </w:divBdr>
                    </w:div>
                  </w:divsChild>
                </w:div>
                <w:div w:id="1376353457">
                  <w:marLeft w:val="0"/>
                  <w:marRight w:val="0"/>
                  <w:marTop w:val="0"/>
                  <w:marBottom w:val="0"/>
                  <w:divBdr>
                    <w:top w:val="none" w:sz="0" w:space="0" w:color="auto"/>
                    <w:left w:val="none" w:sz="0" w:space="0" w:color="auto"/>
                    <w:bottom w:val="none" w:sz="0" w:space="0" w:color="auto"/>
                    <w:right w:val="none" w:sz="0" w:space="0" w:color="auto"/>
                  </w:divBdr>
                  <w:divsChild>
                    <w:div w:id="1376353455">
                      <w:marLeft w:val="0"/>
                      <w:marRight w:val="0"/>
                      <w:marTop w:val="0"/>
                      <w:marBottom w:val="0"/>
                      <w:divBdr>
                        <w:top w:val="none" w:sz="0" w:space="0" w:color="auto"/>
                        <w:left w:val="none" w:sz="0" w:space="0" w:color="auto"/>
                        <w:bottom w:val="none" w:sz="0" w:space="0" w:color="auto"/>
                        <w:right w:val="none" w:sz="0" w:space="0" w:color="auto"/>
                      </w:divBdr>
                    </w:div>
                  </w:divsChild>
                </w:div>
                <w:div w:id="1376353461">
                  <w:marLeft w:val="0"/>
                  <w:marRight w:val="0"/>
                  <w:marTop w:val="0"/>
                  <w:marBottom w:val="0"/>
                  <w:divBdr>
                    <w:top w:val="none" w:sz="0" w:space="0" w:color="auto"/>
                    <w:left w:val="none" w:sz="0" w:space="0" w:color="auto"/>
                    <w:bottom w:val="none" w:sz="0" w:space="0" w:color="auto"/>
                    <w:right w:val="none" w:sz="0" w:space="0" w:color="auto"/>
                  </w:divBdr>
                  <w:divsChild>
                    <w:div w:id="1376353462">
                      <w:marLeft w:val="0"/>
                      <w:marRight w:val="0"/>
                      <w:marTop w:val="0"/>
                      <w:marBottom w:val="0"/>
                      <w:divBdr>
                        <w:top w:val="none" w:sz="0" w:space="0" w:color="auto"/>
                        <w:left w:val="none" w:sz="0" w:space="0" w:color="auto"/>
                        <w:bottom w:val="none" w:sz="0" w:space="0" w:color="auto"/>
                        <w:right w:val="none" w:sz="0" w:space="0" w:color="auto"/>
                      </w:divBdr>
                    </w:div>
                  </w:divsChild>
                </w:div>
                <w:div w:id="1376353463">
                  <w:marLeft w:val="0"/>
                  <w:marRight w:val="0"/>
                  <w:marTop w:val="0"/>
                  <w:marBottom w:val="0"/>
                  <w:divBdr>
                    <w:top w:val="none" w:sz="0" w:space="0" w:color="auto"/>
                    <w:left w:val="none" w:sz="0" w:space="0" w:color="auto"/>
                    <w:bottom w:val="none" w:sz="0" w:space="0" w:color="auto"/>
                    <w:right w:val="none" w:sz="0" w:space="0" w:color="auto"/>
                  </w:divBdr>
                  <w:divsChild>
                    <w:div w:id="1376353501">
                      <w:marLeft w:val="0"/>
                      <w:marRight w:val="0"/>
                      <w:marTop w:val="0"/>
                      <w:marBottom w:val="0"/>
                      <w:divBdr>
                        <w:top w:val="none" w:sz="0" w:space="0" w:color="auto"/>
                        <w:left w:val="none" w:sz="0" w:space="0" w:color="auto"/>
                        <w:bottom w:val="none" w:sz="0" w:space="0" w:color="auto"/>
                        <w:right w:val="none" w:sz="0" w:space="0" w:color="auto"/>
                      </w:divBdr>
                    </w:div>
                  </w:divsChild>
                </w:div>
                <w:div w:id="1376353467">
                  <w:marLeft w:val="0"/>
                  <w:marRight w:val="0"/>
                  <w:marTop w:val="0"/>
                  <w:marBottom w:val="0"/>
                  <w:divBdr>
                    <w:top w:val="none" w:sz="0" w:space="0" w:color="auto"/>
                    <w:left w:val="none" w:sz="0" w:space="0" w:color="auto"/>
                    <w:bottom w:val="none" w:sz="0" w:space="0" w:color="auto"/>
                    <w:right w:val="none" w:sz="0" w:space="0" w:color="auto"/>
                  </w:divBdr>
                  <w:divsChild>
                    <w:div w:id="1376353553">
                      <w:marLeft w:val="0"/>
                      <w:marRight w:val="0"/>
                      <w:marTop w:val="0"/>
                      <w:marBottom w:val="0"/>
                      <w:divBdr>
                        <w:top w:val="none" w:sz="0" w:space="0" w:color="auto"/>
                        <w:left w:val="none" w:sz="0" w:space="0" w:color="auto"/>
                        <w:bottom w:val="none" w:sz="0" w:space="0" w:color="auto"/>
                        <w:right w:val="none" w:sz="0" w:space="0" w:color="auto"/>
                      </w:divBdr>
                    </w:div>
                  </w:divsChild>
                </w:div>
                <w:div w:id="1376353468">
                  <w:marLeft w:val="0"/>
                  <w:marRight w:val="0"/>
                  <w:marTop w:val="0"/>
                  <w:marBottom w:val="0"/>
                  <w:divBdr>
                    <w:top w:val="none" w:sz="0" w:space="0" w:color="auto"/>
                    <w:left w:val="none" w:sz="0" w:space="0" w:color="auto"/>
                    <w:bottom w:val="none" w:sz="0" w:space="0" w:color="auto"/>
                    <w:right w:val="none" w:sz="0" w:space="0" w:color="auto"/>
                  </w:divBdr>
                  <w:divsChild>
                    <w:div w:id="1376353483">
                      <w:marLeft w:val="0"/>
                      <w:marRight w:val="0"/>
                      <w:marTop w:val="0"/>
                      <w:marBottom w:val="0"/>
                      <w:divBdr>
                        <w:top w:val="none" w:sz="0" w:space="0" w:color="auto"/>
                        <w:left w:val="none" w:sz="0" w:space="0" w:color="auto"/>
                        <w:bottom w:val="none" w:sz="0" w:space="0" w:color="auto"/>
                        <w:right w:val="none" w:sz="0" w:space="0" w:color="auto"/>
                      </w:divBdr>
                    </w:div>
                  </w:divsChild>
                </w:div>
                <w:div w:id="1376353470">
                  <w:marLeft w:val="0"/>
                  <w:marRight w:val="0"/>
                  <w:marTop w:val="0"/>
                  <w:marBottom w:val="0"/>
                  <w:divBdr>
                    <w:top w:val="none" w:sz="0" w:space="0" w:color="auto"/>
                    <w:left w:val="none" w:sz="0" w:space="0" w:color="auto"/>
                    <w:bottom w:val="none" w:sz="0" w:space="0" w:color="auto"/>
                    <w:right w:val="none" w:sz="0" w:space="0" w:color="auto"/>
                  </w:divBdr>
                  <w:divsChild>
                    <w:div w:id="1376353537">
                      <w:marLeft w:val="0"/>
                      <w:marRight w:val="0"/>
                      <w:marTop w:val="0"/>
                      <w:marBottom w:val="0"/>
                      <w:divBdr>
                        <w:top w:val="none" w:sz="0" w:space="0" w:color="auto"/>
                        <w:left w:val="none" w:sz="0" w:space="0" w:color="auto"/>
                        <w:bottom w:val="none" w:sz="0" w:space="0" w:color="auto"/>
                        <w:right w:val="none" w:sz="0" w:space="0" w:color="auto"/>
                      </w:divBdr>
                    </w:div>
                  </w:divsChild>
                </w:div>
                <w:div w:id="1376353471">
                  <w:marLeft w:val="0"/>
                  <w:marRight w:val="0"/>
                  <w:marTop w:val="0"/>
                  <w:marBottom w:val="0"/>
                  <w:divBdr>
                    <w:top w:val="none" w:sz="0" w:space="0" w:color="auto"/>
                    <w:left w:val="none" w:sz="0" w:space="0" w:color="auto"/>
                    <w:bottom w:val="none" w:sz="0" w:space="0" w:color="auto"/>
                    <w:right w:val="none" w:sz="0" w:space="0" w:color="auto"/>
                  </w:divBdr>
                  <w:divsChild>
                    <w:div w:id="1376353497">
                      <w:marLeft w:val="0"/>
                      <w:marRight w:val="0"/>
                      <w:marTop w:val="0"/>
                      <w:marBottom w:val="0"/>
                      <w:divBdr>
                        <w:top w:val="none" w:sz="0" w:space="0" w:color="auto"/>
                        <w:left w:val="none" w:sz="0" w:space="0" w:color="auto"/>
                        <w:bottom w:val="none" w:sz="0" w:space="0" w:color="auto"/>
                        <w:right w:val="none" w:sz="0" w:space="0" w:color="auto"/>
                      </w:divBdr>
                    </w:div>
                  </w:divsChild>
                </w:div>
                <w:div w:id="1376353472">
                  <w:marLeft w:val="0"/>
                  <w:marRight w:val="0"/>
                  <w:marTop w:val="0"/>
                  <w:marBottom w:val="0"/>
                  <w:divBdr>
                    <w:top w:val="none" w:sz="0" w:space="0" w:color="auto"/>
                    <w:left w:val="none" w:sz="0" w:space="0" w:color="auto"/>
                    <w:bottom w:val="none" w:sz="0" w:space="0" w:color="auto"/>
                    <w:right w:val="none" w:sz="0" w:space="0" w:color="auto"/>
                  </w:divBdr>
                  <w:divsChild>
                    <w:div w:id="1376353519">
                      <w:marLeft w:val="0"/>
                      <w:marRight w:val="0"/>
                      <w:marTop w:val="0"/>
                      <w:marBottom w:val="0"/>
                      <w:divBdr>
                        <w:top w:val="none" w:sz="0" w:space="0" w:color="auto"/>
                        <w:left w:val="none" w:sz="0" w:space="0" w:color="auto"/>
                        <w:bottom w:val="none" w:sz="0" w:space="0" w:color="auto"/>
                        <w:right w:val="none" w:sz="0" w:space="0" w:color="auto"/>
                      </w:divBdr>
                    </w:div>
                  </w:divsChild>
                </w:div>
                <w:div w:id="1376353477">
                  <w:marLeft w:val="0"/>
                  <w:marRight w:val="0"/>
                  <w:marTop w:val="0"/>
                  <w:marBottom w:val="0"/>
                  <w:divBdr>
                    <w:top w:val="none" w:sz="0" w:space="0" w:color="auto"/>
                    <w:left w:val="none" w:sz="0" w:space="0" w:color="auto"/>
                    <w:bottom w:val="none" w:sz="0" w:space="0" w:color="auto"/>
                    <w:right w:val="none" w:sz="0" w:space="0" w:color="auto"/>
                  </w:divBdr>
                  <w:divsChild>
                    <w:div w:id="1376353547">
                      <w:marLeft w:val="0"/>
                      <w:marRight w:val="0"/>
                      <w:marTop w:val="0"/>
                      <w:marBottom w:val="0"/>
                      <w:divBdr>
                        <w:top w:val="none" w:sz="0" w:space="0" w:color="auto"/>
                        <w:left w:val="none" w:sz="0" w:space="0" w:color="auto"/>
                        <w:bottom w:val="none" w:sz="0" w:space="0" w:color="auto"/>
                        <w:right w:val="none" w:sz="0" w:space="0" w:color="auto"/>
                      </w:divBdr>
                    </w:div>
                  </w:divsChild>
                </w:div>
                <w:div w:id="1376353479">
                  <w:marLeft w:val="0"/>
                  <w:marRight w:val="0"/>
                  <w:marTop w:val="0"/>
                  <w:marBottom w:val="0"/>
                  <w:divBdr>
                    <w:top w:val="none" w:sz="0" w:space="0" w:color="auto"/>
                    <w:left w:val="none" w:sz="0" w:space="0" w:color="auto"/>
                    <w:bottom w:val="none" w:sz="0" w:space="0" w:color="auto"/>
                    <w:right w:val="none" w:sz="0" w:space="0" w:color="auto"/>
                  </w:divBdr>
                  <w:divsChild>
                    <w:div w:id="1376353469">
                      <w:marLeft w:val="0"/>
                      <w:marRight w:val="0"/>
                      <w:marTop w:val="0"/>
                      <w:marBottom w:val="0"/>
                      <w:divBdr>
                        <w:top w:val="none" w:sz="0" w:space="0" w:color="auto"/>
                        <w:left w:val="none" w:sz="0" w:space="0" w:color="auto"/>
                        <w:bottom w:val="none" w:sz="0" w:space="0" w:color="auto"/>
                        <w:right w:val="none" w:sz="0" w:space="0" w:color="auto"/>
                      </w:divBdr>
                    </w:div>
                  </w:divsChild>
                </w:div>
                <w:div w:id="1376353484">
                  <w:marLeft w:val="0"/>
                  <w:marRight w:val="0"/>
                  <w:marTop w:val="0"/>
                  <w:marBottom w:val="0"/>
                  <w:divBdr>
                    <w:top w:val="none" w:sz="0" w:space="0" w:color="auto"/>
                    <w:left w:val="none" w:sz="0" w:space="0" w:color="auto"/>
                    <w:bottom w:val="none" w:sz="0" w:space="0" w:color="auto"/>
                    <w:right w:val="none" w:sz="0" w:space="0" w:color="auto"/>
                  </w:divBdr>
                  <w:divsChild>
                    <w:div w:id="1376353487">
                      <w:marLeft w:val="0"/>
                      <w:marRight w:val="0"/>
                      <w:marTop w:val="0"/>
                      <w:marBottom w:val="0"/>
                      <w:divBdr>
                        <w:top w:val="none" w:sz="0" w:space="0" w:color="auto"/>
                        <w:left w:val="none" w:sz="0" w:space="0" w:color="auto"/>
                        <w:bottom w:val="none" w:sz="0" w:space="0" w:color="auto"/>
                        <w:right w:val="none" w:sz="0" w:space="0" w:color="auto"/>
                      </w:divBdr>
                    </w:div>
                  </w:divsChild>
                </w:div>
                <w:div w:id="1376353489">
                  <w:marLeft w:val="0"/>
                  <w:marRight w:val="0"/>
                  <w:marTop w:val="0"/>
                  <w:marBottom w:val="0"/>
                  <w:divBdr>
                    <w:top w:val="none" w:sz="0" w:space="0" w:color="auto"/>
                    <w:left w:val="none" w:sz="0" w:space="0" w:color="auto"/>
                    <w:bottom w:val="none" w:sz="0" w:space="0" w:color="auto"/>
                    <w:right w:val="none" w:sz="0" w:space="0" w:color="auto"/>
                  </w:divBdr>
                  <w:divsChild>
                    <w:div w:id="1376353456">
                      <w:marLeft w:val="0"/>
                      <w:marRight w:val="0"/>
                      <w:marTop w:val="0"/>
                      <w:marBottom w:val="0"/>
                      <w:divBdr>
                        <w:top w:val="none" w:sz="0" w:space="0" w:color="auto"/>
                        <w:left w:val="none" w:sz="0" w:space="0" w:color="auto"/>
                        <w:bottom w:val="none" w:sz="0" w:space="0" w:color="auto"/>
                        <w:right w:val="none" w:sz="0" w:space="0" w:color="auto"/>
                      </w:divBdr>
                    </w:div>
                  </w:divsChild>
                </w:div>
                <w:div w:id="1376353495">
                  <w:marLeft w:val="0"/>
                  <w:marRight w:val="0"/>
                  <w:marTop w:val="0"/>
                  <w:marBottom w:val="0"/>
                  <w:divBdr>
                    <w:top w:val="none" w:sz="0" w:space="0" w:color="auto"/>
                    <w:left w:val="none" w:sz="0" w:space="0" w:color="auto"/>
                    <w:bottom w:val="none" w:sz="0" w:space="0" w:color="auto"/>
                    <w:right w:val="none" w:sz="0" w:space="0" w:color="auto"/>
                  </w:divBdr>
                  <w:divsChild>
                    <w:div w:id="1376353502">
                      <w:marLeft w:val="0"/>
                      <w:marRight w:val="0"/>
                      <w:marTop w:val="0"/>
                      <w:marBottom w:val="0"/>
                      <w:divBdr>
                        <w:top w:val="none" w:sz="0" w:space="0" w:color="auto"/>
                        <w:left w:val="none" w:sz="0" w:space="0" w:color="auto"/>
                        <w:bottom w:val="none" w:sz="0" w:space="0" w:color="auto"/>
                        <w:right w:val="none" w:sz="0" w:space="0" w:color="auto"/>
                      </w:divBdr>
                    </w:div>
                  </w:divsChild>
                </w:div>
                <w:div w:id="1376353496">
                  <w:marLeft w:val="0"/>
                  <w:marRight w:val="0"/>
                  <w:marTop w:val="0"/>
                  <w:marBottom w:val="0"/>
                  <w:divBdr>
                    <w:top w:val="none" w:sz="0" w:space="0" w:color="auto"/>
                    <w:left w:val="none" w:sz="0" w:space="0" w:color="auto"/>
                    <w:bottom w:val="none" w:sz="0" w:space="0" w:color="auto"/>
                    <w:right w:val="none" w:sz="0" w:space="0" w:color="auto"/>
                  </w:divBdr>
                  <w:divsChild>
                    <w:div w:id="1376353544">
                      <w:marLeft w:val="0"/>
                      <w:marRight w:val="0"/>
                      <w:marTop w:val="0"/>
                      <w:marBottom w:val="0"/>
                      <w:divBdr>
                        <w:top w:val="none" w:sz="0" w:space="0" w:color="auto"/>
                        <w:left w:val="none" w:sz="0" w:space="0" w:color="auto"/>
                        <w:bottom w:val="none" w:sz="0" w:space="0" w:color="auto"/>
                        <w:right w:val="none" w:sz="0" w:space="0" w:color="auto"/>
                      </w:divBdr>
                    </w:div>
                  </w:divsChild>
                </w:div>
                <w:div w:id="1376353504">
                  <w:marLeft w:val="0"/>
                  <w:marRight w:val="0"/>
                  <w:marTop w:val="0"/>
                  <w:marBottom w:val="0"/>
                  <w:divBdr>
                    <w:top w:val="none" w:sz="0" w:space="0" w:color="auto"/>
                    <w:left w:val="none" w:sz="0" w:space="0" w:color="auto"/>
                    <w:bottom w:val="none" w:sz="0" w:space="0" w:color="auto"/>
                    <w:right w:val="none" w:sz="0" w:space="0" w:color="auto"/>
                  </w:divBdr>
                  <w:divsChild>
                    <w:div w:id="1376353509">
                      <w:marLeft w:val="0"/>
                      <w:marRight w:val="0"/>
                      <w:marTop w:val="0"/>
                      <w:marBottom w:val="0"/>
                      <w:divBdr>
                        <w:top w:val="none" w:sz="0" w:space="0" w:color="auto"/>
                        <w:left w:val="none" w:sz="0" w:space="0" w:color="auto"/>
                        <w:bottom w:val="none" w:sz="0" w:space="0" w:color="auto"/>
                        <w:right w:val="none" w:sz="0" w:space="0" w:color="auto"/>
                      </w:divBdr>
                    </w:div>
                  </w:divsChild>
                </w:div>
                <w:div w:id="1376353510">
                  <w:marLeft w:val="0"/>
                  <w:marRight w:val="0"/>
                  <w:marTop w:val="0"/>
                  <w:marBottom w:val="0"/>
                  <w:divBdr>
                    <w:top w:val="none" w:sz="0" w:space="0" w:color="auto"/>
                    <w:left w:val="none" w:sz="0" w:space="0" w:color="auto"/>
                    <w:bottom w:val="none" w:sz="0" w:space="0" w:color="auto"/>
                    <w:right w:val="none" w:sz="0" w:space="0" w:color="auto"/>
                  </w:divBdr>
                  <w:divsChild>
                    <w:div w:id="1376353448">
                      <w:marLeft w:val="0"/>
                      <w:marRight w:val="0"/>
                      <w:marTop w:val="0"/>
                      <w:marBottom w:val="0"/>
                      <w:divBdr>
                        <w:top w:val="none" w:sz="0" w:space="0" w:color="auto"/>
                        <w:left w:val="none" w:sz="0" w:space="0" w:color="auto"/>
                        <w:bottom w:val="none" w:sz="0" w:space="0" w:color="auto"/>
                        <w:right w:val="none" w:sz="0" w:space="0" w:color="auto"/>
                      </w:divBdr>
                    </w:div>
                  </w:divsChild>
                </w:div>
                <w:div w:id="1376353518">
                  <w:marLeft w:val="0"/>
                  <w:marRight w:val="0"/>
                  <w:marTop w:val="0"/>
                  <w:marBottom w:val="0"/>
                  <w:divBdr>
                    <w:top w:val="none" w:sz="0" w:space="0" w:color="auto"/>
                    <w:left w:val="none" w:sz="0" w:space="0" w:color="auto"/>
                    <w:bottom w:val="none" w:sz="0" w:space="0" w:color="auto"/>
                    <w:right w:val="none" w:sz="0" w:space="0" w:color="auto"/>
                  </w:divBdr>
                  <w:divsChild>
                    <w:div w:id="1376353445">
                      <w:marLeft w:val="0"/>
                      <w:marRight w:val="0"/>
                      <w:marTop w:val="0"/>
                      <w:marBottom w:val="0"/>
                      <w:divBdr>
                        <w:top w:val="none" w:sz="0" w:space="0" w:color="auto"/>
                        <w:left w:val="none" w:sz="0" w:space="0" w:color="auto"/>
                        <w:bottom w:val="none" w:sz="0" w:space="0" w:color="auto"/>
                        <w:right w:val="none" w:sz="0" w:space="0" w:color="auto"/>
                      </w:divBdr>
                    </w:div>
                  </w:divsChild>
                </w:div>
                <w:div w:id="1376353520">
                  <w:marLeft w:val="0"/>
                  <w:marRight w:val="0"/>
                  <w:marTop w:val="0"/>
                  <w:marBottom w:val="0"/>
                  <w:divBdr>
                    <w:top w:val="none" w:sz="0" w:space="0" w:color="auto"/>
                    <w:left w:val="none" w:sz="0" w:space="0" w:color="auto"/>
                    <w:bottom w:val="none" w:sz="0" w:space="0" w:color="auto"/>
                    <w:right w:val="none" w:sz="0" w:space="0" w:color="auto"/>
                  </w:divBdr>
                  <w:divsChild>
                    <w:div w:id="1376353485">
                      <w:marLeft w:val="0"/>
                      <w:marRight w:val="0"/>
                      <w:marTop w:val="0"/>
                      <w:marBottom w:val="0"/>
                      <w:divBdr>
                        <w:top w:val="none" w:sz="0" w:space="0" w:color="auto"/>
                        <w:left w:val="none" w:sz="0" w:space="0" w:color="auto"/>
                        <w:bottom w:val="none" w:sz="0" w:space="0" w:color="auto"/>
                        <w:right w:val="none" w:sz="0" w:space="0" w:color="auto"/>
                      </w:divBdr>
                    </w:div>
                  </w:divsChild>
                </w:div>
                <w:div w:id="1376353525">
                  <w:marLeft w:val="0"/>
                  <w:marRight w:val="0"/>
                  <w:marTop w:val="0"/>
                  <w:marBottom w:val="0"/>
                  <w:divBdr>
                    <w:top w:val="none" w:sz="0" w:space="0" w:color="auto"/>
                    <w:left w:val="none" w:sz="0" w:space="0" w:color="auto"/>
                    <w:bottom w:val="none" w:sz="0" w:space="0" w:color="auto"/>
                    <w:right w:val="none" w:sz="0" w:space="0" w:color="auto"/>
                  </w:divBdr>
                  <w:divsChild>
                    <w:div w:id="1376353481">
                      <w:marLeft w:val="0"/>
                      <w:marRight w:val="0"/>
                      <w:marTop w:val="0"/>
                      <w:marBottom w:val="0"/>
                      <w:divBdr>
                        <w:top w:val="none" w:sz="0" w:space="0" w:color="auto"/>
                        <w:left w:val="none" w:sz="0" w:space="0" w:color="auto"/>
                        <w:bottom w:val="none" w:sz="0" w:space="0" w:color="auto"/>
                        <w:right w:val="none" w:sz="0" w:space="0" w:color="auto"/>
                      </w:divBdr>
                    </w:div>
                  </w:divsChild>
                </w:div>
                <w:div w:id="1376353530">
                  <w:marLeft w:val="0"/>
                  <w:marRight w:val="0"/>
                  <w:marTop w:val="0"/>
                  <w:marBottom w:val="0"/>
                  <w:divBdr>
                    <w:top w:val="none" w:sz="0" w:space="0" w:color="auto"/>
                    <w:left w:val="none" w:sz="0" w:space="0" w:color="auto"/>
                    <w:bottom w:val="none" w:sz="0" w:space="0" w:color="auto"/>
                    <w:right w:val="none" w:sz="0" w:space="0" w:color="auto"/>
                  </w:divBdr>
                  <w:divsChild>
                    <w:div w:id="1376353474">
                      <w:marLeft w:val="0"/>
                      <w:marRight w:val="0"/>
                      <w:marTop w:val="0"/>
                      <w:marBottom w:val="0"/>
                      <w:divBdr>
                        <w:top w:val="none" w:sz="0" w:space="0" w:color="auto"/>
                        <w:left w:val="none" w:sz="0" w:space="0" w:color="auto"/>
                        <w:bottom w:val="none" w:sz="0" w:space="0" w:color="auto"/>
                        <w:right w:val="none" w:sz="0" w:space="0" w:color="auto"/>
                      </w:divBdr>
                    </w:div>
                  </w:divsChild>
                </w:div>
                <w:div w:id="1376353531">
                  <w:marLeft w:val="0"/>
                  <w:marRight w:val="0"/>
                  <w:marTop w:val="0"/>
                  <w:marBottom w:val="0"/>
                  <w:divBdr>
                    <w:top w:val="none" w:sz="0" w:space="0" w:color="auto"/>
                    <w:left w:val="none" w:sz="0" w:space="0" w:color="auto"/>
                    <w:bottom w:val="none" w:sz="0" w:space="0" w:color="auto"/>
                    <w:right w:val="none" w:sz="0" w:space="0" w:color="auto"/>
                  </w:divBdr>
                  <w:divsChild>
                    <w:div w:id="1376353522">
                      <w:marLeft w:val="0"/>
                      <w:marRight w:val="0"/>
                      <w:marTop w:val="0"/>
                      <w:marBottom w:val="0"/>
                      <w:divBdr>
                        <w:top w:val="none" w:sz="0" w:space="0" w:color="auto"/>
                        <w:left w:val="none" w:sz="0" w:space="0" w:color="auto"/>
                        <w:bottom w:val="none" w:sz="0" w:space="0" w:color="auto"/>
                        <w:right w:val="none" w:sz="0" w:space="0" w:color="auto"/>
                      </w:divBdr>
                    </w:div>
                  </w:divsChild>
                </w:div>
                <w:div w:id="1376353532">
                  <w:marLeft w:val="0"/>
                  <w:marRight w:val="0"/>
                  <w:marTop w:val="0"/>
                  <w:marBottom w:val="0"/>
                  <w:divBdr>
                    <w:top w:val="none" w:sz="0" w:space="0" w:color="auto"/>
                    <w:left w:val="none" w:sz="0" w:space="0" w:color="auto"/>
                    <w:bottom w:val="none" w:sz="0" w:space="0" w:color="auto"/>
                    <w:right w:val="none" w:sz="0" w:space="0" w:color="auto"/>
                  </w:divBdr>
                  <w:divsChild>
                    <w:div w:id="1376353492">
                      <w:marLeft w:val="0"/>
                      <w:marRight w:val="0"/>
                      <w:marTop w:val="0"/>
                      <w:marBottom w:val="0"/>
                      <w:divBdr>
                        <w:top w:val="none" w:sz="0" w:space="0" w:color="auto"/>
                        <w:left w:val="none" w:sz="0" w:space="0" w:color="auto"/>
                        <w:bottom w:val="none" w:sz="0" w:space="0" w:color="auto"/>
                        <w:right w:val="none" w:sz="0" w:space="0" w:color="auto"/>
                      </w:divBdr>
                    </w:div>
                  </w:divsChild>
                </w:div>
                <w:div w:id="1376353533">
                  <w:marLeft w:val="0"/>
                  <w:marRight w:val="0"/>
                  <w:marTop w:val="0"/>
                  <w:marBottom w:val="0"/>
                  <w:divBdr>
                    <w:top w:val="none" w:sz="0" w:space="0" w:color="auto"/>
                    <w:left w:val="none" w:sz="0" w:space="0" w:color="auto"/>
                    <w:bottom w:val="none" w:sz="0" w:space="0" w:color="auto"/>
                    <w:right w:val="none" w:sz="0" w:space="0" w:color="auto"/>
                  </w:divBdr>
                  <w:divsChild>
                    <w:div w:id="1376353513">
                      <w:marLeft w:val="0"/>
                      <w:marRight w:val="0"/>
                      <w:marTop w:val="0"/>
                      <w:marBottom w:val="0"/>
                      <w:divBdr>
                        <w:top w:val="none" w:sz="0" w:space="0" w:color="auto"/>
                        <w:left w:val="none" w:sz="0" w:space="0" w:color="auto"/>
                        <w:bottom w:val="none" w:sz="0" w:space="0" w:color="auto"/>
                        <w:right w:val="none" w:sz="0" w:space="0" w:color="auto"/>
                      </w:divBdr>
                    </w:div>
                  </w:divsChild>
                </w:div>
                <w:div w:id="1376353534">
                  <w:marLeft w:val="0"/>
                  <w:marRight w:val="0"/>
                  <w:marTop w:val="0"/>
                  <w:marBottom w:val="0"/>
                  <w:divBdr>
                    <w:top w:val="none" w:sz="0" w:space="0" w:color="auto"/>
                    <w:left w:val="none" w:sz="0" w:space="0" w:color="auto"/>
                    <w:bottom w:val="none" w:sz="0" w:space="0" w:color="auto"/>
                    <w:right w:val="none" w:sz="0" w:space="0" w:color="auto"/>
                  </w:divBdr>
                  <w:divsChild>
                    <w:div w:id="1376353478">
                      <w:marLeft w:val="0"/>
                      <w:marRight w:val="0"/>
                      <w:marTop w:val="0"/>
                      <w:marBottom w:val="0"/>
                      <w:divBdr>
                        <w:top w:val="none" w:sz="0" w:space="0" w:color="auto"/>
                        <w:left w:val="none" w:sz="0" w:space="0" w:color="auto"/>
                        <w:bottom w:val="none" w:sz="0" w:space="0" w:color="auto"/>
                        <w:right w:val="none" w:sz="0" w:space="0" w:color="auto"/>
                      </w:divBdr>
                    </w:div>
                  </w:divsChild>
                </w:div>
                <w:div w:id="1376353540">
                  <w:marLeft w:val="0"/>
                  <w:marRight w:val="0"/>
                  <w:marTop w:val="0"/>
                  <w:marBottom w:val="0"/>
                  <w:divBdr>
                    <w:top w:val="none" w:sz="0" w:space="0" w:color="auto"/>
                    <w:left w:val="none" w:sz="0" w:space="0" w:color="auto"/>
                    <w:bottom w:val="none" w:sz="0" w:space="0" w:color="auto"/>
                    <w:right w:val="none" w:sz="0" w:space="0" w:color="auto"/>
                  </w:divBdr>
                  <w:divsChild>
                    <w:div w:id="1376353452">
                      <w:marLeft w:val="0"/>
                      <w:marRight w:val="0"/>
                      <w:marTop w:val="0"/>
                      <w:marBottom w:val="0"/>
                      <w:divBdr>
                        <w:top w:val="none" w:sz="0" w:space="0" w:color="auto"/>
                        <w:left w:val="none" w:sz="0" w:space="0" w:color="auto"/>
                        <w:bottom w:val="none" w:sz="0" w:space="0" w:color="auto"/>
                        <w:right w:val="none" w:sz="0" w:space="0" w:color="auto"/>
                      </w:divBdr>
                    </w:div>
                  </w:divsChild>
                </w:div>
                <w:div w:id="1376353541">
                  <w:marLeft w:val="0"/>
                  <w:marRight w:val="0"/>
                  <w:marTop w:val="0"/>
                  <w:marBottom w:val="0"/>
                  <w:divBdr>
                    <w:top w:val="none" w:sz="0" w:space="0" w:color="auto"/>
                    <w:left w:val="none" w:sz="0" w:space="0" w:color="auto"/>
                    <w:bottom w:val="none" w:sz="0" w:space="0" w:color="auto"/>
                    <w:right w:val="none" w:sz="0" w:space="0" w:color="auto"/>
                  </w:divBdr>
                  <w:divsChild>
                    <w:div w:id="1376353475">
                      <w:marLeft w:val="0"/>
                      <w:marRight w:val="0"/>
                      <w:marTop w:val="0"/>
                      <w:marBottom w:val="0"/>
                      <w:divBdr>
                        <w:top w:val="none" w:sz="0" w:space="0" w:color="auto"/>
                        <w:left w:val="none" w:sz="0" w:space="0" w:color="auto"/>
                        <w:bottom w:val="none" w:sz="0" w:space="0" w:color="auto"/>
                        <w:right w:val="none" w:sz="0" w:space="0" w:color="auto"/>
                      </w:divBdr>
                    </w:div>
                  </w:divsChild>
                </w:div>
                <w:div w:id="1376353543">
                  <w:marLeft w:val="0"/>
                  <w:marRight w:val="0"/>
                  <w:marTop w:val="0"/>
                  <w:marBottom w:val="0"/>
                  <w:divBdr>
                    <w:top w:val="none" w:sz="0" w:space="0" w:color="auto"/>
                    <w:left w:val="none" w:sz="0" w:space="0" w:color="auto"/>
                    <w:bottom w:val="none" w:sz="0" w:space="0" w:color="auto"/>
                    <w:right w:val="none" w:sz="0" w:space="0" w:color="auto"/>
                  </w:divBdr>
                  <w:divsChild>
                    <w:div w:id="1376353437">
                      <w:marLeft w:val="0"/>
                      <w:marRight w:val="0"/>
                      <w:marTop w:val="0"/>
                      <w:marBottom w:val="0"/>
                      <w:divBdr>
                        <w:top w:val="none" w:sz="0" w:space="0" w:color="auto"/>
                        <w:left w:val="none" w:sz="0" w:space="0" w:color="auto"/>
                        <w:bottom w:val="none" w:sz="0" w:space="0" w:color="auto"/>
                        <w:right w:val="none" w:sz="0" w:space="0" w:color="auto"/>
                      </w:divBdr>
                    </w:div>
                  </w:divsChild>
                </w:div>
                <w:div w:id="1376353551">
                  <w:marLeft w:val="0"/>
                  <w:marRight w:val="0"/>
                  <w:marTop w:val="0"/>
                  <w:marBottom w:val="0"/>
                  <w:divBdr>
                    <w:top w:val="none" w:sz="0" w:space="0" w:color="auto"/>
                    <w:left w:val="none" w:sz="0" w:space="0" w:color="auto"/>
                    <w:bottom w:val="none" w:sz="0" w:space="0" w:color="auto"/>
                    <w:right w:val="none" w:sz="0" w:space="0" w:color="auto"/>
                  </w:divBdr>
                  <w:divsChild>
                    <w:div w:id="137635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353486">
      <w:marLeft w:val="0"/>
      <w:marRight w:val="0"/>
      <w:marTop w:val="0"/>
      <w:marBottom w:val="0"/>
      <w:divBdr>
        <w:top w:val="none" w:sz="0" w:space="0" w:color="auto"/>
        <w:left w:val="none" w:sz="0" w:space="0" w:color="auto"/>
        <w:bottom w:val="none" w:sz="0" w:space="0" w:color="auto"/>
        <w:right w:val="none" w:sz="0" w:space="0" w:color="auto"/>
      </w:divBdr>
      <w:divsChild>
        <w:div w:id="1376353515">
          <w:marLeft w:val="0"/>
          <w:marRight w:val="0"/>
          <w:marTop w:val="0"/>
          <w:marBottom w:val="0"/>
          <w:divBdr>
            <w:top w:val="none" w:sz="0" w:space="0" w:color="auto"/>
            <w:left w:val="none" w:sz="0" w:space="0" w:color="auto"/>
            <w:bottom w:val="none" w:sz="0" w:space="0" w:color="auto"/>
            <w:right w:val="none" w:sz="0" w:space="0" w:color="auto"/>
          </w:divBdr>
        </w:div>
        <w:div w:id="1376353542">
          <w:marLeft w:val="0"/>
          <w:marRight w:val="0"/>
          <w:marTop w:val="0"/>
          <w:marBottom w:val="0"/>
          <w:divBdr>
            <w:top w:val="none" w:sz="0" w:space="0" w:color="auto"/>
            <w:left w:val="none" w:sz="0" w:space="0" w:color="auto"/>
            <w:bottom w:val="none" w:sz="0" w:space="0" w:color="auto"/>
            <w:right w:val="none" w:sz="0" w:space="0" w:color="auto"/>
          </w:divBdr>
        </w:div>
      </w:divsChild>
    </w:div>
    <w:div w:id="1376353488">
      <w:marLeft w:val="0"/>
      <w:marRight w:val="0"/>
      <w:marTop w:val="0"/>
      <w:marBottom w:val="0"/>
      <w:divBdr>
        <w:top w:val="none" w:sz="0" w:space="0" w:color="auto"/>
        <w:left w:val="none" w:sz="0" w:space="0" w:color="auto"/>
        <w:bottom w:val="none" w:sz="0" w:space="0" w:color="auto"/>
        <w:right w:val="none" w:sz="0" w:space="0" w:color="auto"/>
      </w:divBdr>
      <w:divsChild>
        <w:div w:id="1376353447">
          <w:marLeft w:val="0"/>
          <w:marRight w:val="0"/>
          <w:marTop w:val="0"/>
          <w:marBottom w:val="0"/>
          <w:divBdr>
            <w:top w:val="none" w:sz="0" w:space="0" w:color="auto"/>
            <w:left w:val="none" w:sz="0" w:space="0" w:color="auto"/>
            <w:bottom w:val="none" w:sz="0" w:space="0" w:color="auto"/>
            <w:right w:val="none" w:sz="0" w:space="0" w:color="auto"/>
          </w:divBdr>
        </w:div>
        <w:div w:id="1376353526">
          <w:marLeft w:val="0"/>
          <w:marRight w:val="0"/>
          <w:marTop w:val="0"/>
          <w:marBottom w:val="0"/>
          <w:divBdr>
            <w:top w:val="none" w:sz="0" w:space="0" w:color="auto"/>
            <w:left w:val="none" w:sz="0" w:space="0" w:color="auto"/>
            <w:bottom w:val="none" w:sz="0" w:space="0" w:color="auto"/>
            <w:right w:val="none" w:sz="0" w:space="0" w:color="auto"/>
          </w:divBdr>
        </w:div>
      </w:divsChild>
    </w:div>
    <w:div w:id="1376353494">
      <w:marLeft w:val="0"/>
      <w:marRight w:val="0"/>
      <w:marTop w:val="0"/>
      <w:marBottom w:val="0"/>
      <w:divBdr>
        <w:top w:val="none" w:sz="0" w:space="0" w:color="auto"/>
        <w:left w:val="none" w:sz="0" w:space="0" w:color="auto"/>
        <w:bottom w:val="none" w:sz="0" w:space="0" w:color="auto"/>
        <w:right w:val="none" w:sz="0" w:space="0" w:color="auto"/>
      </w:divBdr>
      <w:divsChild>
        <w:div w:id="1376353460">
          <w:marLeft w:val="0"/>
          <w:marRight w:val="0"/>
          <w:marTop w:val="0"/>
          <w:marBottom w:val="0"/>
          <w:divBdr>
            <w:top w:val="none" w:sz="0" w:space="0" w:color="auto"/>
            <w:left w:val="none" w:sz="0" w:space="0" w:color="auto"/>
            <w:bottom w:val="none" w:sz="0" w:space="0" w:color="auto"/>
            <w:right w:val="none" w:sz="0" w:space="0" w:color="auto"/>
          </w:divBdr>
          <w:divsChild>
            <w:div w:id="1376353482">
              <w:marLeft w:val="0"/>
              <w:marRight w:val="0"/>
              <w:marTop w:val="0"/>
              <w:marBottom w:val="0"/>
              <w:divBdr>
                <w:top w:val="none" w:sz="0" w:space="0" w:color="auto"/>
                <w:left w:val="none" w:sz="0" w:space="0" w:color="auto"/>
                <w:bottom w:val="none" w:sz="0" w:space="0" w:color="auto"/>
                <w:right w:val="none" w:sz="0" w:space="0" w:color="auto"/>
              </w:divBdr>
              <w:divsChild>
                <w:div w:id="137635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353505">
      <w:marLeft w:val="0"/>
      <w:marRight w:val="0"/>
      <w:marTop w:val="0"/>
      <w:marBottom w:val="0"/>
      <w:divBdr>
        <w:top w:val="none" w:sz="0" w:space="0" w:color="auto"/>
        <w:left w:val="none" w:sz="0" w:space="0" w:color="auto"/>
        <w:bottom w:val="none" w:sz="0" w:space="0" w:color="auto"/>
        <w:right w:val="none" w:sz="0" w:space="0" w:color="auto"/>
      </w:divBdr>
      <w:divsChild>
        <w:div w:id="1376353473">
          <w:marLeft w:val="0"/>
          <w:marRight w:val="0"/>
          <w:marTop w:val="0"/>
          <w:marBottom w:val="0"/>
          <w:divBdr>
            <w:top w:val="none" w:sz="0" w:space="0" w:color="auto"/>
            <w:left w:val="none" w:sz="0" w:space="0" w:color="auto"/>
            <w:bottom w:val="none" w:sz="0" w:space="0" w:color="auto"/>
            <w:right w:val="none" w:sz="0" w:space="0" w:color="auto"/>
          </w:divBdr>
        </w:div>
        <w:div w:id="1376353503">
          <w:marLeft w:val="0"/>
          <w:marRight w:val="0"/>
          <w:marTop w:val="0"/>
          <w:marBottom w:val="0"/>
          <w:divBdr>
            <w:top w:val="none" w:sz="0" w:space="0" w:color="auto"/>
            <w:left w:val="none" w:sz="0" w:space="0" w:color="auto"/>
            <w:bottom w:val="none" w:sz="0" w:space="0" w:color="auto"/>
            <w:right w:val="none" w:sz="0" w:space="0" w:color="auto"/>
          </w:divBdr>
        </w:div>
      </w:divsChild>
    </w:div>
    <w:div w:id="1376353517">
      <w:marLeft w:val="0"/>
      <w:marRight w:val="0"/>
      <w:marTop w:val="0"/>
      <w:marBottom w:val="0"/>
      <w:divBdr>
        <w:top w:val="none" w:sz="0" w:space="0" w:color="auto"/>
        <w:left w:val="none" w:sz="0" w:space="0" w:color="auto"/>
        <w:bottom w:val="none" w:sz="0" w:space="0" w:color="auto"/>
        <w:right w:val="none" w:sz="0" w:space="0" w:color="auto"/>
      </w:divBdr>
      <w:divsChild>
        <w:div w:id="1376353480">
          <w:marLeft w:val="0"/>
          <w:marRight w:val="0"/>
          <w:marTop w:val="0"/>
          <w:marBottom w:val="0"/>
          <w:divBdr>
            <w:top w:val="none" w:sz="0" w:space="0" w:color="auto"/>
            <w:left w:val="none" w:sz="0" w:space="0" w:color="auto"/>
            <w:bottom w:val="none" w:sz="0" w:space="0" w:color="auto"/>
            <w:right w:val="none" w:sz="0" w:space="0" w:color="auto"/>
          </w:divBdr>
        </w:div>
        <w:div w:id="1376353523">
          <w:marLeft w:val="0"/>
          <w:marRight w:val="0"/>
          <w:marTop w:val="0"/>
          <w:marBottom w:val="0"/>
          <w:divBdr>
            <w:top w:val="none" w:sz="0" w:space="0" w:color="auto"/>
            <w:left w:val="none" w:sz="0" w:space="0" w:color="auto"/>
            <w:bottom w:val="none" w:sz="0" w:space="0" w:color="auto"/>
            <w:right w:val="none" w:sz="0" w:space="0" w:color="auto"/>
          </w:divBdr>
        </w:div>
      </w:divsChild>
    </w:div>
    <w:div w:id="1376353535">
      <w:marLeft w:val="0"/>
      <w:marRight w:val="0"/>
      <w:marTop w:val="0"/>
      <w:marBottom w:val="0"/>
      <w:divBdr>
        <w:top w:val="none" w:sz="0" w:space="0" w:color="auto"/>
        <w:left w:val="none" w:sz="0" w:space="0" w:color="auto"/>
        <w:bottom w:val="none" w:sz="0" w:space="0" w:color="auto"/>
        <w:right w:val="none" w:sz="0" w:space="0" w:color="auto"/>
      </w:divBdr>
      <w:divsChild>
        <w:div w:id="1376353539">
          <w:marLeft w:val="0"/>
          <w:marRight w:val="0"/>
          <w:marTop w:val="0"/>
          <w:marBottom w:val="0"/>
          <w:divBdr>
            <w:top w:val="none" w:sz="0" w:space="0" w:color="auto"/>
            <w:left w:val="none" w:sz="0" w:space="0" w:color="auto"/>
            <w:bottom w:val="none" w:sz="0" w:space="0" w:color="auto"/>
            <w:right w:val="none" w:sz="0" w:space="0" w:color="auto"/>
          </w:divBdr>
        </w:div>
      </w:divsChild>
    </w:div>
    <w:div w:id="1376353538">
      <w:marLeft w:val="0"/>
      <w:marRight w:val="0"/>
      <w:marTop w:val="0"/>
      <w:marBottom w:val="0"/>
      <w:divBdr>
        <w:top w:val="none" w:sz="0" w:space="0" w:color="auto"/>
        <w:left w:val="none" w:sz="0" w:space="0" w:color="auto"/>
        <w:bottom w:val="none" w:sz="0" w:space="0" w:color="auto"/>
        <w:right w:val="none" w:sz="0" w:space="0" w:color="auto"/>
      </w:divBdr>
      <w:divsChild>
        <w:div w:id="1376353465">
          <w:marLeft w:val="0"/>
          <w:marRight w:val="0"/>
          <w:marTop w:val="0"/>
          <w:marBottom w:val="0"/>
          <w:divBdr>
            <w:top w:val="none" w:sz="0" w:space="0" w:color="auto"/>
            <w:left w:val="none" w:sz="0" w:space="0" w:color="auto"/>
            <w:bottom w:val="none" w:sz="0" w:space="0" w:color="auto"/>
            <w:right w:val="none" w:sz="0" w:space="0" w:color="auto"/>
          </w:divBdr>
          <w:divsChild>
            <w:div w:id="1376353536">
              <w:marLeft w:val="0"/>
              <w:marRight w:val="0"/>
              <w:marTop w:val="0"/>
              <w:marBottom w:val="0"/>
              <w:divBdr>
                <w:top w:val="none" w:sz="0" w:space="0" w:color="auto"/>
                <w:left w:val="none" w:sz="0" w:space="0" w:color="auto"/>
                <w:bottom w:val="none" w:sz="0" w:space="0" w:color="auto"/>
                <w:right w:val="none" w:sz="0" w:space="0" w:color="auto"/>
              </w:divBdr>
              <w:divsChild>
                <w:div w:id="137635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353545">
      <w:marLeft w:val="0"/>
      <w:marRight w:val="0"/>
      <w:marTop w:val="0"/>
      <w:marBottom w:val="0"/>
      <w:divBdr>
        <w:top w:val="none" w:sz="0" w:space="0" w:color="auto"/>
        <w:left w:val="none" w:sz="0" w:space="0" w:color="auto"/>
        <w:bottom w:val="none" w:sz="0" w:space="0" w:color="auto"/>
        <w:right w:val="none" w:sz="0" w:space="0" w:color="auto"/>
      </w:divBdr>
      <w:divsChild>
        <w:div w:id="1376353436">
          <w:marLeft w:val="0"/>
          <w:marRight w:val="0"/>
          <w:marTop w:val="0"/>
          <w:marBottom w:val="0"/>
          <w:divBdr>
            <w:top w:val="none" w:sz="0" w:space="0" w:color="auto"/>
            <w:left w:val="none" w:sz="0" w:space="0" w:color="auto"/>
            <w:bottom w:val="none" w:sz="0" w:space="0" w:color="auto"/>
            <w:right w:val="none" w:sz="0" w:space="0" w:color="auto"/>
          </w:divBdr>
        </w:div>
        <w:div w:id="1376353449">
          <w:marLeft w:val="0"/>
          <w:marRight w:val="0"/>
          <w:marTop w:val="0"/>
          <w:marBottom w:val="0"/>
          <w:divBdr>
            <w:top w:val="none" w:sz="0" w:space="0" w:color="auto"/>
            <w:left w:val="none" w:sz="0" w:space="0" w:color="auto"/>
            <w:bottom w:val="none" w:sz="0" w:space="0" w:color="auto"/>
            <w:right w:val="none" w:sz="0" w:space="0" w:color="auto"/>
          </w:divBdr>
        </w:div>
        <w:div w:id="1376353450">
          <w:marLeft w:val="0"/>
          <w:marRight w:val="0"/>
          <w:marTop w:val="0"/>
          <w:marBottom w:val="0"/>
          <w:divBdr>
            <w:top w:val="none" w:sz="0" w:space="0" w:color="auto"/>
            <w:left w:val="none" w:sz="0" w:space="0" w:color="auto"/>
            <w:bottom w:val="none" w:sz="0" w:space="0" w:color="auto"/>
            <w:right w:val="none" w:sz="0" w:space="0" w:color="auto"/>
          </w:divBdr>
        </w:div>
        <w:div w:id="1376353508">
          <w:marLeft w:val="0"/>
          <w:marRight w:val="0"/>
          <w:marTop w:val="0"/>
          <w:marBottom w:val="0"/>
          <w:divBdr>
            <w:top w:val="none" w:sz="0" w:space="0" w:color="auto"/>
            <w:left w:val="none" w:sz="0" w:space="0" w:color="auto"/>
            <w:bottom w:val="none" w:sz="0" w:space="0" w:color="auto"/>
            <w:right w:val="none" w:sz="0" w:space="0" w:color="auto"/>
          </w:divBdr>
        </w:div>
        <w:div w:id="1376353514">
          <w:marLeft w:val="0"/>
          <w:marRight w:val="0"/>
          <w:marTop w:val="0"/>
          <w:marBottom w:val="0"/>
          <w:divBdr>
            <w:top w:val="none" w:sz="0" w:space="0" w:color="auto"/>
            <w:left w:val="none" w:sz="0" w:space="0" w:color="auto"/>
            <w:bottom w:val="none" w:sz="0" w:space="0" w:color="auto"/>
            <w:right w:val="none" w:sz="0" w:space="0" w:color="auto"/>
          </w:divBdr>
        </w:div>
        <w:div w:id="1376353524">
          <w:marLeft w:val="0"/>
          <w:marRight w:val="0"/>
          <w:marTop w:val="0"/>
          <w:marBottom w:val="0"/>
          <w:divBdr>
            <w:top w:val="none" w:sz="0" w:space="0" w:color="auto"/>
            <w:left w:val="none" w:sz="0" w:space="0" w:color="auto"/>
            <w:bottom w:val="none" w:sz="0" w:space="0" w:color="auto"/>
            <w:right w:val="none" w:sz="0" w:space="0" w:color="auto"/>
          </w:divBdr>
        </w:div>
        <w:div w:id="1376353527">
          <w:marLeft w:val="0"/>
          <w:marRight w:val="0"/>
          <w:marTop w:val="0"/>
          <w:marBottom w:val="0"/>
          <w:divBdr>
            <w:top w:val="none" w:sz="0" w:space="0" w:color="auto"/>
            <w:left w:val="none" w:sz="0" w:space="0" w:color="auto"/>
            <w:bottom w:val="none" w:sz="0" w:space="0" w:color="auto"/>
            <w:right w:val="none" w:sz="0" w:space="0" w:color="auto"/>
          </w:divBdr>
        </w:div>
        <w:div w:id="1376353528">
          <w:marLeft w:val="0"/>
          <w:marRight w:val="0"/>
          <w:marTop w:val="0"/>
          <w:marBottom w:val="0"/>
          <w:divBdr>
            <w:top w:val="none" w:sz="0" w:space="0" w:color="auto"/>
            <w:left w:val="none" w:sz="0" w:space="0" w:color="auto"/>
            <w:bottom w:val="none" w:sz="0" w:space="0" w:color="auto"/>
            <w:right w:val="none" w:sz="0" w:space="0" w:color="auto"/>
          </w:divBdr>
        </w:div>
        <w:div w:id="1376353546">
          <w:marLeft w:val="0"/>
          <w:marRight w:val="0"/>
          <w:marTop w:val="0"/>
          <w:marBottom w:val="0"/>
          <w:divBdr>
            <w:top w:val="none" w:sz="0" w:space="0" w:color="auto"/>
            <w:left w:val="none" w:sz="0" w:space="0" w:color="auto"/>
            <w:bottom w:val="none" w:sz="0" w:space="0" w:color="auto"/>
            <w:right w:val="none" w:sz="0" w:space="0" w:color="auto"/>
          </w:divBdr>
        </w:div>
        <w:div w:id="1376353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F7B92-D430-45B6-A325-C247AB87F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6683</Words>
  <Characters>38097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Climate change signals in global terrestrial water storage at daily timescales</vt:lpstr>
    </vt:vector>
  </TitlesOfParts>
  <Company>University of Saskatchewan</Company>
  <LinksUpToDate>false</LinksUpToDate>
  <CharactersWithSpaces>44691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Climate change signals in global terrestrial water storage at daily timescales</dc:title>
  <dc:subject/>
  <dc:creator>Xu, Li</dc:creator>
  <cp:keywords/>
  <dc:description/>
  <cp:lastModifiedBy>Nilesh Nawale</cp:lastModifiedBy>
  <cp:revision>2</cp:revision>
  <dcterms:created xsi:type="dcterms:W3CDTF">2023-06-30T07:47:00Z</dcterms:created>
  <dcterms:modified xsi:type="dcterms:W3CDTF">2023-06-30T07:47:00Z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1cf1bb5f-077f-3cd5-b2c6-18f2af87950a</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