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00383"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Supplementary Table 1. A substantial proportion of seed-noise pairs from four ortholog databases with high recall rates. The seed-noise proportion decreases when intersections of these databases are considered.</w:t>
      </w:r>
    </w:p>
    <w:p w14:paraId="682362FF" w14:textId="77777777" w:rsidR="00D55547" w:rsidRPr="00550D57" w:rsidRDefault="00D55547" w:rsidP="00D55547">
      <w:pPr>
        <w:spacing w:before="240" w:after="240" w:line="360" w:lineRule="auto"/>
        <w:rPr>
          <w:rFonts w:ascii="Arial" w:hAnsi="Arial" w:cs="Arial"/>
          <w:color w:val="000000" w:themeColor="text1"/>
        </w:rPr>
      </w:pPr>
    </w:p>
    <w:p w14:paraId="3099C97F"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 xml:space="preserve">Supplementary Table 2. ARI and AMI changes in response to OG size. </w:t>
      </w:r>
    </w:p>
    <w:p w14:paraId="16D3E674"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 xml:space="preserve">This table presents the numeric ARI and AMI values depicted in Figure 3, corresponding to protein sets sorted according to the size of their OGs. </w:t>
      </w:r>
    </w:p>
    <w:p w14:paraId="5A3CB765" w14:textId="77777777" w:rsidR="00D55547" w:rsidRPr="00550D57" w:rsidRDefault="00D55547" w:rsidP="00D55547">
      <w:pPr>
        <w:spacing w:before="240" w:after="240" w:line="360" w:lineRule="auto"/>
        <w:rPr>
          <w:rFonts w:ascii="Arial" w:hAnsi="Arial" w:cs="Arial"/>
          <w:color w:val="000000" w:themeColor="text1"/>
        </w:rPr>
      </w:pPr>
    </w:p>
    <w:p w14:paraId="665493ED"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Supplementary Table 3. ARI and AMI changes in response to protein DC.</w:t>
      </w:r>
    </w:p>
    <w:p w14:paraId="55BBDD10"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 xml:space="preserve">This table presents the numeric ARI and AMI values depicted in Figure 4, corresponding to protein sets sorted according to protein DC. </w:t>
      </w:r>
    </w:p>
    <w:p w14:paraId="231C9338" w14:textId="77777777" w:rsidR="00D55547" w:rsidRPr="00550D57" w:rsidRDefault="00D55547" w:rsidP="00D55547">
      <w:pPr>
        <w:spacing w:before="240" w:after="240" w:line="360" w:lineRule="auto"/>
        <w:rPr>
          <w:rFonts w:ascii="Arial" w:hAnsi="Arial" w:cs="Arial"/>
          <w:color w:val="000000" w:themeColor="text1"/>
        </w:rPr>
      </w:pPr>
    </w:p>
    <w:p w14:paraId="1A488E1C"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 xml:space="preserve">Supplementary Figure 1. Ten examples illustrating TreeFam-A seed-noise pairs and noises exhibiting significant E-values (&lt;10^-6) </w:t>
      </w:r>
    </w:p>
    <w:p w14:paraId="6C807593"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Each panel title concatenates the NCBI taxonomy ID and the protein UniProt AC number with an underscore. The pink spot within the noise cloud indicates an ortholog pair formation with the seed, as designated by TreeFam-A. Green spots within the noise cloud represent instances with substantial seed-noise E-values of less than 10^-6.</w:t>
      </w:r>
    </w:p>
    <w:p w14:paraId="172B8B74" w14:textId="77777777" w:rsidR="00D55547" w:rsidRPr="00550D57" w:rsidRDefault="00D55547" w:rsidP="00D55547">
      <w:pPr>
        <w:spacing w:before="240" w:after="240" w:line="360" w:lineRule="auto"/>
        <w:rPr>
          <w:rFonts w:ascii="Arial" w:hAnsi="Arial" w:cs="Arial"/>
          <w:color w:val="000000" w:themeColor="text1"/>
        </w:rPr>
      </w:pPr>
    </w:p>
    <w:p w14:paraId="7C91AF23"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Supplementary Figure 2. Quantitative overview of SJI and the Initial network</w:t>
      </w:r>
    </w:p>
    <w:p w14:paraId="7BF8D549"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 xml:space="preserve">This figure provides a detailed numerical examination of the Seed Jaccard Index (SJI) and the structure of the initial network. Panels A and B display the boxplots of SJI for prokaryotic and eukaryotic seeds, respectively. Panels C and D illustrate the degree distribution across the entire network. Panels E through H demonstrate correlations </w:t>
      </w:r>
      <w:r w:rsidRPr="00550D57">
        <w:rPr>
          <w:rFonts w:ascii="Arial" w:hAnsi="Arial" w:cs="Arial"/>
          <w:color w:val="000000" w:themeColor="text1"/>
        </w:rPr>
        <w:lastRenderedPageBreak/>
        <w:t>between four representative centrality measures - degree, closeness, betweenness, and eigenvector - within four significant representative sub-networks. Due to the extensive size of the initial network, these correlations are most meaningful when examined within local communities or neighboring structures. Yellow histograms in panels E-H reveal the distributions of the four centralities within the sub-networks, while grey scatter plots overlaid with blue density contours present their interrelations.</w:t>
      </w:r>
    </w:p>
    <w:p w14:paraId="141B503A" w14:textId="77777777" w:rsidR="00D55547" w:rsidRPr="00550D57" w:rsidRDefault="00D55547" w:rsidP="00D55547">
      <w:pPr>
        <w:spacing w:before="240" w:after="240" w:line="360" w:lineRule="auto"/>
        <w:rPr>
          <w:rFonts w:ascii="Arial" w:hAnsi="Arial" w:cs="Arial"/>
          <w:color w:val="000000" w:themeColor="text1"/>
        </w:rPr>
      </w:pPr>
    </w:p>
    <w:p w14:paraId="76E17A8A"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 xml:space="preserve">Supplementary Figure 3. Bootstrap analysis of ARI and DC. </w:t>
      </w:r>
    </w:p>
    <w:p w14:paraId="4326E62F"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Each bootstrap iteration involved the removal of 10% of proteins, with a total of 1000 iterations performed. The left panel depicts the correlation between bootstrap iterations and the original OGs. The right panel displays the distribution of protein degree centrality correlations derived from these bootstrap iterations.</w:t>
      </w:r>
    </w:p>
    <w:p w14:paraId="46598233" w14:textId="77777777" w:rsidR="00D55547" w:rsidRPr="00550D57" w:rsidRDefault="00D55547" w:rsidP="00D55547">
      <w:pPr>
        <w:spacing w:before="240" w:after="240" w:line="360" w:lineRule="auto"/>
        <w:rPr>
          <w:rFonts w:ascii="Arial" w:hAnsi="Arial" w:cs="Arial"/>
          <w:color w:val="000000" w:themeColor="text1"/>
        </w:rPr>
      </w:pPr>
    </w:p>
    <w:p w14:paraId="72E4B24B"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 xml:space="preserve">Supplementary Figure 4. Screenshot of the QfO benchmarking results </w:t>
      </w:r>
    </w:p>
    <w:p w14:paraId="4A98EA4C"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 xml:space="preserve">This analysis utilized the QfO 2020 dataset, with our dataset indicated as "protdc" within the results. Due to limitations related to species scope, our benchmarking focused exclusively on eukaryotic ortholog predictions. </w:t>
      </w:r>
    </w:p>
    <w:p w14:paraId="6761339C" w14:textId="77777777" w:rsidR="00D55547" w:rsidRPr="00550D57" w:rsidRDefault="00D55547" w:rsidP="00D55547">
      <w:pPr>
        <w:spacing w:before="240" w:after="240" w:line="360" w:lineRule="auto"/>
        <w:rPr>
          <w:rFonts w:ascii="Arial" w:hAnsi="Arial" w:cs="Arial"/>
          <w:color w:val="000000" w:themeColor="text1"/>
        </w:rPr>
      </w:pPr>
    </w:p>
    <w:p w14:paraId="1705C4E3"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 xml:space="preserve">Supplementary Figure 5. Influence of Single-Species Inparalog-Only Ortholog Groups (SSIOOGs) on ortholog consistency </w:t>
      </w:r>
    </w:p>
    <w:p w14:paraId="535EEA71"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This figure presents an ortholog concordance analysis influenced by SSIOOGs, with specific emphasis on OrthoFinder's dataset. SSIOOGs refer to ortholog groups (OGs) composed solely of inparalogs (more than one protein) from a single species.</w:t>
      </w:r>
    </w:p>
    <w:p w14:paraId="7B54D0CE"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 xml:space="preserve">Panels A and B display pairwise ortholog database comparisons, analogous to those in Figure 4 of the main text, computed using ARI and AMI, respectively. Notably, we have </w:t>
      </w:r>
      <w:r w:rsidRPr="00550D57">
        <w:rPr>
          <w:rFonts w:ascii="Arial" w:hAnsi="Arial" w:cs="Arial"/>
          <w:color w:val="000000" w:themeColor="text1"/>
        </w:rPr>
        <w:lastRenderedPageBreak/>
        <w:t>supplemented a grey curve that illustrates the comparison between OrthoFinder and Broccoli when SSIOOG proteins are excluded. Panel C offers a summary of SSIOOG data. Since ortholog groups from OrthoFinder, OrthoDB, eggNOG, and TreeFam were extracted from broader datasets, including species that go beyond the 48 eukaryotic proteomes referenced by QfO, their SSIOOGs exhibit substantial differences, potentially reflecting variability introduced by different species inputs when applying various algorithms. On the other hand, Broccoli and SonicParanoid ortholog groups, computed using the 48 QfO reference proteomes, do not contain SSIOOGs. Therefore, it is not appropriate to directly compare OrthoFinder and Broccoli when SSIOOGs are included.</w:t>
      </w:r>
    </w:p>
    <w:p w14:paraId="7FDB7448"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When evaluating our proteins' concordance with other databases, using PANTHER's LDO and OMA Groups as reference baselines, we observed decreased alignment between OrthoFinder and other ortholog databases, particularly between OrthoFinder and Broccoli (</w:t>
      </w:r>
      <w:r>
        <w:rPr>
          <w:rFonts w:ascii="Arial" w:hAnsi="Arial" w:cs="Arial"/>
          <w:color w:val="000000" w:themeColor="text1"/>
        </w:rPr>
        <w:t xml:space="preserve">the </w:t>
      </w:r>
      <w:r w:rsidRPr="00550D57">
        <w:rPr>
          <w:rFonts w:ascii="Arial" w:hAnsi="Arial" w:cs="Arial"/>
          <w:color w:val="000000" w:themeColor="text1"/>
        </w:rPr>
        <w:t>red curve in Panel A). This discrepancy is attributed to the presence of SSIOOGs in OrthoFinder's dataset. Specifically, among the 557K proteins shared between our dataset and OrthoFinder, 28K proteins belong to OrthoFinder's SSIOOGs. After these 28K</w:t>
      </w:r>
      <w:r>
        <w:rPr>
          <w:rFonts w:ascii="Arial" w:hAnsi="Arial" w:cs="Arial"/>
          <w:color w:val="000000" w:themeColor="text1"/>
        </w:rPr>
        <w:t xml:space="preserve"> </w:t>
      </w:r>
      <w:r w:rsidRPr="00550D57">
        <w:rPr>
          <w:rFonts w:ascii="Arial" w:hAnsi="Arial" w:cs="Arial"/>
          <w:color w:val="000000" w:themeColor="text1"/>
        </w:rPr>
        <w:t>(5%) proteins are removed, the ARI improves from 0.450 to 0.610 (the 3rd point of the grey curve). AMI appears to be less sensitive to SSIOOG (Panel B).</w:t>
      </w:r>
    </w:p>
    <w:p w14:paraId="2108DB54"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It's important to clarify that our intention is not to suggest the inclusion of SSIOOGs in OrthoFinder is problematic. Rather, we highlight the need for careful consideration of SSIOOGs during ortholog comparisons, as they can significantly influence concordance measures. Our own OGs also contain SSIOOGs (Panel C), and the ARI between our 656K proteins and OrthoFinder's 777K proteins is 0.500.</w:t>
      </w:r>
    </w:p>
    <w:p w14:paraId="6BD2F204" w14:textId="77777777" w:rsidR="00D55547" w:rsidRPr="00550D57" w:rsidRDefault="00D55547" w:rsidP="00D55547">
      <w:pPr>
        <w:spacing w:before="240" w:after="240" w:line="360" w:lineRule="auto"/>
        <w:rPr>
          <w:rFonts w:ascii="Arial" w:hAnsi="Arial" w:cs="Arial"/>
          <w:color w:val="000000" w:themeColor="text1"/>
        </w:rPr>
      </w:pPr>
    </w:p>
    <w:p w14:paraId="169B6EC1" w14:textId="77777777" w:rsidR="00D55547" w:rsidRPr="00550D57" w:rsidRDefault="00D55547" w:rsidP="00D55547">
      <w:pPr>
        <w:spacing w:before="240" w:after="240" w:line="360" w:lineRule="auto"/>
        <w:rPr>
          <w:rFonts w:ascii="Arial" w:hAnsi="Arial" w:cs="Arial"/>
          <w:color w:val="000000" w:themeColor="text1"/>
        </w:rPr>
      </w:pPr>
      <w:r w:rsidRPr="00550D57">
        <w:rPr>
          <w:rFonts w:ascii="Arial" w:hAnsi="Arial" w:cs="Arial"/>
          <w:color w:val="000000" w:themeColor="text1"/>
        </w:rPr>
        <w:t xml:space="preserve">Supplementary Figure 6. Intersections of various ortholog databases versus protein DC </w:t>
      </w:r>
    </w:p>
    <w:p w14:paraId="63F499C8" w14:textId="77777777" w:rsidR="00D55547" w:rsidRPr="00550D57" w:rsidRDefault="00D55547" w:rsidP="00D55547">
      <w:pPr>
        <w:spacing w:before="240" w:after="240" w:line="360" w:lineRule="auto"/>
        <w:jc w:val="both"/>
        <w:rPr>
          <w:rFonts w:ascii="Arial" w:hAnsi="Arial" w:cs="Arial"/>
          <w:color w:val="000000" w:themeColor="text1"/>
        </w:rPr>
      </w:pPr>
      <w:r w:rsidRPr="00550D57">
        <w:rPr>
          <w:rFonts w:ascii="Arial" w:hAnsi="Arial" w:cs="Arial"/>
          <w:color w:val="000000" w:themeColor="text1"/>
        </w:rPr>
        <w:t xml:space="preserve">Eukaryotic proteins from the QfO v2021 dataset were extracted from six representative databases: TreeFam, eggNOG, Broccoli, OrthoFinder, OrthoDB, and SonicParanoid. The x-axis signifies the number of databases with consistent ortholog assignments. For instance, the rightmost bin includes only 9K proteins with a unanimous orthology </w:t>
      </w:r>
      <w:r w:rsidRPr="00550D57">
        <w:rPr>
          <w:rFonts w:ascii="Arial" w:hAnsi="Arial" w:cs="Arial"/>
          <w:color w:val="000000" w:themeColor="text1"/>
        </w:rPr>
        <w:lastRenderedPageBreak/>
        <w:t>assignment across all databases. In contrast, the leftmost bin contains 113K proteins with no orthology consensus among the six databases. Meanwhile, 234K, 204K, 109K, and 38K proteins have 2, 3, 4, and 5 databases, respectively endorsing their OG assignment. The y-axis shows the degree centrality distribution for proteins in the corresponding bin. While intersections among these six databases underscore inconsistency, degree centrality exhibits a weak positive correlation with their concordance trend.</w:t>
      </w:r>
    </w:p>
    <w:p w14:paraId="489C4785"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47"/>
    <w:rsid w:val="00755780"/>
    <w:rsid w:val="00D55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5009"/>
  <w15:chartTrackingRefBased/>
  <w15:docId w15:val="{A8C08D70-4BFF-4E46-B793-55AD05D5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5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891</Words>
  <Characters>5079</Characters>
  <Application>Microsoft Office Word</Application>
  <DocSecurity>0</DocSecurity>
  <Lines>42</Lines>
  <Paragraphs>11</Paragraphs>
  <ScaleCrop>false</ScaleCrop>
  <Company>Springer Nature</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2023-06-22T04:14:00Z</dcterms:created>
  <dcterms:modified xsi:type="dcterms:W3CDTF">2023-06-22T04:15:00Z</dcterms:modified>
</cp:coreProperties>
</file>