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1237FB" w14:textId="4B74C08F" w:rsidR="00CD4997" w:rsidRPr="00B132A1" w:rsidRDefault="00CD4997" w:rsidP="00CD4997">
      <w:pPr>
        <w:spacing w:line="480" w:lineRule="auto"/>
        <w:rPr>
          <w:rFonts w:asciiTheme="majorHAnsi" w:hAnsiTheme="majorHAnsi" w:cs="Arial"/>
          <w:b/>
        </w:rPr>
      </w:pPr>
      <w:r w:rsidRPr="00B132A1">
        <w:rPr>
          <w:rFonts w:asciiTheme="majorHAnsi" w:hAnsiTheme="majorHAnsi" w:cs="Arial"/>
          <w:b/>
        </w:rPr>
        <w:t>ABSTRACT</w:t>
      </w:r>
    </w:p>
    <w:p w14:paraId="34FA7C5D" w14:textId="35B255A3" w:rsidR="00CD4997" w:rsidRDefault="009A7D98" w:rsidP="00CD4997">
      <w:pPr>
        <w:shd w:val="clear" w:color="auto" w:fill="FFFFFF"/>
        <w:spacing w:afterAutospacing="1" w:line="480" w:lineRule="auto"/>
        <w:jc w:val="both"/>
        <w:rPr>
          <w:rFonts w:asciiTheme="majorHAnsi" w:hAnsiTheme="majorHAnsi"/>
        </w:rPr>
      </w:pPr>
      <w:proofErr w:type="gramStart"/>
      <w:r>
        <w:rPr>
          <w:rFonts w:asciiTheme="majorHAnsi" w:eastAsia="Times New Roman" w:hAnsiTheme="majorHAnsi" w:cstheme="minorHAnsi"/>
          <w:b/>
        </w:rPr>
        <w:t>Background</w:t>
      </w:r>
      <w:r w:rsidR="00CD4997">
        <w:rPr>
          <w:rFonts w:asciiTheme="majorHAnsi" w:eastAsia="Times New Roman" w:hAnsiTheme="majorHAnsi" w:cstheme="minorHAnsi"/>
          <w:b/>
        </w:rPr>
        <w:t xml:space="preserve"> </w:t>
      </w:r>
      <w:r w:rsidR="00CD4997" w:rsidRPr="005212E2">
        <w:rPr>
          <w:rFonts w:asciiTheme="majorHAnsi" w:hAnsiTheme="majorHAnsi"/>
        </w:rPr>
        <w:t xml:space="preserve"> </w:t>
      </w:r>
      <w:r w:rsidR="00CD4997" w:rsidRPr="00B132A1">
        <w:rPr>
          <w:rFonts w:asciiTheme="majorHAnsi" w:hAnsiTheme="majorHAnsi"/>
        </w:rPr>
        <w:t>A</w:t>
      </w:r>
      <w:proofErr w:type="gramEnd"/>
      <w:r w:rsidR="00CD4997" w:rsidRPr="00B132A1">
        <w:rPr>
          <w:rFonts w:asciiTheme="majorHAnsi" w:hAnsiTheme="majorHAnsi"/>
        </w:rPr>
        <w:t xml:space="preserve"> better understanding of the </w:t>
      </w:r>
      <w:r w:rsidR="00CD4997">
        <w:rPr>
          <w:rFonts w:asciiTheme="majorHAnsi" w:hAnsiTheme="majorHAnsi"/>
        </w:rPr>
        <w:t xml:space="preserve">context specific </w:t>
      </w:r>
      <w:r w:rsidR="00CD4997" w:rsidRPr="00B132A1">
        <w:rPr>
          <w:rFonts w:asciiTheme="majorHAnsi" w:hAnsiTheme="majorHAnsi"/>
        </w:rPr>
        <w:t xml:space="preserve">epidemiology, outcomes and risk factors for death of critically ill </w:t>
      </w:r>
      <w:proofErr w:type="spellStart"/>
      <w:r w:rsidR="00CD4997" w:rsidRPr="00B132A1">
        <w:rPr>
          <w:rFonts w:ascii="Calibri" w:eastAsia="Arial Unicode MS" w:hAnsi="Calibri"/>
        </w:rPr>
        <w:t>parturients</w:t>
      </w:r>
      <w:proofErr w:type="spellEnd"/>
      <w:r w:rsidR="00CD4997" w:rsidRPr="00B132A1">
        <w:rPr>
          <w:rFonts w:ascii="Calibri" w:eastAsia="Arial Unicode MS" w:hAnsi="Calibri"/>
        </w:rPr>
        <w:t xml:space="preserve"> </w:t>
      </w:r>
      <w:r w:rsidR="00CD4997" w:rsidRPr="00B132A1">
        <w:rPr>
          <w:rFonts w:asciiTheme="majorHAnsi" w:hAnsiTheme="majorHAnsi"/>
        </w:rPr>
        <w:t>in resource-poor hospitals is needed in order to tackle the still alarming in-hospital maternal mortality in African countries.</w:t>
      </w:r>
    </w:p>
    <w:p w14:paraId="0881D015" w14:textId="1D957211" w:rsidR="00CD4997" w:rsidRPr="009D4869" w:rsidRDefault="00CD4997" w:rsidP="00CD4997">
      <w:pPr>
        <w:shd w:val="clear" w:color="auto" w:fill="FFFFFF"/>
        <w:spacing w:afterAutospacing="1" w:line="480" w:lineRule="auto"/>
        <w:jc w:val="both"/>
        <w:rPr>
          <w:rFonts w:asciiTheme="majorHAnsi" w:eastAsia="Times New Roman" w:hAnsiTheme="majorHAnsi" w:cstheme="minorHAnsi"/>
          <w:b/>
        </w:rPr>
      </w:pPr>
      <w:r>
        <w:rPr>
          <w:b/>
          <w:bCs/>
        </w:rPr>
        <w:t xml:space="preserve">Methods. </w:t>
      </w:r>
      <w:r w:rsidRPr="00B132A1">
        <w:rPr>
          <w:rFonts w:asciiTheme="majorHAnsi" w:hAnsiTheme="majorHAnsi"/>
        </w:rPr>
        <w:t xml:space="preserve">One–year retrospective </w:t>
      </w:r>
      <w:r>
        <w:rPr>
          <w:rFonts w:asciiTheme="majorHAnsi" w:hAnsiTheme="majorHAnsi"/>
        </w:rPr>
        <w:t>cohort</w:t>
      </w:r>
      <w:r w:rsidRPr="00B132A1">
        <w:rPr>
          <w:rFonts w:asciiTheme="majorHAnsi" w:hAnsiTheme="majorHAnsi"/>
        </w:rPr>
        <w:t xml:space="preserve"> in </w:t>
      </w:r>
      <w:r>
        <w:rPr>
          <w:rFonts w:asciiTheme="majorHAnsi" w:hAnsiTheme="majorHAnsi"/>
        </w:rPr>
        <w:t xml:space="preserve">a </w:t>
      </w:r>
      <w:r>
        <w:rPr>
          <w:rFonts w:asciiTheme="majorHAnsi" w:eastAsia="Times New Roman" w:hAnsiTheme="majorHAnsi" w:cstheme="minorHAnsi"/>
        </w:rPr>
        <w:t>referral</w:t>
      </w:r>
      <w:r w:rsidRPr="00B132A1">
        <w:rPr>
          <w:rFonts w:asciiTheme="majorHAnsi" w:eastAsia="Times New Roman" w:hAnsiTheme="majorHAnsi" w:cstheme="minorHAnsi"/>
        </w:rPr>
        <w:t xml:space="preserve"> maternity hospital in </w:t>
      </w:r>
      <w:r w:rsidRPr="00B132A1">
        <w:rPr>
          <w:rFonts w:asciiTheme="majorHAnsi" w:hAnsiTheme="majorHAnsi"/>
        </w:rPr>
        <w:t xml:space="preserve">Freetown, Sierra Leone. Primary data source was the patient chart. The primary endpoint was the association between </w:t>
      </w:r>
      <w:r>
        <w:rPr>
          <w:rFonts w:asciiTheme="majorHAnsi" w:hAnsiTheme="majorHAnsi"/>
        </w:rPr>
        <w:t xml:space="preserve">risk </w:t>
      </w:r>
      <w:r w:rsidRPr="00B132A1">
        <w:rPr>
          <w:rFonts w:asciiTheme="majorHAnsi" w:hAnsiTheme="majorHAnsi"/>
        </w:rPr>
        <w:t xml:space="preserve">factors and </w:t>
      </w:r>
      <w:r>
        <w:rPr>
          <w:rFonts w:asciiTheme="majorHAnsi" w:hAnsiTheme="majorHAnsi"/>
        </w:rPr>
        <w:t xml:space="preserve">HDU </w:t>
      </w:r>
      <w:r w:rsidRPr="00B132A1">
        <w:rPr>
          <w:rFonts w:asciiTheme="majorHAnsi" w:hAnsiTheme="majorHAnsi"/>
        </w:rPr>
        <w:t>mortality</w:t>
      </w:r>
      <w:r>
        <w:rPr>
          <w:rFonts w:asciiTheme="majorHAnsi" w:hAnsiTheme="majorHAnsi"/>
        </w:rPr>
        <w:t xml:space="preserve">. </w:t>
      </w:r>
      <w:r w:rsidRPr="00B132A1">
        <w:rPr>
          <w:rFonts w:ascii="Calibri" w:hAnsi="Calibri"/>
        </w:rPr>
        <w:t>The study was registered on ClinicalTrials.gov (study identifier NCT04121234).</w:t>
      </w:r>
    </w:p>
    <w:p w14:paraId="0E6C38CC" w14:textId="00D5DCBF" w:rsidR="00CD4997" w:rsidRDefault="00CD4997" w:rsidP="00CD4997">
      <w:pPr>
        <w:shd w:val="clear" w:color="auto" w:fill="FFFFFF"/>
        <w:spacing w:afterAutospacing="1" w:line="480" w:lineRule="auto"/>
        <w:jc w:val="both"/>
      </w:pPr>
      <w:r w:rsidRPr="005212E2">
        <w:rPr>
          <w:b/>
          <w:bCs/>
        </w:rPr>
        <w:t>Results</w:t>
      </w:r>
      <w:r>
        <w:rPr>
          <w:b/>
          <w:bCs/>
        </w:rPr>
        <w:t>.</w:t>
      </w:r>
      <w:r>
        <w:t xml:space="preserve"> </w:t>
      </w:r>
      <w:r w:rsidRPr="00B132A1">
        <w:rPr>
          <w:rFonts w:asciiTheme="majorHAnsi" w:eastAsia="Arial Unicode MS" w:hAnsiTheme="majorHAnsi" w:cs="Times New Roman"/>
        </w:rPr>
        <w:t xml:space="preserve">523 patients (median age 25 years, IQR 21-30) were admitted to the HDU for a median of 2 (IQR 1-3) days. </w:t>
      </w:r>
      <w:r w:rsidRPr="00B132A1">
        <w:rPr>
          <w:rFonts w:asciiTheme="majorHAnsi" w:hAnsiTheme="majorHAnsi"/>
          <w:bCs/>
        </w:rPr>
        <w:t xml:space="preserve">65% were referred with a red obstetric early warning score (OEWS) code, representing 1.17 cases per HDU bed per week. </w:t>
      </w:r>
      <w:r w:rsidRPr="00B132A1">
        <w:rPr>
          <w:rFonts w:asciiTheme="majorHAnsi" w:hAnsiTheme="majorHAnsi"/>
        </w:rPr>
        <w:t>11%</w:t>
      </w:r>
      <w:r>
        <w:rPr>
          <w:rFonts w:asciiTheme="majorHAnsi" w:hAnsiTheme="majorHAnsi"/>
        </w:rPr>
        <w:t xml:space="preserve"> of patients died in HDU</w:t>
      </w:r>
      <w:r w:rsidRPr="00B132A1">
        <w:rPr>
          <w:rFonts w:asciiTheme="majorHAnsi" w:hAnsiTheme="majorHAnsi"/>
        </w:rPr>
        <w:t xml:space="preserve">, </w:t>
      </w:r>
      <w:r>
        <w:rPr>
          <w:rFonts w:asciiTheme="majorHAnsi" w:hAnsiTheme="majorHAnsi"/>
        </w:rPr>
        <w:t>mostly</w:t>
      </w:r>
      <w:r w:rsidRPr="00B132A1">
        <w:rPr>
          <w:rFonts w:asciiTheme="majorHAnsi" w:hAnsiTheme="majorHAnsi"/>
        </w:rPr>
        <w:t xml:space="preserve"> in the first 24 hours </w:t>
      </w:r>
      <w:r>
        <w:rPr>
          <w:rFonts w:asciiTheme="majorHAnsi" w:hAnsiTheme="majorHAnsi"/>
        </w:rPr>
        <w:t>from</w:t>
      </w:r>
      <w:r w:rsidRPr="00B132A1">
        <w:rPr>
          <w:rFonts w:asciiTheme="majorHAnsi" w:hAnsiTheme="majorHAnsi"/>
        </w:rPr>
        <w:t xml:space="preserve"> admission. The factors </w:t>
      </w:r>
      <w:r w:rsidRPr="00B132A1">
        <w:rPr>
          <w:rFonts w:ascii="Calibri" w:hAnsi="Calibri"/>
        </w:rPr>
        <w:t>independently associated with HDU mortality</w:t>
      </w:r>
      <w:r>
        <w:rPr>
          <w:rFonts w:ascii="Calibri" w:hAnsi="Calibri"/>
        </w:rPr>
        <w:t xml:space="preserve"> were</w:t>
      </w:r>
      <w:r w:rsidRPr="00B132A1">
        <w:rPr>
          <w:rFonts w:ascii="Calibri" w:hAnsi="Calibri"/>
        </w:rPr>
        <w:t xml:space="preserve">: ward </w:t>
      </w:r>
      <w:r w:rsidRPr="002874BB">
        <w:rPr>
          <w:rFonts w:ascii="Calibri" w:hAnsi="Calibri"/>
        </w:rPr>
        <w:t>rather than post–operative</w:t>
      </w:r>
      <w:r>
        <w:rPr>
          <w:rFonts w:ascii="Calibri" w:hAnsi="Calibri"/>
        </w:rPr>
        <w:t xml:space="preserve"> referrals</w:t>
      </w:r>
      <w:r w:rsidRPr="002874BB">
        <w:rPr>
          <w:rFonts w:ascii="Calibri" w:hAnsi="Calibri"/>
        </w:rPr>
        <w:t xml:space="preserve"> (odds ratio (OR), 3.21 [95%-confidence interval (CI) 1.48 to 7.01]; P = 0.003), </w:t>
      </w:r>
      <w:r>
        <w:rPr>
          <w:rFonts w:ascii="Calibri" w:hAnsi="Calibri"/>
        </w:rPr>
        <w:t>admissions with</w:t>
      </w:r>
      <w:r w:rsidRPr="002874BB">
        <w:rPr>
          <w:rFonts w:ascii="Calibri" w:hAnsi="Calibri"/>
        </w:rPr>
        <w:t xml:space="preserve"> a red vs. yellow</w:t>
      </w:r>
      <w:r>
        <w:rPr>
          <w:rFonts w:ascii="Calibri" w:hAnsi="Calibri"/>
        </w:rPr>
        <w:t>/</w:t>
      </w:r>
      <w:r w:rsidRPr="002874BB">
        <w:rPr>
          <w:rFonts w:ascii="Calibri" w:hAnsi="Calibri"/>
        </w:rPr>
        <w:t>green OEWS (OR, 3.66 [95%-CI 1.15 to 16.96]; P = 0.04), responsive</w:t>
      </w:r>
      <w:r>
        <w:rPr>
          <w:rFonts w:ascii="Calibri" w:hAnsi="Calibri"/>
        </w:rPr>
        <w:t>ness</w:t>
      </w:r>
      <w:r w:rsidRPr="002874BB">
        <w:rPr>
          <w:rFonts w:ascii="Calibri" w:hAnsi="Calibri"/>
        </w:rPr>
        <w:t xml:space="preserve"> to pain </w:t>
      </w:r>
      <w:r>
        <w:rPr>
          <w:rFonts w:ascii="Calibri" w:hAnsi="Calibri"/>
        </w:rPr>
        <w:t>or</w:t>
      </w:r>
      <w:r w:rsidRPr="002874BB">
        <w:rPr>
          <w:rFonts w:ascii="Calibri" w:hAnsi="Calibri"/>
        </w:rPr>
        <w:t xml:space="preserve"> unresponsive</w:t>
      </w:r>
      <w:r>
        <w:rPr>
          <w:rFonts w:ascii="Calibri" w:hAnsi="Calibri"/>
        </w:rPr>
        <w:t>ness</w:t>
      </w:r>
      <w:r w:rsidRPr="002874BB">
        <w:rPr>
          <w:rFonts w:ascii="Calibri" w:hAnsi="Calibri"/>
        </w:rPr>
        <w:t xml:space="preserve"> on the AVPU scale (OR, 5.25 [95%-CI 2.64 to 10.94]; P =&lt;0.0001), </w:t>
      </w:r>
      <w:r>
        <w:rPr>
          <w:rFonts w:ascii="Calibri" w:hAnsi="Calibri"/>
        </w:rPr>
        <w:t>use of</w:t>
      </w:r>
      <w:r w:rsidRPr="002874BB">
        <w:rPr>
          <w:rFonts w:ascii="Calibri" w:hAnsi="Calibri"/>
        </w:rPr>
        <w:t xml:space="preserve"> vasopressors (OR, 3.24 [95%-CI 1.32 to 7.66]; P =0.008). Higher SpO</w:t>
      </w:r>
      <w:r w:rsidRPr="002874BB">
        <w:rPr>
          <w:rFonts w:ascii="Calibri" w:hAnsi="Calibri"/>
          <w:vertAlign w:val="subscript"/>
        </w:rPr>
        <w:t>2</w:t>
      </w:r>
      <w:r w:rsidRPr="002874BB">
        <w:rPr>
          <w:rFonts w:ascii="Calibri" w:hAnsi="Calibri"/>
        </w:rPr>
        <w:t xml:space="preserve"> was associated with </w:t>
      </w:r>
      <w:r>
        <w:rPr>
          <w:rFonts w:ascii="Calibri" w:hAnsi="Calibri"/>
        </w:rPr>
        <w:t>improved survival</w:t>
      </w:r>
      <w:r w:rsidRPr="002874BB">
        <w:rPr>
          <w:rFonts w:ascii="Calibri" w:hAnsi="Calibri"/>
        </w:rPr>
        <w:t xml:space="preserve"> (OR, 0.95 [95%-CI 0.91 to 0.98]; P =0.007).</w:t>
      </w:r>
    </w:p>
    <w:p w14:paraId="68CBB4E3" w14:textId="77777777" w:rsidR="00CD4997" w:rsidRDefault="00CD4997" w:rsidP="00CD4997">
      <w:pPr>
        <w:shd w:val="clear" w:color="auto" w:fill="FFFFFF"/>
        <w:spacing w:afterAutospacing="1" w:line="480" w:lineRule="auto"/>
        <w:jc w:val="both"/>
      </w:pPr>
      <w:r w:rsidRPr="009D4869">
        <w:rPr>
          <w:b/>
          <w:bCs/>
        </w:rPr>
        <w:t>Conclusions</w:t>
      </w:r>
      <w:r w:rsidRPr="009D4869">
        <w:rPr>
          <w:rFonts w:asciiTheme="majorHAnsi" w:eastAsia="Times New Roman" w:hAnsiTheme="majorHAnsi" w:cstheme="minorHAnsi"/>
          <w:b/>
          <w:bCs/>
        </w:rPr>
        <w:t>.</w:t>
      </w:r>
      <w:r w:rsidRPr="00B132A1">
        <w:rPr>
          <w:rFonts w:asciiTheme="majorHAnsi" w:eastAsia="Times New Roman" w:hAnsiTheme="majorHAnsi" w:cstheme="minorHAnsi"/>
        </w:rPr>
        <w:t xml:space="preserve"> </w:t>
      </w:r>
      <w:r>
        <w:rPr>
          <w:rFonts w:asciiTheme="majorHAnsi" w:eastAsia="Times New Roman" w:hAnsiTheme="majorHAnsi" w:cstheme="minorHAnsi"/>
        </w:rPr>
        <w:t>Critically</w:t>
      </w:r>
      <w:r w:rsidRPr="00B132A1">
        <w:rPr>
          <w:rFonts w:asciiTheme="majorHAnsi" w:eastAsia="Times New Roman" w:hAnsiTheme="majorHAnsi" w:cstheme="minorHAnsi"/>
        </w:rPr>
        <w:t xml:space="preserve"> ill </w:t>
      </w:r>
      <w:proofErr w:type="spellStart"/>
      <w:r w:rsidRPr="00B132A1">
        <w:rPr>
          <w:rFonts w:asciiTheme="majorHAnsi" w:eastAsia="Times New Roman" w:hAnsiTheme="majorHAnsi" w:cstheme="minorHAnsi"/>
        </w:rPr>
        <w:t>parturients</w:t>
      </w:r>
      <w:proofErr w:type="spellEnd"/>
      <w:r w:rsidRPr="00B132A1">
        <w:rPr>
          <w:rFonts w:asciiTheme="majorHAnsi" w:eastAsia="Times New Roman" w:hAnsiTheme="majorHAnsi" w:cstheme="minorHAnsi"/>
        </w:rPr>
        <w:t xml:space="preserve"> were predominantly referred with a red OEWS code and usually require</w:t>
      </w:r>
      <w:r>
        <w:rPr>
          <w:rFonts w:asciiTheme="majorHAnsi" w:eastAsia="Times New Roman" w:hAnsiTheme="majorHAnsi" w:cstheme="minorHAnsi"/>
        </w:rPr>
        <w:t>d</w:t>
      </w:r>
      <w:r w:rsidRPr="00B132A1">
        <w:rPr>
          <w:rFonts w:asciiTheme="majorHAnsi" w:eastAsia="Times New Roman" w:hAnsiTheme="majorHAnsi" w:cstheme="minorHAnsi"/>
        </w:rPr>
        <w:t xml:space="preserve"> intermediate care for 48 hours. </w:t>
      </w:r>
      <w:r>
        <w:rPr>
          <w:rFonts w:asciiTheme="majorHAnsi" w:eastAsia="Times New Roman" w:hAnsiTheme="majorHAnsi" w:cstheme="minorHAnsi"/>
        </w:rPr>
        <w:t>Mortality is high and mostly occurs during first day.</w:t>
      </w:r>
      <w:r w:rsidRPr="00B132A1">
        <w:rPr>
          <w:rFonts w:asciiTheme="majorHAnsi" w:eastAsia="Times New Roman" w:hAnsiTheme="majorHAnsi" w:cstheme="minorHAnsi"/>
        </w:rPr>
        <w:t xml:space="preserve"> Medical admission, </w:t>
      </w:r>
      <w:r w:rsidRPr="00B132A1">
        <w:rPr>
          <w:rFonts w:ascii="Calibri" w:hAnsi="Calibri"/>
        </w:rPr>
        <w:t xml:space="preserve">a red OEWS code, a poor neurological and hemodynamic </w:t>
      </w:r>
      <w:r>
        <w:rPr>
          <w:rFonts w:ascii="Calibri" w:hAnsi="Calibri"/>
        </w:rPr>
        <w:t>status</w:t>
      </w:r>
      <w:r w:rsidRPr="00B132A1">
        <w:rPr>
          <w:rFonts w:ascii="Calibri" w:hAnsi="Calibri"/>
        </w:rPr>
        <w:t xml:space="preserve"> were independently associated with mortality, while </w:t>
      </w:r>
      <w:r w:rsidRPr="00B132A1">
        <w:rPr>
          <w:rFonts w:asciiTheme="majorHAnsi" w:eastAsia="Times New Roman" w:hAnsiTheme="majorHAnsi" w:cstheme="minorHAnsi"/>
        </w:rPr>
        <w:t>adequate oxygenation was associated with survival.</w:t>
      </w:r>
    </w:p>
    <w:p w14:paraId="13D5A0F3" w14:textId="72578DB1" w:rsidR="000D55F7" w:rsidRPr="00B132A1" w:rsidRDefault="000D55F7" w:rsidP="000D55F7">
      <w:pPr>
        <w:spacing w:line="480" w:lineRule="auto"/>
        <w:jc w:val="both"/>
        <w:rPr>
          <w:rFonts w:ascii="Calibri" w:hAnsi="Calibri"/>
        </w:rPr>
      </w:pPr>
      <w:r w:rsidRPr="0030437D">
        <w:rPr>
          <w:b/>
          <w:bCs/>
        </w:rPr>
        <w:t>Trial Registration:</w:t>
      </w:r>
      <w:r w:rsidRPr="000D55F7">
        <w:rPr>
          <w:rFonts w:ascii="Calibri" w:hAnsi="Calibri"/>
        </w:rPr>
        <w:t xml:space="preserve"> </w:t>
      </w:r>
      <w:r w:rsidRPr="00B132A1">
        <w:rPr>
          <w:rFonts w:ascii="Calibri" w:hAnsi="Calibri"/>
        </w:rPr>
        <w:t>The study was registered on ClinicalTrials.gov (study identifier NCT04121234).</w:t>
      </w:r>
    </w:p>
    <w:p w14:paraId="24C60C0F" w14:textId="77777777" w:rsidR="00C33542" w:rsidRDefault="00C33542" w:rsidP="00C33542">
      <w:pPr>
        <w:pStyle w:val="Hoofdtekst"/>
        <w:spacing w:after="0" w:line="240" w:lineRule="auto"/>
        <w:ind w:right="4"/>
        <w:outlineLvl w:val="0"/>
        <w:rPr>
          <w:rFonts w:asciiTheme="majorHAnsi" w:hAnsiTheme="majorHAnsi"/>
        </w:rPr>
      </w:pPr>
      <w:r>
        <w:rPr>
          <w:rFonts w:asciiTheme="majorHAnsi" w:hAnsiTheme="majorHAnsi" w:cs="Arial"/>
          <w:lang w:val="en-GB"/>
        </w:rPr>
        <w:lastRenderedPageBreak/>
        <w:t>Key words:</w:t>
      </w:r>
      <w:r w:rsidRPr="005212E2">
        <w:rPr>
          <w:rFonts w:asciiTheme="majorHAnsi" w:hAnsiTheme="majorHAnsi"/>
        </w:rPr>
        <w:t xml:space="preserve"> </w:t>
      </w:r>
      <w:r w:rsidRPr="00B132A1">
        <w:rPr>
          <w:rFonts w:asciiTheme="majorHAnsi" w:hAnsiTheme="majorHAnsi"/>
        </w:rPr>
        <w:t xml:space="preserve">High dependency unit; critical care; obstetric critical care; </w:t>
      </w:r>
      <w:r>
        <w:rPr>
          <w:rFonts w:asciiTheme="majorHAnsi" w:hAnsiTheme="majorHAnsi"/>
        </w:rPr>
        <w:t>Sierra Leone</w:t>
      </w:r>
      <w:r w:rsidRPr="00B132A1">
        <w:rPr>
          <w:rFonts w:asciiTheme="majorHAnsi" w:hAnsiTheme="majorHAnsi"/>
        </w:rPr>
        <w:t>; outcome; maternal mortality</w:t>
      </w:r>
    </w:p>
    <w:p w14:paraId="041F0B59" w14:textId="058C4C4B" w:rsidR="008A6C0B" w:rsidRDefault="008A6C0B"/>
    <w:sectPr w:rsidR="008A6C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D13"/>
    <w:rsid w:val="00022D13"/>
    <w:rsid w:val="000D55F7"/>
    <w:rsid w:val="0030437D"/>
    <w:rsid w:val="00364F5A"/>
    <w:rsid w:val="004670DE"/>
    <w:rsid w:val="00600D00"/>
    <w:rsid w:val="008A6C0B"/>
    <w:rsid w:val="009A7D98"/>
    <w:rsid w:val="00C33542"/>
    <w:rsid w:val="00CD4997"/>
    <w:rsid w:val="00D2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75871"/>
  <w15:chartTrackingRefBased/>
  <w15:docId w15:val="{8F7A5091-D801-4D86-A91F-10AF8DD2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4997"/>
    <w:pPr>
      <w:spacing w:after="0" w:line="240" w:lineRule="auto"/>
    </w:pPr>
    <w:rPr>
      <w:rFonts w:eastAsiaTheme="minorEastAsia"/>
      <w:sz w:val="24"/>
      <w:szCs w:val="24"/>
      <w:lang w:val="en-GB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oofdtekst">
    <w:name w:val="Hoofdtekst"/>
    <w:rsid w:val="00CD499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val="en-US"/>
    </w:rPr>
  </w:style>
  <w:style w:type="paragraph" w:styleId="Paragrafoelenco">
    <w:name w:val="List Paragraph"/>
    <w:basedOn w:val="Normale"/>
    <w:uiPriority w:val="34"/>
    <w:qFormat/>
    <w:rsid w:val="00CD4997"/>
    <w:pPr>
      <w:ind w:left="720"/>
      <w:contextualSpacing/>
    </w:pPr>
    <w:rPr>
      <w:rFonts w:ascii="Times New Roman" w:eastAsiaTheme="minorHAnsi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</dc:creator>
  <cp:keywords/>
  <dc:description/>
  <cp:lastModifiedBy>Francesco Di Gennaro</cp:lastModifiedBy>
  <cp:revision>9</cp:revision>
  <dcterms:created xsi:type="dcterms:W3CDTF">2020-03-11T15:49:00Z</dcterms:created>
  <dcterms:modified xsi:type="dcterms:W3CDTF">2020-05-19T07:13:00Z</dcterms:modified>
</cp:coreProperties>
</file>